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720090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8"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360" w:hanging="336"/>
        <w:spacing w:after="0"/>
        <w:tabs>
          <w:tab w:leader="none" w:pos="3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360" w:hanging="336"/>
        <w:spacing w:after="0"/>
        <w:tabs>
          <w:tab w:leader="none" w:pos="3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21" w:lineRule="exact"/>
        <w:rPr>
          <w:rFonts w:ascii="Arial" w:cs="Arial" w:eastAsia="Arial" w:hAnsi="Arial"/>
          <w:sz w:val="16"/>
          <w:szCs w:val="16"/>
          <w:b w:val="1"/>
          <w:bCs w:val="1"/>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FROM</w:t>
      </w:r>
      <w:r>
        <w:rPr>
          <w:rFonts w:ascii="Arial" w:cs="Arial" w:eastAsia="Arial" w:hAnsi="Arial"/>
          <w:sz w:val="15"/>
          <w:szCs w:val="15"/>
          <w:b w:val="1"/>
          <w:bCs w:val="1"/>
          <w:color w:val="auto"/>
        </w:rPr>
        <w:t>TO</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001-40808</w:t>
      </w:r>
    </w:p>
    <w:p>
      <w:pPr>
        <w:spacing w:after="0" w:line="27"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________________________________</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Greenidge Generation Holdings Inc.</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2"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________________________________</w:t>
      </w:r>
    </w:p>
    <w:p>
      <w:pPr>
        <w:spacing w:after="0" w:line="129"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100" w:type="dxa"/>
            <w:vAlign w:val="bottom"/>
          </w:tcPr>
          <w:p>
            <w:pPr>
              <w:jc w:val="center"/>
              <w:ind w:right="1648"/>
              <w:spacing w:after="0"/>
              <w:rPr>
                <w:sz w:val="20"/>
                <w:szCs w:val="20"/>
                <w:color w:val="auto"/>
              </w:rPr>
            </w:pPr>
            <w:r>
              <w:rPr>
                <w:rFonts w:ascii="Arial" w:cs="Arial" w:eastAsia="Arial" w:hAnsi="Arial"/>
                <w:sz w:val="18"/>
                <w:szCs w:val="18"/>
                <w:b w:val="1"/>
                <w:bCs w:val="1"/>
                <w:color w:val="auto"/>
                <w:w w:val="98"/>
              </w:rPr>
              <w:t>Delaware</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86-1746728</w:t>
            </w:r>
          </w:p>
        </w:tc>
      </w:tr>
      <w:tr>
        <w:trPr>
          <w:trHeight w:val="153"/>
        </w:trPr>
        <w:tc>
          <w:tcPr>
            <w:tcW w:w="5100" w:type="dxa"/>
            <w:vAlign w:val="bottom"/>
          </w:tcPr>
          <w:p>
            <w:pPr>
              <w:jc w:val="center"/>
              <w:ind w:right="1648"/>
              <w:spacing w:after="0"/>
              <w:rPr>
                <w:sz w:val="20"/>
                <w:szCs w:val="20"/>
                <w:color w:val="auto"/>
              </w:rPr>
            </w:pPr>
            <w:r>
              <w:rPr>
                <w:rFonts w:ascii="Arial" w:cs="Arial" w:eastAsia="Arial" w:hAnsi="Arial"/>
                <w:sz w:val="12"/>
                <w:szCs w:val="12"/>
                <w:b w:val="1"/>
                <w:bCs w:val="1"/>
                <w:color w:val="auto"/>
              </w:rPr>
              <w:t>(State or other jurisdiction of</w:t>
            </w:r>
          </w:p>
        </w:tc>
        <w:tc>
          <w:tcPr>
            <w:tcW w:w="2740" w:type="dxa"/>
            <w:vAlign w:val="bottom"/>
          </w:tcPr>
          <w:p>
            <w:pPr>
              <w:jc w:val="center"/>
              <w:ind w:left="1608"/>
              <w:spacing w:after="0"/>
              <w:rPr>
                <w:sz w:val="20"/>
                <w:szCs w:val="20"/>
                <w:color w:val="auto"/>
              </w:rPr>
            </w:pPr>
            <w:r>
              <w:rPr>
                <w:rFonts w:ascii="Arial" w:cs="Arial" w:eastAsia="Arial" w:hAnsi="Arial"/>
                <w:sz w:val="12"/>
                <w:szCs w:val="12"/>
                <w:b w:val="1"/>
                <w:bCs w:val="1"/>
                <w:color w:val="auto"/>
              </w:rPr>
              <w:t>(I.R.S. Employer</w:t>
            </w:r>
          </w:p>
        </w:tc>
      </w:tr>
      <w:tr>
        <w:trPr>
          <w:trHeight w:val="162"/>
        </w:trPr>
        <w:tc>
          <w:tcPr>
            <w:tcW w:w="5100" w:type="dxa"/>
            <w:vAlign w:val="bottom"/>
          </w:tcPr>
          <w:p>
            <w:pPr>
              <w:jc w:val="center"/>
              <w:ind w:right="1628"/>
              <w:spacing w:after="0"/>
              <w:rPr>
                <w:sz w:val="20"/>
                <w:szCs w:val="20"/>
                <w:color w:val="auto"/>
              </w:rPr>
            </w:pPr>
            <w:r>
              <w:rPr>
                <w:rFonts w:ascii="Arial" w:cs="Arial" w:eastAsia="Arial" w:hAnsi="Arial"/>
                <w:sz w:val="12"/>
                <w:szCs w:val="12"/>
                <w:b w:val="1"/>
                <w:bCs w:val="1"/>
                <w:color w:val="auto"/>
              </w:rPr>
              <w:t>incorporation or organization)</w:t>
            </w:r>
          </w:p>
        </w:tc>
        <w:tc>
          <w:tcPr>
            <w:tcW w:w="2740" w:type="dxa"/>
            <w:vAlign w:val="bottom"/>
          </w:tcPr>
          <w:p>
            <w:pPr>
              <w:jc w:val="center"/>
              <w:ind w:left="1628"/>
              <w:spacing w:after="0"/>
              <w:rPr>
                <w:sz w:val="20"/>
                <w:szCs w:val="20"/>
                <w:color w:val="auto"/>
              </w:rPr>
            </w:pPr>
            <w:r>
              <w:rPr>
                <w:rFonts w:ascii="Arial" w:cs="Arial" w:eastAsia="Arial" w:hAnsi="Arial"/>
                <w:sz w:val="12"/>
                <w:szCs w:val="12"/>
                <w:b w:val="1"/>
                <w:bCs w:val="1"/>
                <w:color w:val="auto"/>
              </w:rPr>
              <w:t>Identification No.)</w:t>
            </w:r>
          </w:p>
        </w:tc>
      </w:tr>
      <w:tr>
        <w:trPr>
          <w:trHeight w:val="289"/>
        </w:trPr>
        <w:tc>
          <w:tcPr>
            <w:tcW w:w="5100" w:type="dxa"/>
            <w:vAlign w:val="bottom"/>
          </w:tcPr>
          <w:p>
            <w:pPr>
              <w:jc w:val="center"/>
              <w:ind w:right="1628"/>
              <w:spacing w:after="0"/>
              <w:rPr>
                <w:sz w:val="20"/>
                <w:szCs w:val="20"/>
                <w:color w:val="auto"/>
              </w:rPr>
            </w:pPr>
            <w:r>
              <w:rPr>
                <w:rFonts w:ascii="Arial" w:cs="Arial" w:eastAsia="Arial" w:hAnsi="Arial"/>
                <w:sz w:val="18"/>
                <w:szCs w:val="18"/>
                <w:b w:val="1"/>
                <w:bCs w:val="1"/>
                <w:color w:val="auto"/>
                <w:w w:val="97"/>
              </w:rPr>
              <w:t>135 Rennell Drive, 3rd Floor Fairfield, CT</w:t>
            </w:r>
          </w:p>
        </w:tc>
        <w:tc>
          <w:tcPr>
            <w:tcW w:w="2740" w:type="dxa"/>
            <w:vAlign w:val="bottom"/>
          </w:tcPr>
          <w:p>
            <w:pPr>
              <w:jc w:val="right"/>
              <w:ind w:right="208"/>
              <w:spacing w:after="0"/>
              <w:rPr>
                <w:sz w:val="20"/>
                <w:szCs w:val="20"/>
                <w:color w:val="auto"/>
              </w:rPr>
            </w:pPr>
            <w:r>
              <w:rPr>
                <w:rFonts w:ascii="Arial" w:cs="Arial" w:eastAsia="Arial" w:hAnsi="Arial"/>
                <w:sz w:val="18"/>
                <w:szCs w:val="18"/>
                <w:b w:val="1"/>
                <w:bCs w:val="1"/>
                <w:color w:val="auto"/>
              </w:rPr>
              <w:t>06890</w:t>
            </w:r>
          </w:p>
        </w:tc>
      </w:tr>
      <w:tr>
        <w:trPr>
          <w:trHeight w:val="162"/>
        </w:trPr>
        <w:tc>
          <w:tcPr>
            <w:tcW w:w="5100" w:type="dxa"/>
            <w:vAlign w:val="bottom"/>
          </w:tcPr>
          <w:p>
            <w:pPr>
              <w:jc w:val="center"/>
              <w:ind w:right="1648"/>
              <w:spacing w:after="0"/>
              <w:rPr>
                <w:sz w:val="20"/>
                <w:szCs w:val="20"/>
                <w:color w:val="auto"/>
              </w:rPr>
            </w:pPr>
            <w:r>
              <w:rPr>
                <w:rFonts w:ascii="Arial" w:cs="Arial" w:eastAsia="Arial" w:hAnsi="Arial"/>
                <w:sz w:val="12"/>
                <w:szCs w:val="12"/>
                <w:b w:val="1"/>
                <w:bCs w:val="1"/>
                <w:color w:val="auto"/>
              </w:rPr>
              <w:t>(Address of principal executive offices)</w:t>
            </w:r>
          </w:p>
        </w:tc>
        <w:tc>
          <w:tcPr>
            <w:tcW w:w="2740" w:type="dxa"/>
            <w:vAlign w:val="bottom"/>
          </w:tcPr>
          <w:p>
            <w:pPr>
              <w:jc w:val="center"/>
              <w:ind w:left="1608"/>
              <w:spacing w:after="0"/>
              <w:rPr>
                <w:sz w:val="20"/>
                <w:szCs w:val="20"/>
                <w:color w:val="auto"/>
              </w:rPr>
            </w:pPr>
            <w:r>
              <w:rPr>
                <w:rFonts w:ascii="Arial" w:cs="Arial" w:eastAsia="Arial" w:hAnsi="Arial"/>
                <w:sz w:val="12"/>
                <w:szCs w:val="12"/>
                <w:b w:val="1"/>
                <w:bCs w:val="1"/>
                <w:color w:val="auto"/>
              </w:rPr>
              <w:t>(Zip Code)</w:t>
            </w:r>
          </w:p>
        </w:tc>
      </w:tr>
    </w:tbl>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(315) 536-2359</w:t>
      </w:r>
    </w:p>
    <w:p>
      <w:pPr>
        <w:spacing w:after="0" w:line="32"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________________________________</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4400" w:type="dxa"/>
            <w:vAlign w:val="bottom"/>
          </w:tcPr>
          <w:p>
            <w:pPr>
              <w:spacing w:after="0"/>
              <w:rPr>
                <w:sz w:val="14"/>
                <w:szCs w:val="14"/>
                <w:color w:val="auto"/>
              </w:rPr>
            </w:pPr>
          </w:p>
        </w:tc>
      </w:tr>
      <w:tr>
        <w:trPr>
          <w:trHeight w:val="207"/>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w:t>
            </w:r>
          </w:p>
        </w:tc>
        <w:tc>
          <w:tcPr>
            <w:tcW w:w="100" w:type="dxa"/>
            <w:vAlign w:val="bottom"/>
          </w:tcPr>
          <w:p>
            <w:pPr>
              <w:spacing w:after="0"/>
              <w:rPr>
                <w:sz w:val="17"/>
                <w:szCs w:val="17"/>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1"/>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Class A Common Stock, $0.0001 par value</w:t>
            </w:r>
          </w:p>
        </w:tc>
        <w:tc>
          <w:tcPr>
            <w:tcW w:w="10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GREE</w:t>
            </w:r>
          </w:p>
        </w:tc>
        <w:tc>
          <w:tcPr>
            <w:tcW w:w="100" w:type="dxa"/>
            <w:vAlign w:val="bottom"/>
          </w:tcPr>
          <w:p>
            <w:pPr>
              <w:spacing w:after="0"/>
              <w:rPr>
                <w:sz w:val="18"/>
                <w:szCs w:val="18"/>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The Nasdaq Global Select Market</w:t>
            </w:r>
          </w:p>
        </w:tc>
      </w:tr>
      <w:tr>
        <w:trPr>
          <w:trHeight w:val="205"/>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8.50% Senior Notes due 2026</w:t>
            </w:r>
          </w:p>
        </w:tc>
        <w:tc>
          <w:tcPr>
            <w:tcW w:w="100" w:type="dxa"/>
            <w:vAlign w:val="bottom"/>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GREEL</w:t>
            </w:r>
          </w:p>
        </w:tc>
        <w:tc>
          <w:tcPr>
            <w:tcW w:w="100" w:type="dxa"/>
            <w:vAlign w:val="bottom"/>
          </w:tcPr>
          <w:p>
            <w:pPr>
              <w:spacing w:after="0"/>
              <w:rPr>
                <w:sz w:val="17"/>
                <w:szCs w:val="17"/>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The Nasdaq Global Select Market</w:t>
            </w:r>
          </w:p>
        </w:tc>
      </w:tr>
    </w:tbl>
    <w:p>
      <w:pPr>
        <w:spacing w:after="0" w:line="1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69" w:lineRule="exact"/>
        <w:rPr>
          <w:sz w:val="24"/>
          <w:szCs w:val="24"/>
          <w:color w:val="auto"/>
        </w:rPr>
      </w:pPr>
    </w:p>
    <w:p>
      <w:pPr>
        <w:ind w:right="3000"/>
        <w:spacing w:after="0" w:line="335"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o No x Indicate by check mark if the Registrant is not required to file reports pursuant to Section 13 or 15(d) of the Act. Yes o No x</w:t>
      </w:r>
    </w:p>
    <w:p>
      <w:pPr>
        <w:spacing w:after="0" w:line="1" w:lineRule="exact"/>
        <w:rPr>
          <w:sz w:val="24"/>
          <w:szCs w:val="24"/>
          <w:color w:val="auto"/>
        </w:rPr>
      </w:pPr>
    </w:p>
    <w:p>
      <w:pPr>
        <w:ind w:right="20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7" w:lineRule="exact"/>
        <w:rPr>
          <w:sz w:val="24"/>
          <w:szCs w:val="24"/>
          <w:color w:val="auto"/>
        </w:rPr>
      </w:pPr>
    </w:p>
    <w:p>
      <w:pPr>
        <w:ind w:right="140"/>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40" w:type="dxa"/>
            <w:vAlign w:val="bottom"/>
            <w:vMerge w:val="restart"/>
          </w:tcPr>
          <w:p>
            <w:pPr>
              <w:ind w:left="960"/>
              <w:spacing w:after="0"/>
              <w:rPr>
                <w:sz w:val="20"/>
                <w:szCs w:val="20"/>
                <w:color w:val="auto"/>
              </w:rPr>
            </w:pPr>
            <w:r>
              <w:rPr>
                <w:rFonts w:ascii="Arial" w:cs="Arial" w:eastAsia="Arial" w:hAnsi="Arial"/>
                <w:sz w:val="14"/>
                <w:szCs w:val="14"/>
                <w:color w:val="auto"/>
              </w:rPr>
              <w:t>o</w:t>
            </w:r>
          </w:p>
        </w:tc>
        <w:tc>
          <w:tcPr>
            <w:tcW w:w="4460" w:type="dxa"/>
            <w:vAlign w:val="bottom"/>
          </w:tcPr>
          <w:p>
            <w:pPr>
              <w:ind w:left="1800"/>
              <w:spacing w:after="0"/>
              <w:rPr>
                <w:sz w:val="20"/>
                <w:szCs w:val="20"/>
                <w:color w:val="auto"/>
              </w:rPr>
            </w:pPr>
            <w:r>
              <w:rPr>
                <w:rFonts w:ascii="Arial" w:cs="Arial" w:eastAsia="Arial" w:hAnsi="Arial"/>
                <w:sz w:val="14"/>
                <w:szCs w:val="14"/>
                <w:color w:val="auto"/>
              </w:rPr>
              <w:t>Accelerated filer</w:t>
            </w:r>
          </w:p>
        </w:tc>
        <w:tc>
          <w:tcPr>
            <w:tcW w:w="1040" w:type="dxa"/>
            <w:vAlign w:val="bottom"/>
            <w:vMerge w:val="restart"/>
          </w:tcPr>
          <w:p>
            <w:pPr>
              <w:ind w:left="96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44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20"/>
                <w:szCs w:val="20"/>
                <w:color w:val="auto"/>
              </w:rPr>
            </w:pPr>
            <w:r>
              <w:rPr>
                <w:rFonts w:ascii="Arial" w:cs="Arial" w:eastAsia="Arial" w:hAnsi="Arial"/>
                <w:sz w:val="14"/>
                <w:szCs w:val="14"/>
                <w:color w:val="auto"/>
              </w:rPr>
              <w:t>Non-accelerated filer</w:t>
            </w:r>
          </w:p>
        </w:tc>
        <w:tc>
          <w:tcPr>
            <w:tcW w:w="2840" w:type="dxa"/>
            <w:vAlign w:val="bottom"/>
            <w:vMerge w:val="restart"/>
          </w:tcPr>
          <w:p>
            <w:pPr>
              <w:ind w:left="960"/>
              <w:spacing w:after="0"/>
              <w:rPr>
                <w:sz w:val="20"/>
                <w:szCs w:val="20"/>
                <w:color w:val="auto"/>
              </w:rPr>
            </w:pPr>
            <w:r>
              <w:rPr>
                <w:rFonts w:ascii="Arial" w:cs="Arial" w:eastAsia="Arial" w:hAnsi="Arial"/>
                <w:sz w:val="14"/>
                <w:szCs w:val="14"/>
                <w:color w:val="auto"/>
              </w:rPr>
              <w:t>x</w:t>
            </w:r>
          </w:p>
        </w:tc>
        <w:tc>
          <w:tcPr>
            <w:tcW w:w="4460" w:type="dxa"/>
            <w:vAlign w:val="bottom"/>
          </w:tcPr>
          <w:p>
            <w:pPr>
              <w:ind w:left="1800"/>
              <w:spacing w:after="0"/>
              <w:rPr>
                <w:sz w:val="20"/>
                <w:szCs w:val="20"/>
                <w:color w:val="auto"/>
              </w:rPr>
            </w:pPr>
            <w:r>
              <w:rPr>
                <w:rFonts w:ascii="Arial" w:cs="Arial" w:eastAsia="Arial" w:hAnsi="Arial"/>
                <w:sz w:val="14"/>
                <w:szCs w:val="14"/>
                <w:color w:val="auto"/>
              </w:rPr>
              <w:t>Smaller reporting company</w:t>
            </w:r>
          </w:p>
        </w:tc>
        <w:tc>
          <w:tcPr>
            <w:tcW w:w="1040" w:type="dxa"/>
            <w:vAlign w:val="bottom"/>
            <w:vMerge w:val="restart"/>
          </w:tcPr>
          <w:p>
            <w:pPr>
              <w:ind w:left="96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44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840" w:type="dxa"/>
            <w:vAlign w:val="bottom"/>
            <w:vMerge w:val="restart"/>
          </w:tcPr>
          <w:p>
            <w:pPr>
              <w:ind w:left="960"/>
              <w:spacing w:after="0"/>
              <w:rPr>
                <w:sz w:val="20"/>
                <w:szCs w:val="20"/>
                <w:color w:val="auto"/>
              </w:rPr>
            </w:pPr>
            <w:r>
              <w:rPr>
                <w:rFonts w:ascii="Arial" w:cs="Arial" w:eastAsia="Arial" w:hAnsi="Arial"/>
                <w:sz w:val="14"/>
                <w:szCs w:val="14"/>
                <w:color w:val="auto"/>
              </w:rPr>
              <w:t>x</w:t>
            </w:r>
          </w:p>
        </w:tc>
        <w:tc>
          <w:tcPr>
            <w:tcW w:w="4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4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480"/>
        <w:spacing w:after="0" w:line="25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9" w:lineRule="exact"/>
        <w:rPr>
          <w:sz w:val="24"/>
          <w:szCs w:val="24"/>
          <w:color w:val="auto"/>
        </w:rPr>
      </w:pPr>
    </w:p>
    <w:p>
      <w:pPr>
        <w:spacing w:after="0" w:line="269"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90" w:lineRule="exact"/>
        <w:rPr>
          <w:sz w:val="24"/>
          <w:szCs w:val="24"/>
          <w:color w:val="auto"/>
        </w:rPr>
      </w:pPr>
    </w:p>
    <w:p>
      <w:pPr>
        <w:ind w:right="320" w:firstLine="477"/>
        <w:spacing w:after="0" w:line="17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25" w:lineRule="exact"/>
        <w:rPr>
          <w:sz w:val="24"/>
          <w:szCs w:val="24"/>
          <w:color w:val="auto"/>
        </w:rPr>
      </w:pPr>
    </w:p>
    <w:p>
      <w:pPr>
        <w:ind w:right="180" w:firstLine="477"/>
        <w:spacing w:after="0" w:line="179"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7" w:lineRule="exact"/>
        <w:rPr>
          <w:sz w:val="24"/>
          <w:szCs w:val="24"/>
          <w:color w:val="auto"/>
        </w:rPr>
      </w:pPr>
    </w:p>
    <w:p>
      <w:pPr>
        <w:spacing w:after="0"/>
        <w:tabs>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w:t>
        <w:tab/>
        <w:t>No x</w:t>
      </w:r>
    </w:p>
    <w:p>
      <w:pPr>
        <w:spacing w:after="0" w:line="64" w:lineRule="exact"/>
        <w:rPr>
          <w:sz w:val="24"/>
          <w:szCs w:val="24"/>
          <w:color w:val="auto"/>
        </w:rPr>
      </w:pPr>
    </w:p>
    <w:p>
      <w:pPr>
        <w:ind w:right="1820"/>
        <w:spacing w:after="0" w:line="250" w:lineRule="auto"/>
        <w:rPr>
          <w:sz w:val="20"/>
          <w:szCs w:val="20"/>
          <w:color w:val="auto"/>
        </w:rPr>
      </w:pPr>
      <w:r>
        <w:rPr>
          <w:rFonts w:ascii="Arial" w:cs="Arial" w:eastAsia="Arial" w:hAnsi="Arial"/>
          <w:sz w:val="14"/>
          <w:szCs w:val="14"/>
          <w:color w:val="auto"/>
        </w:rPr>
        <w:t>Based on the closing stock price of $2.54 on June 30, 2022, the last business day of the registrant’s most recently completed second fiscal quarter, the aggregate market value of the voting common equity held by nonaffiliates of the registrant was $35,114,779.</w:t>
      </w:r>
    </w:p>
    <w:p>
      <w:pPr>
        <w:spacing w:after="0" w:line="287" w:lineRule="exact"/>
        <w:rPr>
          <w:sz w:val="24"/>
          <w:szCs w:val="24"/>
          <w:color w:val="auto"/>
        </w:rPr>
      </w:pPr>
    </w:p>
    <w:p>
      <w:pPr>
        <w:spacing w:after="0" w:line="250" w:lineRule="auto"/>
        <w:rPr>
          <w:sz w:val="20"/>
          <w:szCs w:val="20"/>
          <w:color w:val="auto"/>
        </w:rPr>
      </w:pPr>
      <w:r>
        <w:rPr>
          <w:rFonts w:ascii="Arial" w:cs="Arial" w:eastAsia="Arial" w:hAnsi="Arial"/>
          <w:sz w:val="14"/>
          <w:szCs w:val="14"/>
          <w:color w:val="auto"/>
        </w:rPr>
        <w:t>As of March 30, 2023, the Registrant had 31,271,755 shares of Class A common stock, $0.0001 par value per share, outstanding and 28,526,372 shares of Class B common stock, $0.0001 par value per share, outstanding.</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DOCUMENTS INCORPORATED BY REFERENCE</w:t>
      </w:r>
    </w:p>
    <w:p>
      <w:pPr>
        <w:jc w:val="center"/>
        <w:ind w:right="-19"/>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689610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62865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212" w:right="359" w:bottom="83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0" w:type="dxa"/>
            <w:vAlign w:val="bottom"/>
            <w:gridSpan w:val="10"/>
          </w:tcPr>
          <w:p>
            <w:pPr>
              <w:jc w:val="center"/>
              <w:ind w:right="3640"/>
              <w:spacing w:after="0"/>
              <w:rPr>
                <w:sz w:val="20"/>
                <w:szCs w:val="20"/>
                <w:color w:val="auto"/>
              </w:rPr>
            </w:pPr>
            <w:r>
              <w:rPr>
                <w:rFonts w:ascii="Arial" w:cs="Arial" w:eastAsia="Arial" w:hAnsi="Arial"/>
                <w:sz w:val="18"/>
                <w:szCs w:val="18"/>
                <w:b w:val="1"/>
                <w:bCs w:val="1"/>
                <w:color w:val="auto"/>
                <w:w w:val="97"/>
              </w:rPr>
              <w:t>Table of Contents</w:t>
            </w:r>
          </w:p>
        </w:tc>
        <w:tc>
          <w:tcPr>
            <w:tcW w:w="900" w:type="dxa"/>
            <w:vAlign w:val="bottom"/>
          </w:tcPr>
          <w:p>
            <w:pPr>
              <w:spacing w:after="0"/>
              <w:rPr>
                <w:sz w:val="20"/>
                <w:szCs w:val="20"/>
                <w:color w:val="auto"/>
              </w:rPr>
            </w:pPr>
          </w:p>
        </w:tc>
      </w:tr>
      <w:tr>
        <w:trPr>
          <w:trHeight w:val="432"/>
        </w:trPr>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Page</w:t>
            </w:r>
          </w:p>
        </w:tc>
      </w:tr>
      <w:tr>
        <w:trPr>
          <w:trHeight w:val="211"/>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7"/>
        </w:trPr>
        <w:tc>
          <w:tcPr>
            <w:tcW w:w="1380" w:type="dxa"/>
            <w:vAlign w:val="bottom"/>
          </w:tcPr>
          <w:p>
            <w:pPr>
              <w:ind w:left="120"/>
              <w:spacing w:after="0" w:line="187" w:lineRule="exact"/>
              <w:rPr>
                <w:sz w:val="20"/>
                <w:szCs w:val="20"/>
                <w:color w:val="auto"/>
              </w:rPr>
            </w:pPr>
            <w:r>
              <w:rPr>
                <w:rFonts w:ascii="Arial" w:cs="Arial" w:eastAsia="Arial" w:hAnsi="Arial"/>
                <w:sz w:val="18"/>
                <w:szCs w:val="18"/>
                <w:color w:val="auto"/>
              </w:rPr>
              <w:t>Item 1.</w:t>
            </w:r>
          </w:p>
        </w:tc>
        <w:tc>
          <w:tcPr>
            <w:tcW w:w="8960" w:type="dxa"/>
            <w:vAlign w:val="bottom"/>
            <w:gridSpan w:val="22"/>
          </w:tcPr>
          <w:p>
            <w:pPr>
              <w:spacing w:after="0" w:line="187" w:lineRule="exact"/>
              <w:rPr>
                <w:sz w:val="20"/>
                <w:szCs w:val="20"/>
                <w:color w:val="auto"/>
              </w:rPr>
            </w:pPr>
            <w:r>
              <w:rPr>
                <w:rFonts w:ascii="Arial" w:cs="Arial" w:eastAsia="Arial" w:hAnsi="Arial"/>
                <w:sz w:val="18"/>
                <w:szCs w:val="18"/>
                <w:color w:val="0000FF"/>
              </w:rPr>
              <w:t>Business</w:t>
            </w:r>
          </w:p>
        </w:tc>
        <w:tc>
          <w:tcPr>
            <w:tcW w:w="900" w:type="dxa"/>
            <w:vAlign w:val="bottom"/>
          </w:tcPr>
          <w:p>
            <w:pPr>
              <w:jc w:val="right"/>
              <w:spacing w:after="0" w:line="187" w:lineRule="exact"/>
              <w:rPr>
                <w:sz w:val="20"/>
                <w:szCs w:val="20"/>
                <w:color w:val="auto"/>
              </w:rPr>
            </w:pPr>
            <w:r>
              <w:rPr>
                <w:rFonts w:ascii="Arial" w:cs="Arial" w:eastAsia="Arial" w:hAnsi="Arial"/>
                <w:sz w:val="18"/>
                <w:szCs w:val="18"/>
                <w:color w:val="auto"/>
              </w:rPr>
              <w:t>7</w:t>
            </w:r>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1A.</w:t>
            </w:r>
          </w:p>
        </w:tc>
        <w:tc>
          <w:tcPr>
            <w:tcW w:w="8960" w:type="dxa"/>
            <w:vAlign w:val="bottom"/>
            <w:gridSpan w:val="22"/>
          </w:tcPr>
          <w:p>
            <w:pPr>
              <w:spacing w:after="0" w:line="205" w:lineRule="exact"/>
              <w:rPr>
                <w:sz w:val="20"/>
                <w:szCs w:val="20"/>
                <w:color w:val="auto"/>
              </w:rPr>
            </w:pPr>
            <w:r>
              <w:rPr>
                <w:rFonts w:ascii="Arial" w:cs="Arial" w:eastAsia="Arial" w:hAnsi="Arial"/>
                <w:sz w:val="18"/>
                <w:szCs w:val="18"/>
                <w:color w:val="0000FF"/>
              </w:rPr>
              <w:t>Risk Factors</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19</w:t>
            </w:r>
          </w:p>
        </w:tc>
      </w:tr>
      <w:tr>
        <w:trPr>
          <w:trHeight w:val="20"/>
        </w:trPr>
        <w:tc>
          <w:tcPr>
            <w:tcW w:w="13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1B.</w:t>
            </w:r>
          </w:p>
        </w:tc>
        <w:tc>
          <w:tcPr>
            <w:tcW w:w="2220" w:type="dxa"/>
            <w:vAlign w:val="bottom"/>
            <w:tcBorders>
              <w:bottom w:val="single" w:sz="8" w:color="0000FF"/>
            </w:tcBorders>
            <w:gridSpan w:val="10"/>
          </w:tcPr>
          <w:p>
            <w:pPr>
              <w:spacing w:after="0" w:line="205" w:lineRule="exact"/>
              <w:rPr>
                <w:sz w:val="20"/>
                <w:szCs w:val="20"/>
                <w:color w:val="auto"/>
              </w:rPr>
            </w:pPr>
            <w:r>
              <w:rPr>
                <w:rFonts w:ascii="Arial" w:cs="Arial" w:eastAsia="Arial" w:hAnsi="Arial"/>
                <w:sz w:val="18"/>
                <w:szCs w:val="18"/>
                <w:color w:val="0000FF"/>
                <w:w w:val="97"/>
              </w:rPr>
              <w:t>Unresolved Staff Comments</w:t>
            </w:r>
          </w:p>
        </w:tc>
        <w:tc>
          <w:tcPr>
            <w:tcW w:w="6740" w:type="dxa"/>
            <w:vAlign w:val="bottom"/>
            <w:gridSpan w:val="12"/>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44</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97"/>
              </w:rPr>
              <w:t>Properties</w:t>
            </w:r>
          </w:p>
        </w:tc>
        <w:tc>
          <w:tcPr>
            <w:tcW w:w="8140" w:type="dxa"/>
            <w:vAlign w:val="bottom"/>
            <w:gridSpan w:val="20"/>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44</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3.</w:t>
            </w:r>
          </w:p>
        </w:tc>
        <w:tc>
          <w:tcPr>
            <w:tcW w:w="148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97"/>
              </w:rPr>
              <w:t>Legal Proceedings</w:t>
            </w:r>
          </w:p>
        </w:tc>
        <w:tc>
          <w:tcPr>
            <w:tcW w:w="7480" w:type="dxa"/>
            <w:vAlign w:val="bottom"/>
            <w:gridSpan w:val="16"/>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45</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4.</w:t>
            </w:r>
          </w:p>
        </w:tc>
        <w:tc>
          <w:tcPr>
            <w:tcW w:w="8960" w:type="dxa"/>
            <w:vAlign w:val="bottom"/>
            <w:gridSpan w:val="22"/>
          </w:tcPr>
          <w:p>
            <w:pPr>
              <w:spacing w:after="0" w:line="205" w:lineRule="exact"/>
              <w:rPr>
                <w:sz w:val="20"/>
                <w:szCs w:val="20"/>
                <w:color w:val="auto"/>
              </w:rPr>
            </w:pPr>
            <w:r>
              <w:rPr>
                <w:rFonts w:ascii="Arial" w:cs="Arial" w:eastAsia="Arial" w:hAnsi="Arial"/>
                <w:sz w:val="18"/>
                <w:szCs w:val="18"/>
                <w:color w:val="0000FF"/>
              </w:rPr>
              <w:t>Mine Safety Disclosures</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45</w:t>
            </w:r>
          </w:p>
        </w:tc>
      </w:tr>
      <w:tr>
        <w:trPr>
          <w:trHeight w:val="509"/>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7"/>
        </w:trPr>
        <w:tc>
          <w:tcPr>
            <w:tcW w:w="1380" w:type="dxa"/>
            <w:vAlign w:val="bottom"/>
          </w:tcPr>
          <w:p>
            <w:pPr>
              <w:ind w:left="120"/>
              <w:spacing w:after="0" w:line="187" w:lineRule="exact"/>
              <w:rPr>
                <w:sz w:val="20"/>
                <w:szCs w:val="20"/>
                <w:color w:val="auto"/>
              </w:rPr>
            </w:pPr>
            <w:r>
              <w:rPr>
                <w:rFonts w:ascii="Arial" w:cs="Arial" w:eastAsia="Arial" w:hAnsi="Arial"/>
                <w:sz w:val="18"/>
                <w:szCs w:val="18"/>
                <w:color w:val="auto"/>
              </w:rPr>
              <w:t>Item 5.</w:t>
            </w:r>
          </w:p>
        </w:tc>
        <w:tc>
          <w:tcPr>
            <w:tcW w:w="8720" w:type="dxa"/>
            <w:vAlign w:val="bottom"/>
            <w:tcBorders>
              <w:bottom w:val="single" w:sz="8" w:color="0000FF"/>
            </w:tcBorders>
            <w:gridSpan w:val="21"/>
          </w:tcPr>
          <w:p>
            <w:pPr>
              <w:spacing w:after="0" w:line="187" w:lineRule="exact"/>
              <w:rPr>
                <w:sz w:val="20"/>
                <w:szCs w:val="20"/>
                <w:color w:val="auto"/>
              </w:rPr>
            </w:pPr>
            <w:r>
              <w:rPr>
                <w:rFonts w:ascii="Arial" w:cs="Arial" w:eastAsia="Arial" w:hAnsi="Arial"/>
                <w:sz w:val="18"/>
                <w:szCs w:val="18"/>
                <w:color w:val="0000FF"/>
                <w:w w:val="97"/>
              </w:rPr>
              <w:t>Market for Registrant’s Common Equity, Related Stockholder Matters and Issuer Purchases of Equity Securities</w:t>
            </w:r>
          </w:p>
        </w:tc>
        <w:tc>
          <w:tcPr>
            <w:tcW w:w="240" w:type="dxa"/>
            <w:vAlign w:val="bottom"/>
          </w:tcPr>
          <w:p>
            <w:pPr>
              <w:spacing w:after="0"/>
              <w:rPr>
                <w:sz w:val="16"/>
                <w:szCs w:val="16"/>
                <w:color w:val="auto"/>
              </w:rPr>
            </w:pPr>
          </w:p>
        </w:tc>
        <w:tc>
          <w:tcPr>
            <w:tcW w:w="900" w:type="dxa"/>
            <w:vAlign w:val="bottom"/>
          </w:tcPr>
          <w:p>
            <w:pPr>
              <w:jc w:val="right"/>
              <w:spacing w:after="0" w:line="187" w:lineRule="exact"/>
              <w:rPr>
                <w:sz w:val="20"/>
                <w:szCs w:val="20"/>
                <w:color w:val="auto"/>
              </w:rPr>
            </w:pPr>
            <w:r>
              <w:rPr>
                <w:rFonts w:ascii="Arial" w:cs="Arial" w:eastAsia="Arial" w:hAnsi="Arial"/>
                <w:sz w:val="18"/>
                <w:szCs w:val="18"/>
                <w:color w:val="auto"/>
              </w:rPr>
              <w:t>46</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6.</w:t>
            </w:r>
          </w:p>
        </w:tc>
        <w:tc>
          <w:tcPr>
            <w:tcW w:w="8960" w:type="dxa"/>
            <w:vAlign w:val="bottom"/>
            <w:gridSpan w:val="22"/>
          </w:tcPr>
          <w:p>
            <w:pPr>
              <w:spacing w:after="0" w:line="205" w:lineRule="exact"/>
              <w:rPr>
                <w:sz w:val="20"/>
                <w:szCs w:val="20"/>
                <w:color w:val="auto"/>
              </w:rPr>
            </w:pPr>
            <w:r>
              <w:rPr>
                <w:rFonts w:ascii="Arial" w:cs="Arial" w:eastAsia="Arial" w:hAnsi="Arial"/>
                <w:sz w:val="18"/>
                <w:szCs w:val="18"/>
                <w:color w:val="0000FF"/>
              </w:rPr>
              <w:t>[Reserved]</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47</w:t>
            </w:r>
          </w:p>
        </w:tc>
      </w:tr>
      <w:tr>
        <w:trPr>
          <w:trHeight w:val="20"/>
        </w:trPr>
        <w:tc>
          <w:tcPr>
            <w:tcW w:w="13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7.</w:t>
            </w:r>
          </w:p>
        </w:tc>
        <w:tc>
          <w:tcPr>
            <w:tcW w:w="6960" w:type="dxa"/>
            <w:vAlign w:val="bottom"/>
            <w:tcBorders>
              <w:bottom w:val="single" w:sz="8" w:color="0000FF"/>
            </w:tcBorders>
            <w:gridSpan w:val="18"/>
          </w:tcPr>
          <w:p>
            <w:pPr>
              <w:spacing w:after="0" w:line="205" w:lineRule="exact"/>
              <w:rPr>
                <w:sz w:val="20"/>
                <w:szCs w:val="20"/>
                <w:color w:val="auto"/>
              </w:rPr>
            </w:pPr>
            <w:r>
              <w:rPr>
                <w:rFonts w:ascii="Arial" w:cs="Arial" w:eastAsia="Arial" w:hAnsi="Arial"/>
                <w:sz w:val="18"/>
                <w:szCs w:val="18"/>
                <w:color w:val="0000FF"/>
                <w:w w:val="97"/>
              </w:rPr>
              <w:t>Management’s Discussion and Analysis of Financial Condition and Results of Operations</w:t>
            </w:r>
          </w:p>
        </w:tc>
        <w:tc>
          <w:tcPr>
            <w:tcW w:w="2000" w:type="dxa"/>
            <w:vAlign w:val="bottom"/>
            <w:gridSpan w:val="4"/>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47</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7A.</w:t>
            </w:r>
          </w:p>
        </w:tc>
        <w:tc>
          <w:tcPr>
            <w:tcW w:w="4640" w:type="dxa"/>
            <w:vAlign w:val="bottom"/>
            <w:tcBorders>
              <w:bottom w:val="single" w:sz="8" w:color="0000FF"/>
            </w:tcBorders>
            <w:gridSpan w:val="15"/>
          </w:tcPr>
          <w:p>
            <w:pPr>
              <w:spacing w:after="0" w:line="205" w:lineRule="exact"/>
              <w:rPr>
                <w:sz w:val="20"/>
                <w:szCs w:val="20"/>
                <w:color w:val="auto"/>
              </w:rPr>
            </w:pPr>
            <w:r>
              <w:rPr>
                <w:rFonts w:ascii="Arial" w:cs="Arial" w:eastAsia="Arial" w:hAnsi="Arial"/>
                <w:sz w:val="18"/>
                <w:szCs w:val="18"/>
                <w:color w:val="0000FF"/>
                <w:w w:val="98"/>
              </w:rPr>
              <w:t>Quantitative and Qualitative Disclosures About Market Risk</w:t>
            </w:r>
          </w:p>
        </w:tc>
        <w:tc>
          <w:tcPr>
            <w:tcW w:w="4320" w:type="dxa"/>
            <w:vAlign w:val="bottom"/>
            <w:gridSpan w:val="7"/>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62</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8.</w:t>
            </w:r>
          </w:p>
        </w:tc>
        <w:tc>
          <w:tcPr>
            <w:tcW w:w="3660" w:type="dxa"/>
            <w:vAlign w:val="bottom"/>
            <w:tcBorders>
              <w:bottom w:val="single" w:sz="8" w:color="0000FF"/>
            </w:tcBorders>
            <w:gridSpan w:val="13"/>
          </w:tcPr>
          <w:p>
            <w:pPr>
              <w:spacing w:after="0" w:line="205" w:lineRule="exact"/>
              <w:rPr>
                <w:sz w:val="20"/>
                <w:szCs w:val="20"/>
                <w:color w:val="auto"/>
              </w:rPr>
            </w:pPr>
            <w:r>
              <w:rPr>
                <w:rFonts w:ascii="Arial" w:cs="Arial" w:eastAsia="Arial" w:hAnsi="Arial"/>
                <w:sz w:val="18"/>
                <w:szCs w:val="18"/>
                <w:color w:val="0000FF"/>
                <w:w w:val="97"/>
              </w:rPr>
              <w:t>Financial Statements and Supplementary Data</w:t>
            </w:r>
          </w:p>
        </w:tc>
        <w:tc>
          <w:tcPr>
            <w:tcW w:w="5300" w:type="dxa"/>
            <w:vAlign w:val="bottom"/>
            <w:gridSpan w:val="9"/>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62</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9.</w:t>
            </w:r>
          </w:p>
        </w:tc>
        <w:tc>
          <w:tcPr>
            <w:tcW w:w="8960" w:type="dxa"/>
            <w:vAlign w:val="bottom"/>
            <w:gridSpan w:val="22"/>
          </w:tcPr>
          <w:p>
            <w:pPr>
              <w:spacing w:after="0" w:line="205"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62</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9A.</w:t>
            </w:r>
          </w:p>
        </w:tc>
        <w:tc>
          <w:tcPr>
            <w:tcW w:w="7040" w:type="dxa"/>
            <w:vAlign w:val="bottom"/>
            <w:tcBorders>
              <w:top w:val="single" w:sz="8" w:color="0000FF"/>
            </w:tcBorders>
            <w:gridSpan w:val="19"/>
          </w:tcPr>
          <w:p>
            <w:pPr>
              <w:spacing w:after="0" w:line="205" w:lineRule="exact"/>
              <w:rPr>
                <w:sz w:val="20"/>
                <w:szCs w:val="20"/>
                <w:color w:val="auto"/>
              </w:rPr>
            </w:pPr>
            <w:r>
              <w:rPr>
                <w:rFonts w:ascii="Arial" w:cs="Arial" w:eastAsia="Arial" w:hAnsi="Arial"/>
                <w:sz w:val="18"/>
                <w:szCs w:val="18"/>
                <w:color w:val="0000FF"/>
              </w:rPr>
              <w:t>Controls and Procedures</w:t>
            </w:r>
          </w:p>
        </w:tc>
        <w:tc>
          <w:tcPr>
            <w:tcW w:w="1920" w:type="dxa"/>
            <w:vAlign w:val="bottom"/>
            <w:gridSpan w:val="3"/>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62</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9B.</w:t>
            </w:r>
          </w:p>
        </w:tc>
        <w:tc>
          <w:tcPr>
            <w:tcW w:w="1960" w:type="dxa"/>
            <w:vAlign w:val="bottom"/>
            <w:tcBorders>
              <w:top w:val="single" w:sz="8" w:color="0000FF"/>
            </w:tcBorders>
            <w:gridSpan w:val="9"/>
          </w:tcPr>
          <w:p>
            <w:pPr>
              <w:spacing w:after="0" w:line="205" w:lineRule="exact"/>
              <w:rPr>
                <w:sz w:val="20"/>
                <w:szCs w:val="20"/>
                <w:color w:val="auto"/>
              </w:rPr>
            </w:pPr>
            <w:r>
              <w:rPr>
                <w:rFonts w:ascii="Arial" w:cs="Arial" w:eastAsia="Arial" w:hAnsi="Arial"/>
                <w:sz w:val="18"/>
                <w:szCs w:val="18"/>
                <w:color w:val="0000FF"/>
              </w:rPr>
              <w:t>Other Information</w:t>
            </w:r>
          </w:p>
        </w:tc>
        <w:tc>
          <w:tcPr>
            <w:tcW w:w="7000" w:type="dxa"/>
            <w:vAlign w:val="bottom"/>
            <w:gridSpan w:val="13"/>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63</w:t>
            </w:r>
          </w:p>
        </w:tc>
      </w:tr>
      <w:tr>
        <w:trPr>
          <w:trHeight w:val="20"/>
        </w:trPr>
        <w:tc>
          <w:tcPr>
            <w:tcW w:w="1380" w:type="dxa"/>
            <w:vAlign w:val="bottom"/>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9C.</w:t>
            </w:r>
          </w:p>
        </w:tc>
        <w:tc>
          <w:tcPr>
            <w:tcW w:w="8960" w:type="dxa"/>
            <w:vAlign w:val="bottom"/>
            <w:gridSpan w:val="22"/>
          </w:tcPr>
          <w:p>
            <w:pPr>
              <w:spacing w:after="0" w:line="20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63</w:t>
            </w:r>
          </w:p>
        </w:tc>
      </w:tr>
      <w:tr>
        <w:trPr>
          <w:trHeight w:val="509"/>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7"/>
        </w:trPr>
        <w:tc>
          <w:tcPr>
            <w:tcW w:w="1380" w:type="dxa"/>
            <w:vAlign w:val="bottom"/>
          </w:tcPr>
          <w:p>
            <w:pPr>
              <w:ind w:left="120"/>
              <w:spacing w:after="0" w:line="187" w:lineRule="exact"/>
              <w:rPr>
                <w:sz w:val="20"/>
                <w:szCs w:val="20"/>
                <w:color w:val="auto"/>
              </w:rPr>
            </w:pPr>
            <w:r>
              <w:rPr>
                <w:rFonts w:ascii="Arial" w:cs="Arial" w:eastAsia="Arial" w:hAnsi="Arial"/>
                <w:sz w:val="18"/>
                <w:szCs w:val="18"/>
                <w:color w:val="auto"/>
              </w:rPr>
              <w:t>Item 10.</w:t>
            </w:r>
          </w:p>
        </w:tc>
        <w:tc>
          <w:tcPr>
            <w:tcW w:w="8960" w:type="dxa"/>
            <w:vAlign w:val="bottom"/>
            <w:gridSpan w:val="22"/>
          </w:tcPr>
          <w:p>
            <w:pPr>
              <w:spacing w:after="0" w:line="187" w:lineRule="exact"/>
              <w:rPr>
                <w:sz w:val="20"/>
                <w:szCs w:val="20"/>
                <w:color w:val="auto"/>
              </w:rPr>
            </w:pPr>
            <w:r>
              <w:rPr>
                <w:rFonts w:ascii="Arial" w:cs="Arial" w:eastAsia="Arial" w:hAnsi="Arial"/>
                <w:sz w:val="18"/>
                <w:szCs w:val="18"/>
                <w:color w:val="0000FF"/>
              </w:rPr>
              <w:t>Directors, Executive Officers and Corporate Governance</w:t>
            </w:r>
          </w:p>
        </w:tc>
        <w:tc>
          <w:tcPr>
            <w:tcW w:w="900" w:type="dxa"/>
            <w:vAlign w:val="bottom"/>
          </w:tcPr>
          <w:p>
            <w:pPr>
              <w:jc w:val="right"/>
              <w:spacing w:after="0" w:line="187" w:lineRule="exact"/>
              <w:rPr>
                <w:sz w:val="20"/>
                <w:szCs w:val="20"/>
                <w:color w:val="auto"/>
              </w:rPr>
            </w:pPr>
            <w:r>
              <w:rPr>
                <w:rFonts w:ascii="Arial" w:cs="Arial" w:eastAsia="Arial" w:hAnsi="Arial"/>
                <w:sz w:val="18"/>
                <w:szCs w:val="18"/>
                <w:color w:val="auto"/>
              </w:rPr>
              <w:t>64</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11.</w:t>
            </w:r>
          </w:p>
        </w:tc>
        <w:tc>
          <w:tcPr>
            <w:tcW w:w="4420" w:type="dxa"/>
            <w:vAlign w:val="bottom"/>
            <w:tcBorders>
              <w:top w:val="single" w:sz="8" w:color="0000FF"/>
            </w:tcBorders>
            <w:gridSpan w:val="14"/>
          </w:tcPr>
          <w:p>
            <w:pPr>
              <w:spacing w:after="0" w:line="205" w:lineRule="exact"/>
              <w:rPr>
                <w:sz w:val="20"/>
                <w:szCs w:val="20"/>
                <w:color w:val="auto"/>
              </w:rPr>
            </w:pPr>
            <w:r>
              <w:rPr>
                <w:rFonts w:ascii="Arial" w:cs="Arial" w:eastAsia="Arial" w:hAnsi="Arial"/>
                <w:sz w:val="18"/>
                <w:szCs w:val="18"/>
                <w:color w:val="0000FF"/>
              </w:rPr>
              <w:t>Executive Compensation</w:t>
            </w:r>
          </w:p>
        </w:tc>
        <w:tc>
          <w:tcPr>
            <w:tcW w:w="4540" w:type="dxa"/>
            <w:vAlign w:val="bottom"/>
            <w:gridSpan w:val="8"/>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71</w:t>
            </w:r>
          </w:p>
        </w:tc>
      </w:tr>
      <w:tr>
        <w:trPr>
          <w:trHeight w:val="20"/>
        </w:trPr>
        <w:tc>
          <w:tcPr>
            <w:tcW w:w="138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12.</w:t>
            </w:r>
          </w:p>
        </w:tc>
        <w:tc>
          <w:tcPr>
            <w:tcW w:w="7880" w:type="dxa"/>
            <w:vAlign w:val="bottom"/>
            <w:tcBorders>
              <w:bottom w:val="single" w:sz="8" w:color="0000FF"/>
            </w:tcBorders>
            <w:gridSpan w:val="20"/>
          </w:tcPr>
          <w:p>
            <w:pPr>
              <w:spacing w:after="0" w:line="205" w:lineRule="exact"/>
              <w:rPr>
                <w:sz w:val="20"/>
                <w:szCs w:val="20"/>
                <w:color w:val="auto"/>
              </w:rPr>
            </w:pPr>
            <w:r>
              <w:rPr>
                <w:rFonts w:ascii="Arial" w:cs="Arial" w:eastAsia="Arial" w:hAnsi="Arial"/>
                <w:sz w:val="18"/>
                <w:szCs w:val="18"/>
                <w:color w:val="0000FF"/>
                <w:w w:val="98"/>
              </w:rPr>
              <w:t>Security Ownership of Certain Beneficial Owners and Management and Related Stockholder Matters</w:t>
            </w:r>
          </w:p>
        </w:tc>
        <w:tc>
          <w:tcPr>
            <w:tcW w:w="1080" w:type="dxa"/>
            <w:vAlign w:val="bottom"/>
            <w:gridSpan w:val="2"/>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76</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13.</w:t>
            </w:r>
          </w:p>
        </w:tc>
        <w:tc>
          <w:tcPr>
            <w:tcW w:w="5980" w:type="dxa"/>
            <w:vAlign w:val="bottom"/>
            <w:tcBorders>
              <w:bottom w:val="single" w:sz="8" w:color="0000FF"/>
            </w:tcBorders>
            <w:gridSpan w:val="17"/>
          </w:tcPr>
          <w:p>
            <w:pPr>
              <w:spacing w:after="0" w:line="205" w:lineRule="exact"/>
              <w:rPr>
                <w:sz w:val="20"/>
                <w:szCs w:val="20"/>
                <w:color w:val="auto"/>
              </w:rPr>
            </w:pPr>
            <w:r>
              <w:rPr>
                <w:rFonts w:ascii="Arial" w:cs="Arial" w:eastAsia="Arial" w:hAnsi="Arial"/>
                <w:sz w:val="18"/>
                <w:szCs w:val="18"/>
                <w:color w:val="0000FF"/>
                <w:w w:val="97"/>
              </w:rPr>
              <w:t>Certain Relationships and Related Transactions, and Director Independence</w:t>
            </w:r>
          </w:p>
        </w:tc>
        <w:tc>
          <w:tcPr>
            <w:tcW w:w="2980" w:type="dxa"/>
            <w:vAlign w:val="bottom"/>
            <w:gridSpan w:val="5"/>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77</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14.</w:t>
            </w:r>
          </w:p>
        </w:tc>
        <w:tc>
          <w:tcPr>
            <w:tcW w:w="8960" w:type="dxa"/>
            <w:vAlign w:val="bottom"/>
            <w:gridSpan w:val="22"/>
          </w:tcPr>
          <w:p>
            <w:pPr>
              <w:spacing w:after="0" w:line="205" w:lineRule="exact"/>
              <w:rPr>
                <w:sz w:val="20"/>
                <w:szCs w:val="20"/>
                <w:color w:val="auto"/>
              </w:rPr>
            </w:pPr>
            <w:r>
              <w:rPr>
                <w:rFonts w:ascii="Arial" w:cs="Arial" w:eastAsia="Arial" w:hAnsi="Arial"/>
                <w:sz w:val="18"/>
                <w:szCs w:val="18"/>
                <w:color w:val="0000FF"/>
              </w:rPr>
              <w:t>Principal Accounting Fees and Services</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79</w:t>
            </w:r>
          </w:p>
        </w:tc>
      </w:tr>
      <w:tr>
        <w:trPr>
          <w:trHeight w:val="509"/>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7"/>
        </w:trPr>
        <w:tc>
          <w:tcPr>
            <w:tcW w:w="1380" w:type="dxa"/>
            <w:vAlign w:val="bottom"/>
          </w:tcPr>
          <w:p>
            <w:pPr>
              <w:ind w:left="120"/>
              <w:spacing w:after="0" w:line="187"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FF"/>
            </w:tcBorders>
            <w:gridSpan w:val="12"/>
          </w:tcPr>
          <w:p>
            <w:pPr>
              <w:spacing w:after="0" w:line="187" w:lineRule="exact"/>
              <w:rPr>
                <w:sz w:val="20"/>
                <w:szCs w:val="20"/>
                <w:color w:val="auto"/>
              </w:rPr>
            </w:pPr>
            <w:r>
              <w:rPr>
                <w:rFonts w:ascii="Arial" w:cs="Arial" w:eastAsia="Arial" w:hAnsi="Arial"/>
                <w:sz w:val="18"/>
                <w:szCs w:val="18"/>
                <w:color w:val="0000FF"/>
                <w:w w:val="97"/>
              </w:rPr>
              <w:t>Exhibits, Financial Statement Schedules</w:t>
            </w:r>
          </w:p>
        </w:tc>
        <w:tc>
          <w:tcPr>
            <w:tcW w:w="5800" w:type="dxa"/>
            <w:vAlign w:val="bottom"/>
            <w:gridSpan w:val="10"/>
          </w:tcPr>
          <w:p>
            <w:pPr>
              <w:spacing w:after="0"/>
              <w:rPr>
                <w:sz w:val="16"/>
                <w:szCs w:val="16"/>
                <w:color w:val="auto"/>
              </w:rPr>
            </w:pPr>
          </w:p>
        </w:tc>
        <w:tc>
          <w:tcPr>
            <w:tcW w:w="900" w:type="dxa"/>
            <w:vAlign w:val="bottom"/>
          </w:tcPr>
          <w:p>
            <w:pPr>
              <w:jc w:val="right"/>
              <w:spacing w:after="0" w:line="187" w:lineRule="exact"/>
              <w:rPr>
                <w:sz w:val="20"/>
                <w:szCs w:val="20"/>
                <w:color w:val="auto"/>
              </w:rPr>
            </w:pPr>
            <w:r>
              <w:rPr>
                <w:rFonts w:ascii="Arial" w:cs="Arial" w:eastAsia="Arial" w:hAnsi="Arial"/>
                <w:sz w:val="18"/>
                <w:szCs w:val="18"/>
                <w:color w:val="auto"/>
              </w:rPr>
              <w:t>80</w:t>
            </w:r>
          </w:p>
        </w:tc>
      </w:tr>
      <w:tr>
        <w:trPr>
          <w:trHeight w:val="205"/>
        </w:trPr>
        <w:tc>
          <w:tcPr>
            <w:tcW w:w="1380" w:type="dxa"/>
            <w:vAlign w:val="bottom"/>
          </w:tcPr>
          <w:p>
            <w:pPr>
              <w:ind w:left="120"/>
              <w:spacing w:after="0" w:line="205" w:lineRule="exact"/>
              <w:rPr>
                <w:sz w:val="20"/>
                <w:szCs w:val="20"/>
                <w:color w:val="auto"/>
              </w:rPr>
            </w:pPr>
            <w:r>
              <w:rPr>
                <w:rFonts w:ascii="Arial" w:cs="Arial" w:eastAsia="Arial" w:hAnsi="Arial"/>
                <w:sz w:val="18"/>
                <w:szCs w:val="18"/>
                <w:color w:val="auto"/>
              </w:rPr>
              <w:t>Item 16.</w:t>
            </w:r>
          </w:p>
        </w:tc>
        <w:tc>
          <w:tcPr>
            <w:tcW w:w="8960" w:type="dxa"/>
            <w:vAlign w:val="bottom"/>
            <w:gridSpan w:val="22"/>
          </w:tcPr>
          <w:p>
            <w:pPr>
              <w:spacing w:after="0" w:line="205" w:lineRule="exact"/>
              <w:rPr>
                <w:sz w:val="20"/>
                <w:szCs w:val="20"/>
                <w:color w:val="auto"/>
              </w:rPr>
            </w:pPr>
            <w:r>
              <w:rPr>
                <w:rFonts w:ascii="Arial" w:cs="Arial" w:eastAsia="Arial" w:hAnsi="Arial"/>
                <w:sz w:val="18"/>
                <w:szCs w:val="18"/>
                <w:color w:val="0000FF"/>
              </w:rPr>
              <w:t>Form 10-K Summary</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83</w:t>
            </w:r>
          </w:p>
        </w:tc>
      </w:tr>
      <w:tr>
        <w:trPr>
          <w:trHeight w:val="907"/>
        </w:trPr>
        <w:tc>
          <w:tcPr>
            <w:tcW w:w="1380" w:type="dxa"/>
            <w:vAlign w:val="bottom"/>
          </w:tcPr>
          <w:p>
            <w:pPr>
              <w:spacing w:after="0"/>
              <w:rPr>
                <w:sz w:val="24"/>
                <w:szCs w:val="24"/>
                <w:color w:val="auto"/>
              </w:rPr>
            </w:pPr>
          </w:p>
        </w:tc>
        <w:tc>
          <w:tcPr>
            <w:tcW w:w="1640" w:type="dxa"/>
            <w:vAlign w:val="bottom"/>
            <w:tcBorders>
              <w:top w:val="single" w:sz="8" w:color="0000FF"/>
            </w:tcBorders>
            <w:gridSpan w:val="7"/>
          </w:tcPr>
          <w:p>
            <w:pPr>
              <w:spacing w:after="0"/>
              <w:rPr>
                <w:sz w:val="24"/>
                <w:szCs w:val="24"/>
                <w:color w:val="auto"/>
              </w:rPr>
            </w:pPr>
          </w:p>
        </w:tc>
        <w:tc>
          <w:tcPr>
            <w:tcW w:w="2780" w:type="dxa"/>
            <w:vAlign w:val="bottom"/>
            <w:gridSpan w:val="7"/>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3"/>
        </w:trPr>
        <w:tc>
          <w:tcPr>
            <w:tcW w:w="13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SUMMARY OF RISK FACTORS</w:t>
      </w:r>
    </w:p>
    <w:p>
      <w:pPr>
        <w:spacing w:after="0" w:line="21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report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 As used herein, "we," "us," "our," "Greenidge" and "Company" refer to Greenidge Generation Holdings Inc. together with its consolidated subsidiaries.</w:t>
      </w: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as well as statements about or relating to or otherwise affected by:</w:t>
      </w:r>
    </w:p>
    <w:p>
      <w:pPr>
        <w:spacing w:after="0" w:line="102" w:lineRule="exact"/>
        <w:rPr>
          <w:sz w:val="20"/>
          <w:szCs w:val="20"/>
          <w:color w:val="auto"/>
        </w:rPr>
      </w:pPr>
    </w:p>
    <w:p>
      <w:pPr>
        <w:ind w:left="880" w:right="200" w:hanging="397"/>
        <w:spacing w:after="0" w:line="248" w:lineRule="auto"/>
        <w:tabs>
          <w:tab w:leader="none" w:pos="8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maintain our power and hosting arrangements, on acceptable terms or, our operations may be disrupted, and our business results may suffer which could have a material adverse effect on our business, financial condition and results of operations;</w:t>
      </w:r>
    </w:p>
    <w:p>
      <w:pPr>
        <w:spacing w:after="0" w:line="113" w:lineRule="exact"/>
        <w:rPr>
          <w:rFonts w:ascii="Arial" w:cs="Arial" w:eastAsia="Arial" w:hAnsi="Arial"/>
          <w:sz w:val="18"/>
          <w:szCs w:val="18"/>
          <w:color w:val="auto"/>
        </w:rPr>
      </w:pPr>
    </w:p>
    <w:p>
      <w:pPr>
        <w:ind w:left="840" w:hanging="35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and volatility in the price of bitcoin and other cryptocurrencies;</w:t>
      </w:r>
    </w:p>
    <w:p>
      <w:pPr>
        <w:spacing w:after="0" w:line="150" w:lineRule="exact"/>
        <w:rPr>
          <w:rFonts w:ascii="Arial" w:cs="Arial" w:eastAsia="Arial" w:hAnsi="Arial"/>
          <w:sz w:val="18"/>
          <w:szCs w:val="18"/>
          <w:color w:val="auto"/>
        </w:rPr>
      </w:pPr>
    </w:p>
    <w:p>
      <w:pPr>
        <w:ind w:left="840" w:hanging="35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by us to obtain acceptable financing with regard to our growth strategies or operations;</w:t>
      </w:r>
    </w:p>
    <w:p>
      <w:pPr>
        <w:spacing w:after="0" w:line="137" w:lineRule="exact"/>
        <w:rPr>
          <w:rFonts w:ascii="Arial" w:cs="Arial" w:eastAsia="Arial" w:hAnsi="Arial"/>
          <w:sz w:val="18"/>
          <w:szCs w:val="18"/>
          <w:color w:val="auto"/>
        </w:rPr>
      </w:pPr>
    </w:p>
    <w:p>
      <w:pPr>
        <w:ind w:left="880" w:right="80" w:hanging="397"/>
        <w:spacing w:after="0" w:line="297" w:lineRule="auto"/>
        <w:tabs>
          <w:tab w:leader="none" w:pos="8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negotiate or execute definitive documentation with respect to potential expansion sites on terms and conditions that are acceptable to Greenidge, whether on a timely basis or at all;</w:t>
      </w:r>
    </w:p>
    <w:p>
      <w:pPr>
        <w:spacing w:after="0" w:line="83" w:lineRule="exact"/>
        <w:rPr>
          <w:rFonts w:ascii="Arial" w:cs="Arial" w:eastAsia="Arial" w:hAnsi="Arial"/>
          <w:sz w:val="18"/>
          <w:szCs w:val="18"/>
          <w:color w:val="auto"/>
        </w:rPr>
      </w:pPr>
    </w:p>
    <w:p>
      <w:pPr>
        <w:ind w:left="880" w:right="40" w:hanging="397"/>
        <w:spacing w:after="0" w:line="297" w:lineRule="auto"/>
        <w:tabs>
          <w:tab w:leader="none" w:pos="849"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regulations or permits affecting our operations or the industries in which we operate, including regulation regarding power generation, cryptocurrency usage and/or cryptocurrency mining;</w:t>
      </w:r>
    </w:p>
    <w:p>
      <w:pPr>
        <w:spacing w:after="0" w:line="83" w:lineRule="exact"/>
        <w:rPr>
          <w:rFonts w:ascii="Arial" w:cs="Arial" w:eastAsia="Arial" w:hAnsi="Arial"/>
          <w:sz w:val="18"/>
          <w:szCs w:val="18"/>
          <w:color w:val="auto"/>
        </w:rPr>
      </w:pPr>
    </w:p>
    <w:p>
      <w:pPr>
        <w:ind w:left="840" w:hanging="35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public confidence in, or use cases of, bitcoin and other cryptocurrencies;</w:t>
      </w:r>
    </w:p>
    <w:p>
      <w:pPr>
        <w:spacing w:after="0" w:line="150" w:lineRule="exact"/>
        <w:rPr>
          <w:rFonts w:ascii="Arial" w:cs="Arial" w:eastAsia="Arial" w:hAnsi="Arial"/>
          <w:sz w:val="18"/>
          <w:szCs w:val="18"/>
          <w:color w:val="auto"/>
        </w:rPr>
      </w:pPr>
    </w:p>
    <w:p>
      <w:pPr>
        <w:ind w:left="840" w:hanging="35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cryptocurrency market manipulation;</w:t>
      </w:r>
    </w:p>
    <w:p>
      <w:pPr>
        <w:spacing w:after="0" w:line="137" w:lineRule="exact"/>
        <w:rPr>
          <w:rFonts w:ascii="Arial" w:cs="Arial" w:eastAsia="Arial" w:hAnsi="Arial"/>
          <w:sz w:val="18"/>
          <w:szCs w:val="18"/>
          <w:color w:val="auto"/>
        </w:rPr>
      </w:pPr>
    </w:p>
    <w:p>
      <w:pPr>
        <w:ind w:left="880" w:right="220" w:hanging="397"/>
        <w:spacing w:after="0" w:line="297" w:lineRule="auto"/>
        <w:tabs>
          <w:tab w:leader="none" w:pos="849" w:val="left"/>
        </w:tabs>
        <w:numPr>
          <w:ilvl w:val="0"/>
          <w:numId w:val="3"/>
        </w:numPr>
        <w:rPr>
          <w:rFonts w:ascii="Arial" w:cs="Arial" w:eastAsia="Arial" w:hAnsi="Arial"/>
          <w:sz w:val="18"/>
          <w:szCs w:val="18"/>
          <w:color w:val="auto"/>
          <w:strike w:val="1"/>
        </w:rPr>
      </w:pPr>
      <w:r>
        <w:rPr>
          <w:rFonts w:ascii="Arial" w:cs="Arial" w:eastAsia="Arial" w:hAnsi="Arial"/>
          <w:sz w:val="18"/>
          <w:szCs w:val="18"/>
          <w:color w:val="auto"/>
        </w:rPr>
        <w:t>the economics of hosting cryptocurrency miners, including as to variables or factors affecting the cost, efficiency and profitability of our hosting arrangement;</w:t>
      </w:r>
    </w:p>
    <w:p>
      <w:pPr>
        <w:spacing w:after="0" w:line="83" w:lineRule="exact"/>
        <w:rPr>
          <w:rFonts w:ascii="Arial" w:cs="Arial" w:eastAsia="Arial" w:hAnsi="Arial"/>
          <w:sz w:val="18"/>
          <w:szCs w:val="18"/>
          <w:color w:val="auto"/>
          <w:strike w:val="1"/>
        </w:rPr>
      </w:pPr>
    </w:p>
    <w:p>
      <w:pPr>
        <w:ind w:left="880" w:right="420" w:hanging="397"/>
        <w:spacing w:after="0" w:line="329" w:lineRule="auto"/>
        <w:tabs>
          <w:tab w:leader="none" w:pos="84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delivery schedule and cost of equipment necessary to maintain and grow our business and operations, including datacenter equipment and equipment meeting the technical or other specifications required to achieve our growth strategy;</w:t>
      </w:r>
    </w:p>
    <w:p>
      <w:pPr>
        <w:spacing w:after="0" w:line="60" w:lineRule="exact"/>
        <w:rPr>
          <w:rFonts w:ascii="Arial" w:cs="Arial" w:eastAsia="Arial" w:hAnsi="Arial"/>
          <w:sz w:val="17"/>
          <w:szCs w:val="17"/>
          <w:color w:val="auto"/>
        </w:rPr>
      </w:pPr>
    </w:p>
    <w:p>
      <w:pPr>
        <w:ind w:left="880" w:right="180" w:hanging="397"/>
        <w:spacing w:after="0" w:line="297" w:lineRule="auto"/>
        <w:tabs>
          <w:tab w:leader="none" w:pos="8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or competitive factors, including factors affecting the industries in which we operate or upon which we rely and are dependent;</w:t>
      </w:r>
    </w:p>
    <w:p>
      <w:pPr>
        <w:spacing w:after="0" w:line="83" w:lineRule="exact"/>
        <w:rPr>
          <w:rFonts w:ascii="Arial" w:cs="Arial" w:eastAsia="Arial" w:hAnsi="Arial"/>
          <w:sz w:val="18"/>
          <w:szCs w:val="18"/>
          <w:color w:val="auto"/>
        </w:rPr>
      </w:pPr>
    </w:p>
    <w:p>
      <w:pPr>
        <w:ind w:left="840" w:hanging="35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expand successfully to other facilities, mine other cryptocurrencies or otherwise expand our business;</w:t>
      </w:r>
    </w:p>
    <w:p>
      <w:pPr>
        <w:spacing w:after="0" w:line="150" w:lineRule="exact"/>
        <w:rPr>
          <w:rFonts w:ascii="Arial" w:cs="Arial" w:eastAsia="Arial" w:hAnsi="Arial"/>
          <w:sz w:val="18"/>
          <w:szCs w:val="18"/>
          <w:color w:val="auto"/>
        </w:rPr>
      </w:pPr>
    </w:p>
    <w:p>
      <w:pPr>
        <w:ind w:left="840" w:hanging="35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regulations applicable to us, our assets or cryptocurrencies, including bitcoin;</w:t>
      </w:r>
    </w:p>
    <w:p>
      <w:pPr>
        <w:spacing w:after="0" w:line="150" w:lineRule="exact"/>
        <w:rPr>
          <w:rFonts w:ascii="Arial" w:cs="Arial" w:eastAsia="Arial" w:hAnsi="Arial"/>
          <w:sz w:val="18"/>
          <w:szCs w:val="18"/>
          <w:color w:val="auto"/>
        </w:rPr>
      </w:pPr>
    </w:p>
    <w:p>
      <w:pPr>
        <w:ind w:left="840" w:hanging="35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litigation involving us;</w:t>
      </w:r>
    </w:p>
    <w:p>
      <w:pPr>
        <w:spacing w:after="0" w:line="137" w:lineRule="exact"/>
        <w:rPr>
          <w:rFonts w:ascii="Arial" w:cs="Arial" w:eastAsia="Arial" w:hAnsi="Arial"/>
          <w:sz w:val="18"/>
          <w:szCs w:val="18"/>
          <w:color w:val="auto"/>
        </w:rPr>
      </w:pPr>
    </w:p>
    <w:p>
      <w:pPr>
        <w:ind w:left="840" w:hanging="35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and expenses relating to cryptocurrency transaction fees and fluctuation in cryptocurrency transaction fees; and</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30" w:right="359" w:bottom="1440" w:gutter="0" w:footer="0" w:header="0"/>
        </w:sectPr>
      </w:pPr>
    </w:p>
    <w:bookmarkStart w:id="3" w:name="page4"/>
    <w:bookmarkEnd w:id="3"/>
    <w:p>
      <w:pPr>
        <w:ind w:left="880" w:right="240" w:hanging="397"/>
        <w:spacing w:after="0" w:line="329" w:lineRule="auto"/>
        <w:tabs>
          <w:tab w:leader="none" w:pos="84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condition of our physical assets, including that our operating facility may realize material, if not total, loss and interference as a result of equipment malfunction or break-down, physical disaster, data security breach, computer malfunction or sabotage.</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Consequently, all of the forward-looking statements made in this report are qualified by the information contained herein, including the information contained under this caption and the information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10-K. No assurance can be given that these are all of the factors that could cause actual results to vary materially from the forward-looking statements.</w:t>
      </w:r>
    </w:p>
    <w:p>
      <w:pPr>
        <w:spacing w:after="0" w:line="188"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You should not put undue reliance on forward-looking statements. No assurances can be given that any of the events anticipated by the forward-looking statements will transpire or occur, or if any of them do occur, what impact they will have on the results of our operations, financial condition or cash flows. Actual results may differ materially from those discussed in this Annual Report on Form 10-K. All forward-looking statements speak only as of the date of this report and we do not assume any duty to update or revise forward-looking statements, whether as a result of new information, future events, uncertainties or otherwise, as of any future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3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Our business is subject to numerous risks and uncertainties, which illuminate challenges that we face in connection with the successful implementation of our strategy and the growth of our business. The following considerations, among others, may offset our competitive strengths or have a negative effect on our business strategy, which could impact our results of operations, financial condition or cash flows or cause a decline in the price of our class A common stock:</w:t>
      </w:r>
    </w:p>
    <w:p>
      <w:pPr>
        <w:spacing w:after="0" w:line="102" w:lineRule="exact"/>
        <w:rPr>
          <w:sz w:val="20"/>
          <w:szCs w:val="20"/>
          <w:color w:val="auto"/>
        </w:rPr>
      </w:pPr>
    </w:p>
    <w:p>
      <w:pPr>
        <w:ind w:left="880" w:right="40" w:hanging="397"/>
        <w:spacing w:after="0" w:line="251" w:lineRule="auto"/>
        <w:tabs>
          <w:tab w:leader="none" w:pos="849"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there is a risk as to our ability to continue as a going concern for a reasonable period of time, an investment in our common stock is highly speculative. Holders of our common stock could suffer a total loss of their investment.</w:t>
      </w:r>
    </w:p>
    <w:p>
      <w:pPr>
        <w:spacing w:after="0" w:line="110" w:lineRule="exact"/>
        <w:rPr>
          <w:rFonts w:ascii="Arial" w:cs="Arial" w:eastAsia="Arial" w:hAnsi="Arial"/>
          <w:sz w:val="18"/>
          <w:szCs w:val="18"/>
          <w:color w:val="auto"/>
        </w:rPr>
      </w:pPr>
    </w:p>
    <w:p>
      <w:pPr>
        <w:ind w:left="880" w:right="560" w:hanging="397"/>
        <w:spacing w:after="0" w:line="297" w:lineRule="auto"/>
        <w:tabs>
          <w:tab w:leader="none" w:pos="84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raise additional capital to grow our business and may not be able to do so on favorable terms, if at all. Future issuances of equity or debt securities may adversely affect the value of our common stock.</w:t>
      </w:r>
    </w:p>
    <w:p>
      <w:pPr>
        <w:spacing w:after="0" w:line="83" w:lineRule="exact"/>
        <w:rPr>
          <w:rFonts w:ascii="Arial" w:cs="Arial" w:eastAsia="Arial" w:hAnsi="Arial"/>
          <w:sz w:val="18"/>
          <w:szCs w:val="18"/>
          <w:color w:val="auto"/>
        </w:rPr>
      </w:pPr>
    </w:p>
    <w:p>
      <w:pPr>
        <w:ind w:left="880" w:right="160" w:hanging="397"/>
        <w:spacing w:after="0" w:line="287" w:lineRule="auto"/>
        <w:tabs>
          <w:tab w:leader="none" w:pos="84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with operating losses as we have grown. If we are unable to sustain greater revenues than our operating costs, as well as expansion plans, we will resume operating losses, which could negatively impact our results of operations, strategy and financial performance.</w:t>
      </w:r>
    </w:p>
    <w:p>
      <w:pPr>
        <w:spacing w:after="0" w:line="105" w:lineRule="exact"/>
        <w:rPr>
          <w:rFonts w:ascii="Arial" w:cs="Arial" w:eastAsia="Arial" w:hAnsi="Arial"/>
          <w:sz w:val="18"/>
          <w:szCs w:val="18"/>
          <w:color w:val="auto"/>
        </w:rPr>
      </w:pPr>
    </w:p>
    <w:p>
      <w:pPr>
        <w:ind w:left="840" w:hanging="357"/>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class A common stock is subject to delisting proceedings from the Nasdaq Global Select Market.</w:t>
      </w:r>
    </w:p>
    <w:p>
      <w:pPr>
        <w:spacing w:after="0" w:line="137" w:lineRule="exact"/>
        <w:rPr>
          <w:rFonts w:ascii="Arial" w:cs="Arial" w:eastAsia="Arial" w:hAnsi="Arial"/>
          <w:sz w:val="18"/>
          <w:szCs w:val="18"/>
          <w:color w:val="auto"/>
        </w:rPr>
      </w:pPr>
    </w:p>
    <w:p>
      <w:pPr>
        <w:ind w:left="880" w:right="240" w:hanging="397"/>
        <w:spacing w:after="0" w:line="288" w:lineRule="auto"/>
        <w:tabs>
          <w:tab w:leader="none" w:pos="849"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portion of our assets are pledged to our senior secured noteholders, and our miners are pledged to certain other lenders. This obligation may limit our ability to obtain additional capital to grow our business and failure to repay obligations to our noteholders or other lenders when due will have a material adverse effect on our business and could result in foreclosure on our assets.</w:t>
      </w:r>
    </w:p>
    <w:p>
      <w:pPr>
        <w:spacing w:after="0" w:line="92" w:lineRule="exact"/>
        <w:rPr>
          <w:rFonts w:ascii="Arial" w:cs="Arial" w:eastAsia="Arial" w:hAnsi="Arial"/>
          <w:sz w:val="18"/>
          <w:szCs w:val="18"/>
          <w:color w:val="auto"/>
        </w:rPr>
      </w:pPr>
    </w:p>
    <w:p>
      <w:pPr>
        <w:ind w:left="880" w:right="1040" w:hanging="397"/>
        <w:spacing w:after="0" w:line="297" w:lineRule="auto"/>
        <w:tabs>
          <w:tab w:leader="none" w:pos="84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single hosting customer and are exposed to customer concentration risk, as well as exposed to counterparty nonperformance risk for our hosting arrangement.</w:t>
      </w:r>
    </w:p>
    <w:p>
      <w:pPr>
        <w:spacing w:after="0" w:line="83" w:lineRule="exact"/>
        <w:rPr>
          <w:rFonts w:ascii="Arial" w:cs="Arial" w:eastAsia="Arial" w:hAnsi="Arial"/>
          <w:sz w:val="18"/>
          <w:szCs w:val="18"/>
          <w:color w:val="auto"/>
        </w:rPr>
      </w:pPr>
    </w:p>
    <w:p>
      <w:pPr>
        <w:ind w:left="880" w:right="320" w:hanging="397"/>
        <w:spacing w:after="0" w:line="297" w:lineRule="auto"/>
        <w:tabs>
          <w:tab w:leader="none" w:pos="84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at an early stage of development of our hosting business, currently have limited sources of revenue and may not become profitable in the future.</w:t>
      </w:r>
    </w:p>
    <w:p>
      <w:pPr>
        <w:spacing w:after="0" w:line="97" w:lineRule="exact"/>
        <w:rPr>
          <w:rFonts w:ascii="Arial" w:cs="Arial" w:eastAsia="Arial" w:hAnsi="Arial"/>
          <w:sz w:val="18"/>
          <w:szCs w:val="18"/>
          <w:color w:val="auto"/>
        </w:rPr>
      </w:pPr>
    </w:p>
    <w:p>
      <w:pPr>
        <w:ind w:left="880" w:right="340" w:hanging="397"/>
        <w:spacing w:after="0" w:line="282" w:lineRule="auto"/>
        <w:tabs>
          <w:tab w:leader="none" w:pos="849"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may take significant time, expenditure or effort for us to grow our business, including our bitcoin datacenter operations, through acquisitions, and our efforts may not be successful.</w:t>
      </w:r>
    </w:p>
    <w:p>
      <w:pPr>
        <w:spacing w:after="0" w:line="109" w:lineRule="exact"/>
        <w:rPr>
          <w:rFonts w:ascii="Arial" w:cs="Arial" w:eastAsia="Arial" w:hAnsi="Arial"/>
          <w:sz w:val="18"/>
          <w:szCs w:val="18"/>
          <w:color w:val="auto"/>
        </w:rPr>
      </w:pPr>
    </w:p>
    <w:p>
      <w:pPr>
        <w:ind w:left="880" w:right="400" w:hanging="397"/>
        <w:spacing w:after="0" w:line="282" w:lineRule="auto"/>
        <w:tabs>
          <w:tab w:leader="none" w:pos="8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any of our management team, an inability to execute an effective succession plan, or an inability to attract and retain qualified personnel could adversely affect our results of operations, strategy and financial performance.</w:t>
      </w:r>
    </w:p>
    <w:p>
      <w:pPr>
        <w:spacing w:after="0" w:line="109" w:lineRule="exact"/>
        <w:rPr>
          <w:rFonts w:ascii="Arial" w:cs="Arial" w:eastAsia="Arial" w:hAnsi="Arial"/>
          <w:sz w:val="18"/>
          <w:szCs w:val="18"/>
          <w:color w:val="auto"/>
        </w:rPr>
      </w:pPr>
    </w:p>
    <w:p>
      <w:pPr>
        <w:ind w:left="880" w:right="500" w:hanging="397"/>
        <w:spacing w:after="0" w:line="282" w:lineRule="auto"/>
        <w:tabs>
          <w:tab w:leader="none" w:pos="84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been, are currently, and may be in the future, the subject of legal proceedings, including governmental investigations, relating to our products or services.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4" w:name="page5"/>
    <w:bookmarkEnd w:id="4"/>
    <w:p>
      <w:pPr>
        <w:ind w:left="400" w:right="140" w:hanging="397"/>
        <w:spacing w:after="0" w:line="287"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we have multiple sources of revenue from our business and operations, our revenues are largely dependent on the single natural gas power generation facility that we operate. Any disruption to our single power plant would have a material adverse effect on our business and operations, as well as our results of operations and financial condition.</w:t>
      </w:r>
    </w:p>
    <w:p>
      <w:pPr>
        <w:spacing w:after="0" w:line="105" w:lineRule="exact"/>
        <w:rPr>
          <w:rFonts w:ascii="Arial" w:cs="Arial" w:eastAsia="Arial" w:hAnsi="Arial"/>
          <w:sz w:val="18"/>
          <w:szCs w:val="18"/>
          <w:color w:val="auto"/>
        </w:rPr>
      </w:pPr>
    </w:p>
    <w:p>
      <w:pPr>
        <w:ind w:left="360" w:hanging="357"/>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compete effectively against other companies, some of whom have greater resources and experience.</w:t>
      </w:r>
    </w:p>
    <w:p>
      <w:pPr>
        <w:spacing w:after="0" w:line="137" w:lineRule="exact"/>
        <w:rPr>
          <w:rFonts w:ascii="Arial" w:cs="Arial" w:eastAsia="Arial" w:hAnsi="Arial"/>
          <w:sz w:val="18"/>
          <w:szCs w:val="18"/>
          <w:color w:val="auto"/>
        </w:rPr>
      </w:pPr>
    </w:p>
    <w:p>
      <w:pPr>
        <w:ind w:left="400" w:right="40" w:hanging="397"/>
        <w:spacing w:after="0" w:line="287"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the aggregate amount of computing power, or hash rate, in the bitcoin network increases, the amount of bitcoin earned per unit of hash rate decreases; as a result, in order to maintain our market share, we may have to incur significant capital expenditures in order to expand our fleet of miners.</w:t>
      </w:r>
    </w:p>
    <w:p>
      <w:pPr>
        <w:spacing w:after="0" w:line="105" w:lineRule="exact"/>
        <w:rPr>
          <w:rFonts w:ascii="Arial" w:cs="Arial" w:eastAsia="Arial" w:hAnsi="Arial"/>
          <w:sz w:val="18"/>
          <w:szCs w:val="18"/>
          <w:color w:val="auto"/>
        </w:rPr>
      </w:pPr>
    </w:p>
    <w:p>
      <w:pPr>
        <w:ind w:left="400" w:right="200" w:hanging="397"/>
        <w:spacing w:after="0" w:line="282"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success will depend significantly on the price of bitcoin, which is subject to risk and has historically been subject to wide swings and significant volatility.</w:t>
      </w:r>
    </w:p>
    <w:p>
      <w:pPr>
        <w:spacing w:after="0" w:line="109" w:lineRule="exact"/>
        <w:rPr>
          <w:rFonts w:ascii="Arial" w:cs="Arial" w:eastAsia="Arial" w:hAnsi="Arial"/>
          <w:sz w:val="18"/>
          <w:szCs w:val="18"/>
          <w:color w:val="auto"/>
        </w:rPr>
      </w:pPr>
    </w:p>
    <w:p>
      <w:pPr>
        <w:ind w:left="400" w:right="140" w:hanging="397"/>
        <w:spacing w:after="0" w:line="287"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digital asset exchanges on which cryptocurrencies, including bitcoin, trade are relatively new and largely unregulated, and thus may be exposed to fraud and failure. Such failures may result in a reduction in the price of bitcoin and other cryptocurrencies and can adversely affect an investment in us.</w:t>
      </w:r>
    </w:p>
    <w:p>
      <w:pPr>
        <w:spacing w:after="0" w:line="92" w:lineRule="exact"/>
        <w:rPr>
          <w:rFonts w:ascii="Arial" w:cs="Arial" w:eastAsia="Arial" w:hAnsi="Arial"/>
          <w:sz w:val="18"/>
          <w:szCs w:val="18"/>
          <w:color w:val="auto"/>
        </w:rPr>
      </w:pPr>
    </w:p>
    <w:p>
      <w:pPr>
        <w:ind w:left="400" w:right="180" w:hanging="397"/>
        <w:spacing w:after="0" w:line="297"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properties utilized by us in our cryptocurrency datacenter and hosting may experience damage, including damage not covered by insurance.</w:t>
      </w:r>
    </w:p>
    <w:p>
      <w:pPr>
        <w:spacing w:after="0" w:line="83" w:lineRule="exact"/>
        <w:rPr>
          <w:rFonts w:ascii="Arial" w:cs="Arial" w:eastAsia="Arial" w:hAnsi="Arial"/>
          <w:sz w:val="18"/>
          <w:szCs w:val="18"/>
          <w:color w:val="auto"/>
        </w:rPr>
      </w:pPr>
    </w:p>
    <w:p>
      <w:pPr>
        <w:ind w:left="400" w:right="20" w:hanging="397"/>
        <w:spacing w:after="0" w:line="289"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bitcoin or other cryptocurrencies are determined to be investment securities, and we hold a significant portion of our assets in such cryptocurrency, investment securities or non-controlling equity interests of other entities, we may inadvertently violate the Investment Company Act or other securities laws. We could incur large losses to modify our operations to avoid the need to register as an investment company or could incur significant expenses to register as an investment company or could terminate operations altogether.</w:t>
      </w:r>
    </w:p>
    <w:p>
      <w:pPr>
        <w:spacing w:after="0" w:line="92" w:lineRule="exact"/>
        <w:rPr>
          <w:rFonts w:ascii="Arial" w:cs="Arial" w:eastAsia="Arial" w:hAnsi="Arial"/>
          <w:sz w:val="18"/>
          <w:szCs w:val="18"/>
          <w:color w:val="auto"/>
        </w:rPr>
      </w:pPr>
    </w:p>
    <w:p>
      <w:pPr>
        <w:ind w:left="400" w:right="300" w:hanging="397"/>
        <w:spacing w:after="0" w:line="297"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changes or actions may alter the nature of an investment in us or restrict the use of bitcoin in a manner that adversely affects our business prospects, our results of operations and financial condition.</w:t>
      </w:r>
    </w:p>
    <w:p>
      <w:pPr>
        <w:spacing w:after="0" w:line="83" w:lineRule="exact"/>
        <w:rPr>
          <w:rFonts w:ascii="Arial" w:cs="Arial" w:eastAsia="Arial" w:hAnsi="Arial"/>
          <w:sz w:val="18"/>
          <w:szCs w:val="18"/>
          <w:color w:val="auto"/>
        </w:rPr>
      </w:pPr>
    </w:p>
    <w:p>
      <w:pPr>
        <w:ind w:left="400" w:right="80" w:hanging="397"/>
        <w:spacing w:after="0" w:line="297"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risks related to Internet disruptions, which could have an adverse effect on our ability to host bitcoin miners and to mine bitcoin.</w:t>
      </w:r>
    </w:p>
    <w:p>
      <w:pPr>
        <w:spacing w:after="0" w:line="83" w:lineRule="exact"/>
        <w:rPr>
          <w:rFonts w:ascii="Arial" w:cs="Arial" w:eastAsia="Arial" w:hAnsi="Arial"/>
          <w:sz w:val="18"/>
          <w:szCs w:val="18"/>
          <w:color w:val="auto"/>
        </w:rPr>
      </w:pPr>
    </w:p>
    <w:p>
      <w:pPr>
        <w:ind w:left="400" w:right="240" w:hanging="397"/>
        <w:spacing w:after="0" w:line="287"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w:t>
      </w:r>
    </w:p>
    <w:p>
      <w:pPr>
        <w:spacing w:after="0" w:line="105" w:lineRule="exact"/>
        <w:rPr>
          <w:rFonts w:ascii="Arial" w:cs="Arial" w:eastAsia="Arial" w:hAnsi="Arial"/>
          <w:sz w:val="18"/>
          <w:szCs w:val="18"/>
          <w:color w:val="auto"/>
        </w:rPr>
      </w:pPr>
    </w:p>
    <w:p>
      <w:pPr>
        <w:ind w:left="400" w:right="260" w:hanging="397"/>
        <w:spacing w:after="0" w:line="282"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material environmental liabilities and cost of compliance with existing and new environmental laws could have a material adverse effect on us.</w:t>
      </w:r>
    </w:p>
    <w:p>
      <w:pPr>
        <w:spacing w:after="0" w:line="109" w:lineRule="exact"/>
        <w:rPr>
          <w:rFonts w:ascii="Arial" w:cs="Arial" w:eastAsia="Arial" w:hAnsi="Arial"/>
          <w:sz w:val="18"/>
          <w:szCs w:val="18"/>
          <w:color w:val="auto"/>
        </w:rPr>
      </w:pPr>
    </w:p>
    <w:p>
      <w:pPr>
        <w:ind w:left="400" w:right="760" w:hanging="397"/>
        <w:spacing w:after="0" w:line="282"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Banks and financial institutions may not provide bank accounts, or may cut off certain banking or other financial services, to cryptocurrency investors or businesses that engage in bitcoin-related activities or that accept bitcoin as payment.</w:t>
      </w:r>
    </w:p>
    <w:p>
      <w:pPr>
        <w:spacing w:after="0" w:line="109" w:lineRule="exact"/>
        <w:rPr>
          <w:rFonts w:ascii="Arial" w:cs="Arial" w:eastAsia="Arial" w:hAnsi="Arial"/>
          <w:sz w:val="18"/>
          <w:szCs w:val="18"/>
          <w:color w:val="auto"/>
        </w:rPr>
      </w:pPr>
    </w:p>
    <w:p>
      <w:pPr>
        <w:ind w:left="360" w:hanging="357"/>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geopolitical and economic events on the supply and demand for bitcoin is uncertain.</w:t>
      </w:r>
    </w:p>
    <w:p>
      <w:pPr>
        <w:spacing w:after="0" w:line="137" w:lineRule="exact"/>
        <w:rPr>
          <w:rFonts w:ascii="Arial" w:cs="Arial" w:eastAsia="Arial" w:hAnsi="Arial"/>
          <w:sz w:val="18"/>
          <w:szCs w:val="18"/>
          <w:color w:val="auto"/>
        </w:rPr>
      </w:pPr>
    </w:p>
    <w:p>
      <w:pPr>
        <w:ind w:left="400" w:right="260" w:hanging="397"/>
        <w:spacing w:after="0" w:line="297"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Bitcoin miners and other necessary hardware are subject to malfunction, technological obsolescence, the global supply chain and difficulty and cost in obtaining new hardware.</w:t>
      </w:r>
    </w:p>
    <w:p>
      <w:pPr>
        <w:spacing w:after="0" w:line="97" w:lineRule="exact"/>
        <w:rPr>
          <w:rFonts w:ascii="Arial" w:cs="Arial" w:eastAsia="Arial" w:hAnsi="Arial"/>
          <w:sz w:val="18"/>
          <w:szCs w:val="18"/>
          <w:color w:val="auto"/>
        </w:rPr>
      </w:pPr>
    </w:p>
    <w:p>
      <w:pPr>
        <w:ind w:left="360" w:hanging="357"/>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adequately respond to rapidly changing technology.</w:t>
      </w:r>
    </w:p>
    <w:p>
      <w:pPr>
        <w:spacing w:after="0" w:line="137" w:lineRule="exact"/>
        <w:rPr>
          <w:rFonts w:ascii="Arial" w:cs="Arial" w:eastAsia="Arial" w:hAnsi="Arial"/>
          <w:sz w:val="18"/>
          <w:szCs w:val="18"/>
          <w:color w:val="auto"/>
        </w:rPr>
      </w:pPr>
    </w:p>
    <w:p>
      <w:pPr>
        <w:ind w:left="400" w:hanging="397"/>
        <w:spacing w:after="0" w:line="297"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properly monitor and upgrade the bitcoin network protocol could damage the bitcoin network which could, in turn, have an adverse effect on our business.</w:t>
      </w:r>
    </w:p>
    <w:p>
      <w:pPr>
        <w:spacing w:after="0" w:line="83" w:lineRule="exact"/>
        <w:rPr>
          <w:rFonts w:ascii="Arial" w:cs="Arial" w:eastAsia="Arial" w:hAnsi="Arial"/>
          <w:sz w:val="18"/>
          <w:szCs w:val="18"/>
          <w:color w:val="auto"/>
        </w:rPr>
      </w:pPr>
    </w:p>
    <w:p>
      <w:pPr>
        <w:ind w:left="400" w:right="260" w:hanging="397"/>
        <w:spacing w:after="0" w:line="287" w:lineRule="auto"/>
        <w:tabs>
          <w:tab w:leader="none" w:pos="369"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time, incentives for bitcoin miners to continue to contribute processing power to the bitcoin network may transition from a set reward to transaction fees. If the incentives for bitcoin mining are not sufficiently high, we may not have an adequate incentive to continue datacenter operations.</w:t>
      </w:r>
    </w:p>
    <w:p>
      <w:pPr>
        <w:spacing w:after="0" w:line="3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217170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800" w:top="1053" w:right="359" w:bottom="1440" w:gutter="0" w:footer="0" w:header="0"/>
        </w:sectPr>
      </w:pPr>
    </w:p>
    <w:bookmarkStart w:id="5" w:name="page6"/>
    <w:bookmarkEnd w:id="5"/>
    <w:p>
      <w:pPr>
        <w:ind w:left="880" w:hanging="397"/>
        <w:spacing w:after="0" w:line="297" w:lineRule="auto"/>
        <w:tabs>
          <w:tab w:leader="none" w:pos="849"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operations and financial performance may be impacted by fuel supply disruptions, price fluctuations in the wholesale power and natural gas markets, and fluctuations in other market factors that are beyond our control.</w:t>
      </w:r>
    </w:p>
    <w:p>
      <w:pPr>
        <w:spacing w:after="0" w:line="17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risks described above should be read together with the text of the full risk factors described in Part I, Item 1A. "Risk Factors" and the other information set forth in this report, including our consolidated financial statements and the related notes, as well as in other documents that we file with the SEC. Our business, prospects, results of operations or financial condition could be harmed by any of these risks, as well as other risks not currently known to us or that we currently consider immaterial. Certain statements in "Risk Factors" are forward-looking statements. See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 xml:space="preserve"> above.</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053"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3"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Greenidge is a vertically integrated cryptocurrency datacenter and power generation company that owns and operates facilities at two locations with a mining capacity of 76 MW: the Town of Torrey, New York (the "New York Facility") and Spartanburg, South Carolina (the "South Carolina Facility, together with our New York Facility, the "facilities"). In 2022, our continuing operations were comprised of two primary revenue sources.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Cryptocurrency Datacenters</w:t>
      </w:r>
      <w:r>
        <w:rPr>
          <w:rFonts w:ascii="Arial" w:cs="Arial" w:eastAsia="Arial" w:hAnsi="Arial"/>
          <w:sz w:val="18"/>
          <w:szCs w:val="18"/>
          <w:color w:val="auto"/>
        </w:rPr>
        <w:t>. As of the year ended December 31, 2022 and through the signing of Hosting Agreements (as defined below)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30, 2023, our cryptocurrency datacenter operations generated revenue in the form of bitcoin by earning bitcoin as rewards and transaction fees for supporting the global bitcoin network with application-specific integrated circuit computers ("ASICs" or "miners") owned or leased by us. We converted substantially all of our earned bitcoin into U.S. dollars.</w:t>
      </w:r>
    </w:p>
    <w:p>
      <w:pPr>
        <w:spacing w:after="0" w:line="14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On January 30, 2023, as part of an overall debt restructuring, Greenidge transferred ownership of miners with capacity of approximately 2.8 EH/s to its lender, NYDIG ABL LLC ("NYDIG"), in exchange for a reduction of debt. Concurrently, Greenidge and certain NYDIG affiliates entered into hosting agreements, whereby Greenidge agreed to host, power and provide technical support services, and other related services to NYDIG's affiliates miners at its two facilities (the "Hosting Agreements"). See "Hosting Agreements" for further details.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Greenidge owns approximately 10,000 miners with a capacity of approximately 1.1 EH/s. Greenidge is actively pursuing opportunities to install and operate these miners, which may be in arrangements where those miners would be hosted by a third party. Greenidge’s ownership of these miners did not change as a result of the aforementioned debt restructuring.</w:t>
      </w:r>
    </w:p>
    <w:p>
      <w:pPr>
        <w:spacing w:after="0" w:line="11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b w:val="1"/>
          <w:bCs w:val="1"/>
          <w:i w:val="1"/>
          <w:iCs w:val="1"/>
          <w:color w:val="auto"/>
        </w:rPr>
        <w:t xml:space="preserve">Hosting Agreements. </w:t>
      </w:r>
      <w:r>
        <w:rPr>
          <w:rFonts w:ascii="Arial" w:cs="Arial" w:eastAsia="Arial" w:hAnsi="Arial"/>
          <w:sz w:val="17"/>
          <w:szCs w:val="17"/>
          <w:color w:val="auto"/>
        </w:rPr>
        <w:t>On January 30, 2023, Greenidge entered into the Hosting Agreements, which resulted in a material change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strategy with us largely operating miners owned by NYDIG affiliates. Under these agreements, we agreed to host, power and provide technical support services, and other related services, to NYDIG affiliates’ mining equipment at certain Greenidge facilities for a term of five years. The terms of such arrangements requires NYDIG affiliates to pay a reimbursement fee that covers the cost of power and direct costs associated with management of the mining facilities, a hosting fee as well as a gross profit-sharing arrangement. Under the Hosting Agreements, NYDIG affiliates are required to provide Greenidge an upfront security deposit, pay a configuration fee for the setup of new or</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relocated miners, and pay for repairs and parts consumed in non-routine maintenance (i.e., units that are out of service for more than 12 hours). Greenidge shall pay NYDIG a portion of capacity revenue, as well as a portion of the gross margin from any energy sales in excess of mining</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requirement. Additionally, when market conditions dictate shutting down mining and making market sales of energy, Greenidge shall pay NYDIG the expected value that it would have received as if the cryptocurrency datacenter had operated and a portion of gross margin from energy sales above normal mining requirements. This allows us to participate in the upside as bitcoin prices rise, but reduces our downside risk of bitcoin price deterioration and cost increases related to natural gas. The arrangement covers all of our current mining capacity at the New York and South Carolina facilities. Greenidge expects to deploy its approximately 10,000 miners, with capacity of approximately 1.1 EH/s, disclosed above at third-party hosted facilities during 2023.</w:t>
      </w:r>
    </w:p>
    <w:p>
      <w:pPr>
        <w:spacing w:after="0" w:line="129"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i w:val="1"/>
          <w:iCs w:val="1"/>
          <w:color w:val="auto"/>
        </w:rPr>
        <w:t>Independent Electric Generation</w:t>
      </w:r>
      <w:r>
        <w:rPr>
          <w:rFonts w:ascii="Arial" w:cs="Arial" w:eastAsia="Arial" w:hAnsi="Arial"/>
          <w:sz w:val="17"/>
          <w:szCs w:val="17"/>
          <w:color w:val="auto"/>
        </w:rPr>
        <w:t>. We own and operate a 106 MW power generation facility that is connected to the New York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Operator (the "NYISO"), which operates New York state’s power grid. The aforementioned debt restructuring did not alter our</w:t>
      </w:r>
    </w:p>
    <w:p>
      <w:pPr>
        <w:spacing w:after="0" w:line="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ownership of this facility and we plan to continue to operate such facility. We sell electricity to the NYISO at all times when the plant is running and we increase or decrease the amount of electricity sold based on prevailing prices in the wholesale electricity market and demand for electricity. Based upon levels of demand and prevailing prices for electricity, we may temporarily curtail operations at our cryptocurrency</w:t>
      </w:r>
    </w:p>
    <w:p>
      <w:pPr>
        <w:ind w:right="200"/>
        <w:spacing w:after="0" w:line="235" w:lineRule="auto"/>
        <w:rPr>
          <w:sz w:val="20"/>
          <w:szCs w:val="20"/>
          <w:color w:val="auto"/>
        </w:rPr>
      </w:pPr>
      <w:r>
        <w:rPr>
          <w:rFonts w:ascii="Arial" w:cs="Arial" w:eastAsia="Arial" w:hAnsi="Arial"/>
          <w:sz w:val="17"/>
          <w:szCs w:val="17"/>
          <w:color w:val="auto"/>
        </w:rPr>
        <w:t>datacenter located at our power generation facility in order to meet the demand for electricity. Revenue generated from the wholesale power market is variable and depends on several factors including but not limited to the supply and demand for electricity, generation capacity in the</w:t>
      </w:r>
    </w:p>
    <w:p>
      <w:pPr>
        <w:spacing w:after="0" w:line="232" w:lineRule="auto"/>
        <w:rPr>
          <w:sz w:val="20"/>
          <w:szCs w:val="20"/>
          <w:color w:val="auto"/>
        </w:rPr>
      </w:pPr>
      <w:r>
        <w:rPr>
          <w:rFonts w:ascii="Arial" w:cs="Arial" w:eastAsia="Arial" w:hAnsi="Arial"/>
          <w:sz w:val="18"/>
          <w:szCs w:val="18"/>
          <w:color w:val="auto"/>
        </w:rPr>
        <w:t>market and the prevailing price of natural gas. In addition, we receive revenues from the sale of our capacity and ancillary services in the</w:t>
      </w:r>
    </w:p>
    <w:p>
      <w:pPr>
        <w:spacing w:after="0"/>
        <w:rPr>
          <w:sz w:val="20"/>
          <w:szCs w:val="20"/>
          <w:color w:val="auto"/>
        </w:rPr>
      </w:pPr>
      <w:r>
        <w:rPr>
          <w:rFonts w:ascii="Arial" w:cs="Arial" w:eastAsia="Arial" w:hAnsi="Arial"/>
          <w:sz w:val="18"/>
          <w:szCs w:val="18"/>
          <w:color w:val="auto"/>
        </w:rPr>
        <w:t>NYISO wholesale market. Through these sales, we generate three revenue streams:</w:t>
      </w:r>
    </w:p>
    <w:p>
      <w:pPr>
        <w:spacing w:after="0" w:line="111"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Energy revenue</w:t>
      </w:r>
      <w:r>
        <w:rPr>
          <w:rFonts w:ascii="Arial" w:cs="Arial" w:eastAsia="Arial" w:hAnsi="Arial"/>
          <w:sz w:val="18"/>
          <w:szCs w:val="18"/>
          <w:color w:val="auto"/>
        </w:rPr>
        <w:t>: When dispatched by the NYISO, we receive energy revenue based on the hourly price of power.</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Capacity revenue</w:t>
      </w:r>
      <w:r>
        <w:rPr>
          <w:rFonts w:ascii="Arial" w:cs="Arial" w:eastAsia="Arial" w:hAnsi="Arial"/>
          <w:sz w:val="18"/>
          <w:szCs w:val="18"/>
          <w:color w:val="auto"/>
        </w:rPr>
        <w:t>: We receive capacity revenue for committing to sell power to the NYISO when dispatched.</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Ancillary services revenue</w:t>
      </w:r>
      <w:r>
        <w:rPr>
          <w:rFonts w:ascii="Arial" w:cs="Arial" w:eastAsia="Arial" w:hAnsi="Arial"/>
          <w:sz w:val="18"/>
          <w:szCs w:val="18"/>
          <w:color w:val="auto"/>
        </w:rPr>
        <w:t>: When selected by the NYISO, we receive compensation for the provision of operating reserves.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34" w:right="359" w:bottom="1440" w:gutter="0" w:footer="0" w:header="0"/>
        </w:sectPr>
      </w:pPr>
    </w:p>
    <w:bookmarkStart w:id="7" w:name="page8"/>
    <w:bookmarkEnd w:id="7"/>
    <w:p>
      <w:pPr>
        <w:ind w:right="40"/>
        <w:spacing w:after="0" w:line="247" w:lineRule="auto"/>
        <w:rPr>
          <w:sz w:val="20"/>
          <w:szCs w:val="20"/>
          <w:color w:val="auto"/>
        </w:rPr>
      </w:pPr>
      <w:r>
        <w:rPr>
          <w:rFonts w:ascii="Arial" w:cs="Arial" w:eastAsia="Arial" w:hAnsi="Arial"/>
          <w:sz w:val="18"/>
          <w:szCs w:val="18"/>
          <w:color w:val="auto"/>
        </w:rPr>
        <w:t>Our datacenter operations in New York are powered by electricity generated directly by our power plant, which is referred to as "behind-the-meter" power as it is not subject to transmission and distribution charges from local utilities. As of December 31, 2022, our owned ASICs at the New York Facility had the capacity to consume approximately 56 MW of electricity. We have approval from NYISO to utilize 64 MW of electricity behind-the-meter.</w:t>
      </w:r>
    </w:p>
    <w:p>
      <w:pPr>
        <w:spacing w:after="0" w:line="1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b w:val="1"/>
          <w:bCs w:val="1"/>
          <w:i w:val="1"/>
          <w:iCs w:val="1"/>
          <w:color w:val="auto"/>
        </w:rPr>
        <w:t xml:space="preserve">Support Services. </w:t>
      </w:r>
      <w:r>
        <w:rPr>
          <w:rFonts w:ascii="Arial" w:cs="Arial" w:eastAsia="Arial" w:hAnsi="Arial"/>
          <w:sz w:val="18"/>
          <w:szCs w:val="18"/>
          <w:color w:val="auto"/>
        </w:rPr>
        <w:t>On September 14, 2021, GGH Merger Sub, Inc. ("Merger Sub"), a wholly owned subsidiary of Greenidge, merged with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Support.com, Inc. ("Support.com"), with Support.com continuing as the surviving corporation (the "Merger") and a wholly owned subsidiary of Greenidge, pursuant to the Agreement and Plan of Merger, dated March 19, 2021 (the "Merger Agreement"), among Greenidge, Support.com and Merger Sub. At the effective time of the Merger, we issued 2,960,731 shares of class A common stock in exchange for all shares of common stock, par value $0.0001, of Support.com and all outstanding stock option and restricted stock units of Support.com. Support.com’s results of operations and balance sheet have been consolidated effective with the Merger. See Note 3, "</w:t>
      </w:r>
      <w:r>
        <w:rPr>
          <w:rFonts w:ascii="Arial" w:cs="Arial" w:eastAsia="Arial" w:hAnsi="Arial"/>
          <w:sz w:val="18"/>
          <w:szCs w:val="18"/>
          <w:i w:val="1"/>
          <w:iCs w:val="1"/>
          <w:color w:val="auto"/>
        </w:rPr>
        <w:t>Merger with</w:t>
      </w:r>
      <w:r>
        <w:rPr>
          <w:rFonts w:ascii="Arial" w:cs="Arial" w:eastAsia="Arial" w:hAnsi="Arial"/>
          <w:sz w:val="18"/>
          <w:szCs w:val="18"/>
          <w:color w:val="auto"/>
        </w:rPr>
        <w:t xml:space="preserve"> </w:t>
      </w:r>
      <w:r>
        <w:rPr>
          <w:rFonts w:ascii="Arial" w:cs="Arial" w:eastAsia="Arial" w:hAnsi="Arial"/>
          <w:sz w:val="18"/>
          <w:szCs w:val="18"/>
          <w:i w:val="1"/>
          <w:iCs w:val="1"/>
          <w:color w:val="auto"/>
        </w:rPr>
        <w:t>Support.com</w:t>
      </w:r>
      <w:r>
        <w:rPr>
          <w:rFonts w:ascii="Arial" w:cs="Arial" w:eastAsia="Arial" w:hAnsi="Arial"/>
          <w:sz w:val="18"/>
          <w:szCs w:val="18"/>
          <w:color w:val="auto"/>
        </w:rPr>
        <w:t>", in the Notes to Consolidated Financial Statements for a further discussion of the Merger.</w:t>
      </w:r>
    </w:p>
    <w:p>
      <w:pPr>
        <w:spacing w:after="0" w:line="14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Effective September 14, 2021, following the completion of the Merger, Support.com began operating as a separate operating and reporting segment. Our Support Services segment provided solutions and technical programs to customers delivered by home-based employees. The Support Services segment provided customer service, sales support, and technical support primarily to large corporations, businesses and professional services organizations. The Support Services segment also earned revenues for end-user software products provided through direct customer downloads and sale via partners. The Support Services segment operated primarily in the United States, but maintained international operations that included staff providing support services.</w:t>
      </w:r>
    </w:p>
    <w:p>
      <w:pPr>
        <w:spacing w:after="0" w:line="145"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Support.com’s largest customer elected to not renew their contract with Support.com upon its expiration on December 31, 2022. As a result of this development, management and the Board of Directors decided to strictly focus on its cryptocurrency datacenter and power generation operations and made the determination to consider various strategic alternatives for the Support.com segment, including but not limited to the potential disposition of assets. We have classified the Support.com business as held for sale and discontinued operations in these consolidated financial statements as a result of a strategic shift at the parent level to strictly focus on our cryptocurrency datacenter and power generation operations, including pursuant to the Hosting Agreements. On January 17, 2023, Greenidge completed the sale of certain assets of Support.com for net proceeds of approximately $2.6 million as the first step in the disposal of the Support.com segment assets. The Company is actively pursuing the sale of the remaining portion of the Support.com business which includes the existing active customer contracts, information technology platforms including the website, and the remaining workforce.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Structure</w:t>
      </w:r>
    </w:p>
    <w:p>
      <w:pPr>
        <w:spacing w:after="0" w:line="133"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color w:val="auto"/>
        </w:rPr>
        <w:t>In 2014, Atlas Holdings LLC and its affiliates ("Atlas") formed Greenidge Generation Holdings LLC ("GGH") and purchased all of the equity interests in Greenidge Generation LLC ("Greenidge Generation"), which owned an idled power plant in the Town of Torrey, New York.</w:t>
      </w:r>
    </w:p>
    <w:p>
      <w:pPr>
        <w:spacing w:after="0" w:line="18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Following the purchase and prior to commencing revenue generating operations, Greenidge Generation began the process of converting the power plant from being fueled by coal to being fueled by natural gas. This project required procuring and installing new equipment to convert its boiler and securing the right of way to construct an approximately 4.6-mile natural gas pipeline which we now own and operate. In addition, the project required a series of approvals and permits from various New York State and federal government agencies which took approximately 2.5 years to complete.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May 2017, the transformed power plant commenced operations with a total generation capacity of approximately 106 MW.</w:t>
      </w:r>
    </w:p>
    <w:p>
      <w:pPr>
        <w:spacing w:after="0" w:line="21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2018, our management began exploring additional opportunities to utilize the unique attributes of our asset base to strengthen the company and to create a more valuable economic driver for the region.</w:t>
      </w:r>
    </w:p>
    <w:p>
      <w:pPr>
        <w:spacing w:after="0" w:line="203"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In May 2019, after identifying cryptocurrency datacenter operations as a potential business opportunity, we constructed a pilot cryptocurrency datacenter and began operating approximately 1 MW of bitcoin mining capacity.</w:t>
      </w:r>
    </w:p>
    <w:p>
      <w:pPr>
        <w:spacing w:after="0" w:line="203"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After the success of our pilot project, we constructed, within the existing plant, a larger scale data center and commenced operations in January 2020 with approximately 287 Petahash, or 287 X 10</w:t>
      </w:r>
      <w:r>
        <w:rPr>
          <w:rFonts w:ascii="Arial" w:cs="Arial" w:eastAsia="Arial" w:hAnsi="Arial"/>
          <w:sz w:val="22"/>
          <w:szCs w:val="22"/>
          <w:color w:val="auto"/>
          <w:vertAlign w:val="superscript"/>
        </w:rPr>
        <w:t>15</w:t>
      </w:r>
      <w:r>
        <w:rPr>
          <w:rFonts w:ascii="Arial" w:cs="Arial" w:eastAsia="Arial" w:hAnsi="Arial"/>
          <w:sz w:val="18"/>
          <w:szCs w:val="18"/>
          <w:color w:val="auto"/>
        </w:rPr>
        <w:t xml:space="preserve"> hash, per second ("PH/s") of capacity.</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January 2021, GGH completed a corporate restructuring. Pursuant to this restructuring, Greenidge was incorporated in the State of Delaware on January 27, 2021 and on January 29, 2021, we entered into an asset contribution and exchange</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8" w:name="page9"/>
    <w:bookmarkEnd w:id="8"/>
    <w:p>
      <w:pPr>
        <w:ind w:right="200"/>
        <w:spacing w:after="0" w:line="251" w:lineRule="auto"/>
        <w:rPr>
          <w:sz w:val="20"/>
          <w:szCs w:val="20"/>
          <w:color w:val="auto"/>
        </w:rPr>
      </w:pPr>
      <w:r>
        <w:rPr>
          <w:rFonts w:ascii="Arial" w:cs="Arial" w:eastAsia="Arial" w:hAnsi="Arial"/>
          <w:sz w:val="18"/>
          <w:szCs w:val="18"/>
          <w:color w:val="auto"/>
        </w:rPr>
        <w:t>agreement with the owners of GGH, pursuant to which we acquired all of the ownership interests in GGH in exchange for 7,000,000 shares of our common stock. As a result of this transaction, GGH became a wholly-owned subsidiary of Greenidge.</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September 14, 2021, we acquired Support.com pursuant to the Merger and it began to operate as our wholly-owned subsidiary. Subsequent to the Merger, our shares of class A common stock were listed on the Nasdaq Global Select Market and currently trade under the symbol "GREE." On December 13, 2022, we received a letter from the listing qualifications department of the Nasdaq Stock Market ("Nasdaq") notifying us that for the prior 30 consecutive business days the bid price of our common stock had closed below $1.00 per share, the minimum closing bid price required by the continued listing requirements of Nasdaq listing rules. We have until June 12, 2023 to regain compliance or we may be eligible for an additional 180 calendar days to comply with the Bid Price Requirement (as defined below), subject to Nasdaq approval. See "</w:t>
      </w:r>
      <w:r>
        <w:rPr>
          <w:rFonts w:ascii="Arial" w:cs="Arial" w:eastAsia="Arial" w:hAnsi="Arial"/>
          <w:sz w:val="17"/>
          <w:szCs w:val="17"/>
          <w:i w:val="1"/>
          <w:iCs w:val="1"/>
          <w:color w:val="auto"/>
        </w:rPr>
        <w:t>Risk</w:t>
      </w:r>
    </w:p>
    <w:p>
      <w:pPr>
        <w:jc w:val="both"/>
        <w:spacing w:after="0" w:line="230" w:lineRule="auto"/>
        <w:rPr>
          <w:sz w:val="20"/>
          <w:szCs w:val="20"/>
          <w:color w:val="auto"/>
        </w:rPr>
      </w:pPr>
      <w:r>
        <w:rPr>
          <w:rFonts w:ascii="Arial" w:cs="Arial" w:eastAsia="Arial" w:hAnsi="Arial"/>
          <w:sz w:val="18"/>
          <w:szCs w:val="18"/>
          <w:i w:val="1"/>
          <w:iCs w:val="1"/>
          <w:color w:val="auto"/>
        </w:rPr>
        <w:t>Factors—Risks Related to the Ownership of Our Securities—Our class A common stock is subject to delisting proceedings from the Nasdaq Global Select Market</w:t>
      </w:r>
      <w:r>
        <w:rPr>
          <w:rFonts w:ascii="Arial" w:cs="Arial" w:eastAsia="Arial" w:hAnsi="Arial"/>
          <w:sz w:val="18"/>
          <w:szCs w:val="18"/>
          <w:color w:val="auto"/>
        </w:rPr>
        <w:t>."</w:t>
      </w:r>
    </w:p>
    <w:p>
      <w:pPr>
        <w:spacing w:after="0" w:line="21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Throughout 2021, we increased our datacenter capacity from 0.4 EH/s to approximately 1.4 EH/s, and in 2022, we increased our active mining capacity to 2.4 EH/s, with a total fleet capacity with a nameplate of 3.9 EH/s as of December 31,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2022, we classified the Support.com business as held for sale and discontinued operations.</w:t>
      </w:r>
    </w:p>
    <w:p>
      <w:pPr>
        <w:spacing w:after="0" w:line="16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On January 30, 2023, we entered into a debt restructuring agreement with our primary lender NYDIG, which included the transfer of approximately 2.8 EH/S of bitcoin mining equipment to NYDIG. Concurrently, we entered into bitcoin mining hosting agreements with NYDIG's affiliates to host, power and provide technical support services, and other related services, to NYDIG's mining equipment at data centers operated by us for a period of five years, unless earlier terminated in accordance with the terms of the Hosting Agreements.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Cryptocurrency Datacenter Industry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Introduction to Bitcoin, the Bitcoin Network and Bitcoin Mining</w:t>
      </w:r>
    </w:p>
    <w:p>
      <w:pPr>
        <w:spacing w:after="0" w:line="12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Bitcoin is a digital asset created and transmitted through the operations of a peer-to-peer network of computers, known as the bitcoin network. The bitcoin network is decentralized, meaning that no single entity owns or operates the bitcoin network, and that no governmental authority, financial institution, or financial intermediary is required to create, transmit or determine the value of bitcoin. Instead, the infrastructure of the bitcoin network is owned and maintained by a decentralized user base. The bitcoin network allows people to exchange digital tokens of value, called bitcoins, which are recorded on a publicly distributed transaction ledger known as a blockchain. The bitcoin blockchain is a digital, publicly distributed bookkeeping ledger that holds a record of every bitcoin transaction since the inception of bitcoin, with each block containing information relating to a group of bitcoin transactions.</w:t>
      </w:r>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Bitcoin is created and allocated by the bitcoin network protocol as a reward for validating and verifying bitcoin transactions, securing transaction blocks and adding those transaction blocks to the bitcoin blockchain using computer processing power to solve complex algorithms based on cryptographic protocols. The aforementioned actions are often referred to as "mining" as those performing the actions are paid in newly created bitcoin. The persons or machines that are rewarded in newly created bitcoin are often referred to as "miners." Each unique block in the bitcoin blockchain can be solved and added to the bitcoin blockchain by only one miner. Once a miner solves a block, the rest of the miners in the network verify the solution and confirm the block to the blockchain.</w:t>
      </w:r>
    </w:p>
    <w:p>
      <w:pPr>
        <w:spacing w:after="0" w:line="21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As an incentive to incur the time and computational costs of mining, the miner who correctly solves the algorithm resulting in a block being added to the bitcoin blockchain is rewarded in newly created bitcoin (known as a block reward) and will also receive any transaction fees paid by transferors whose transactions are recorded in the block. An infinite amount of blocks can be solved; however, the amount of block rewards paid to miners is on a managed distribution schedule which will result in the last block reward payout occurring approximately in 2140. At that time, miners will be incentivized to maintain the network solely based on transaction fees.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Metrics—Network Hash Rate and Difficulty</w:t>
      </w:r>
    </w:p>
    <w:p>
      <w:pPr>
        <w:spacing w:after="0" w:line="12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bitcoin mining, the processing speed of a bitcoin miner is measured by its "hash rate" or "hashes per second." "Hash rate" is the speed at which a miner can take any set of information and process it via the algorithm used on the bitcoin network, also known as a "hash." Therefore, a miner’s hash rate refers to how many algorithmic computations the miner can perform per second on the bitcoin network.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9" w:name="page10"/>
    <w:bookmarkEnd w:id="9"/>
    <w:p>
      <w:pPr>
        <w:jc w:val="both"/>
        <w:ind w:right="120"/>
        <w:spacing w:after="0" w:line="248" w:lineRule="auto"/>
        <w:rPr>
          <w:sz w:val="20"/>
          <w:szCs w:val="20"/>
          <w:color w:val="auto"/>
        </w:rPr>
      </w:pPr>
      <w:r>
        <w:rPr>
          <w:rFonts w:ascii="Arial" w:cs="Arial" w:eastAsia="Arial" w:hAnsi="Arial"/>
          <w:sz w:val="18"/>
          <w:szCs w:val="18"/>
          <w:color w:val="auto"/>
        </w:rPr>
        <w:t>An individual mining company like ours has a hash rate measured across the total number of the miners it deploys in its datacenter operations. Generally, an individual miner’s expected success rate in solving blocks and realizing bitcoin rewards over time is correlated with its proportion of the total network hash rate over the same period.</w:t>
      </w:r>
    </w:p>
    <w:p>
      <w:pPr>
        <w:spacing w:after="0" w:line="20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"Difficulty" is a measure of the relative complexity of the algorithmic solution required to create a block and receive a bitcoin award. The bitcoin network protocol adjusts the network difficulty periodically based on the aggregate amount of hashing power deployed by the network with a goal of it requiring 10 minutes, on average, to create a new bitcoin block. At each interval of 2,016 blocks (which takes roughly two weeks), the network re-analyzes the interval and revises the difficulty index, if needed. If the block formation time for the preceding 2,016 blocks exceeds the 10-minute average goal, the network automatically reduces the degree of difficulty and vice versa.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Mining Pools</w:t>
      </w:r>
    </w:p>
    <w:p>
      <w:pPr>
        <w:spacing w:after="0" w:line="12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 significant portion of the global hash rate on the bitcoin network has been contributed to a number of "mining pools." In a typical bitcoin mining pool, groups of miners combine their resources, or hash rate, and earn bitcoin together. Mining pools help to smooth the variability of the revenue stream of individual miners by combining the hash rate from multiple miners and then paying each miner a pro rata share of the aggregate bitcoin rewards generated by the combined pool.</w:t>
      </w:r>
    </w:p>
    <w:p>
      <w:pPr>
        <w:spacing w:after="0" w:line="20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mining pool operator is typically paid a fee for maintaining the pool. As discussed below, we participate in mining pools as an integral part of our business. Miners who participate in mining pools are expected to earn their pro rata share of the global bitcoin rewards received by all miners on the bitcoin network, less any fees paid to the mining pool operator.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Bitcoin Mining Power Requirements</w:t>
      </w:r>
    </w:p>
    <w:p>
      <w:pPr>
        <w:spacing w:after="0" w:line="12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When the bitcoin network was created, initially, individuals interested in bitcoin mining were able to do so using personal computers. However, as bitcoin’s value and popularity have increased over time, so too has the aggregate hashing power deployed in the bitcoin network. The bitcoin network has grown to the point where it is generally no longer economical to mine bitcoin without ASIC computers with strong computing abilities and energy efficiency.</w:t>
      </w:r>
    </w:p>
    <w:p>
      <w:pPr>
        <w:spacing w:after="0" w:line="102"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Operating a fleet of ASIC bitcoin miners on a commercial scale currently requires a significant amount of electricity. The amount of electricity required is dependent on the number and types of miners online and the energy demand for each type of miner, as each type of miner has a specific electricity efficiency measured by comparing its hash rate output to its electrical consumption.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Bitcoin Mining Economics</w:t>
      </w:r>
    </w:p>
    <w:p>
      <w:pPr>
        <w:spacing w:after="0" w:line="12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bitcoin network is designed in such a way that the reward for adding new blocks to the blockchain decreases over time. The number of bitcoin awarded for solving a new block is automatically halved after every 210,000 blocks. Each block takes approximately 10 minutes to be solved and as a result, rewards are halved approximately every four years. Currently, the fixed reward for solving a new block is 6.25 bitcoin per block and this number is expected to decrease by half to become 3.125 bitcoin sometime in 2024.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profitability of a bitcoin mining operation largely depends on:</w:t>
      </w:r>
    </w:p>
    <w:p>
      <w:pPr>
        <w:spacing w:after="0" w:line="111" w:lineRule="exact"/>
        <w:rPr>
          <w:sz w:val="20"/>
          <w:szCs w:val="20"/>
          <w:color w:val="auto"/>
        </w:rPr>
      </w:pPr>
    </w:p>
    <w:p>
      <w:pPr>
        <w:ind w:left="620" w:hanging="296"/>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of bitcoin;</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electricity;</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efficiency of mining equipment;</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miner's proportionate share of the global hash rate; and</w:t>
      </w:r>
    </w:p>
    <w:p>
      <w:pPr>
        <w:spacing w:after="0" w:line="111" w:lineRule="exact"/>
        <w:rPr>
          <w:rFonts w:ascii="Arial" w:cs="Arial" w:eastAsia="Arial" w:hAnsi="Arial"/>
          <w:sz w:val="18"/>
          <w:szCs w:val="18"/>
          <w:color w:val="auto"/>
        </w:rPr>
      </w:pPr>
    </w:p>
    <w:p>
      <w:pPr>
        <w:ind w:left="640" w:right="40" w:hanging="316"/>
        <w:spacing w:after="0" w:line="251" w:lineRule="auto"/>
        <w:tabs>
          <w:tab w:leader="none" w:pos="609"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miner's other fixed and variable costs including labor, overhead and fixed and variable fees paid to third parties, if any, associated with bitcoin mining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Electricity Cost Structure</w:t>
      </w:r>
    </w:p>
    <w:p>
      <w:pPr>
        <w:spacing w:after="0" w:line="129"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Our power plant is strategically located in the Town of Torrey, New York and is connected to the Empire Pipeline. The Empire Pipeline provides our power plant with ready access to the Millennium Pipeline price hub, which provides relatively low market rates for natural gas. As a result of our strategic geographic location, we have access to a regular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0" w:name="page11"/>
    <w:bookmarkEnd w:id="10"/>
    <w:p>
      <w:pPr>
        <w:ind w:right="260"/>
        <w:spacing w:after="0" w:line="248" w:lineRule="auto"/>
        <w:rPr>
          <w:sz w:val="20"/>
          <w:szCs w:val="20"/>
          <w:color w:val="auto"/>
        </w:rPr>
      </w:pPr>
      <w:r>
        <w:rPr>
          <w:rFonts w:ascii="Arial" w:cs="Arial" w:eastAsia="Arial" w:hAnsi="Arial"/>
          <w:sz w:val="18"/>
          <w:szCs w:val="18"/>
          <w:color w:val="auto"/>
        </w:rPr>
        <w:t>supply of relatively lower-cost natural gas to power our electricity generation. We entered into a contract for firm gas transportation on the Empire Pipeline, ensuring we have uninterrupted access to fuel. Further, the Millennium Pipeline price hub is a liquid market that allows us to hedge our purchases of this natural gas fuel opportunistically, mitigating the risk to our business from price fluctuations.</w:t>
      </w:r>
    </w:p>
    <w:p>
      <w:pPr>
        <w:spacing w:after="0" w:line="14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Our data center in South Carolina is set on a 175-acre site which currently has approximately 20 MW of mining capacity. We purchase power from a supplier of approximately 60% zero-carbon sourced energy, which results in a relatively stable energy and cost environment.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Mining Pool Participation</w:t>
      </w:r>
    </w:p>
    <w:p>
      <w:pPr>
        <w:spacing w:after="0" w:line="1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part of our mining operations, we currently contribute our hash rate to certain mining pools, subject to their terms of service. Such participation is generally terminable at any time by either party, and our risk is limited by our ability to switch pools at any time or simply not to participate in any pools and mine independently. In exchange for providing computing power, we receive a share of the theoretical global mining rewards based on our percent contribution to the bitcoin mining network, less fees payable to the pool. The mining pools in which we currently participate allocate their bitcoin to us on a daily basis. This bitcoin revenue is delivered to us electronically, and we liquidate it into U.S. dollars within a relatively short time following receipt. We had stored some bitcoin at a third-party custody provider using electronic storage not connected to the internet, or "cold storage," but we liquidated this previously stored bitcoin into U.S. dollars in early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Cryptocurrency Datacenter Operations</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began mining bitcoin in 2019 with the construction of a pilot datacenter to operate approximately 9 PH/s of bitcoin mining capacity located at our New York Facility. We launched a commercial data center for bitcoin mining and blockchain services in January 2020, and as of December 31, 2022, we had approximately 24,200 miners deployed on our two sites capable of producing an aggregate hash rate capacity of approximately 2.4 EH/s. Although the number of miners deployed provides a sense of scale of cryptocurrency datacenter operations as compared to our peers, management believes that hash rate, or the number of hashes a miner can perform in each second, typically expressed in EH/s or terahash per second ("TH/s") and used as a measure of computational power or mining capacity used to mine and process transactions on a blockchain such as bitcoin, provides a more comparable measure of a cryptocurrency datacenter fleet’s ability to process cryptocurrency transactions as compared to other bitcoin mining operations.</w:t>
      </w:r>
    </w:p>
    <w:p>
      <w:pPr>
        <w:spacing w:after="0" w:line="21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On January 30, 2023, we signed the Hosting Agreements and will generate revenue through hosting fees, which include a profit sharing component. As of January 30, 2023, we continue to own approximately 10,000 miners with a capacity of approximately 1.1 EH/s, and we will be evaluating options to install these miners at facilities that are hosted by third parties.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Generation Operations</w:t>
      </w:r>
    </w:p>
    <w:p>
      <w:pPr>
        <w:spacing w:after="0" w:line="133"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We sell capacity, energy and ancillary services from our approximately 106 MW nameplate capacity power generation facility and sell power that we generate, at wholesale, to the NYISO when dispatched, based on the NYISO’s daily supply and demand needs. We began our energy sales in 2017 when our power generation facility came back online after converting from a coal-fired to a natural gas-fired facility. We sell a contractual minimum amount of electricity to NYISO at all times our New York Facility is operating. We participate in the daily power bidding process and will increase the amount of power sold to the grid when the market rates are favorable to do so. At times, we curtail mining to increase the amount of capacity sold to the grid when it is the more profitable revenue stream based on the daily market rates.</w:t>
      </w:r>
    </w:p>
    <w:p>
      <w:pPr>
        <w:spacing w:after="0" w:line="19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have a contract with Empire Pipeline Inc., which provides for the firm transportation to our pipeline of up to 15,000 dekatherms of natural gas per day. The natural gas is transported to our captive lateral pipeline through which this gas is transported 4.6 miles to our power plant. We have contracts with Emera Energy covering both the purchase of natural gas and the bidding and sale of electricity through the NYISO.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These sales accounted for approximately 18% and 10% of our total revenue for the years ended December 31, 2022 and 2021, respectively.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The Power Generation Industry in New York State</w:t>
      </w:r>
    </w:p>
    <w:p>
      <w:pPr>
        <w:spacing w:after="0" w:line="13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Wholesale markets for energy, capacity and ancillary services in New York State are administered by the NYISO. With respect to wholesale sales of electricity, generators bid into the market the quantity of electricity that they are prepared to produce for each hour of the following day and the corresponding price. Generators’ bids are subject to bid caps and mitigation rules administered by the NYISO, both of which are designed to ensure that the total bid submitted to the NYISO properly reflects market conditions. Distribution utilities and other load serving entities decide how much electricity they wish to purchase for each hour of the following day and how much they are willing to pay for that electricity. The NYISO then selects the proper mix of generators to supply the hourly demand at the least cost while meeting applicable requirements to maintain a reliable electric system. Prices for capacity and ancillary services are also set by the interplay between supply and demand in bid-based markets administered by the NYISO, except in the case of certain ancillary services for which the NYISO’s Market Administration and Control Area Services Tariff establishes cost-based rates.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in Datacenter Operations and Power Generation Segment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Datacenter Operations</w:t>
      </w:r>
    </w:p>
    <w:p>
      <w:pPr>
        <w:spacing w:after="0" w:line="23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cryptocurrency industry is a highly competitive and evolving industry, and new competitors or emerging technologies could enter the market and affect our competitiveness in the future. Operators of bitcoin miners can range from individual enthusiasts to commercial mining operations with dedicated datacenters. Miners often organize themselves in mining pools. We compete with several public and private companies that focus all or a portion of their activities on bitcoin mining and hosting.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Generation in New York</w:t>
      </w:r>
    </w:p>
    <w:p>
      <w:pPr>
        <w:spacing w:after="0" w:line="13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NYISO operates bid-based wholesale markets for electric energy, capacity and other generation-related services such as reactive power support and frequency control. We are authorized to participate in all of these markets, where our bids are evaluated along with bids from numerous other generating facilities in or near New York State. In each of these markets, the NYISO sets the market price, which is paid to all bidders, based on the highest priced bid accepted to meet demand.</w:t>
      </w:r>
    </w:p>
    <w:p>
      <w:pPr>
        <w:spacing w:after="0" w:line="20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compete against all other NYISO generation resources, which as of Summer 2022 included approximately 41,000 MW of installed capacity consisting of gas and oil-fired thermal generation, as well as nuclear, hydro, wind, and other renewable generation. Our competitiveness is based on our variable cost compared to the marginal price in the energy markets as set by the bid of the highest- price resource required to satisfy load requirements. The primary determinants of our variable cost are its efficiency (e.g. how much gas is required to produce a given unit of power) and fuel cost.</w:t>
      </w:r>
    </w:p>
    <w:p>
      <w:pPr>
        <w:spacing w:after="0" w:line="20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variable cost relative to the marginal energy price determines how much power we sell. The marginal energy price increases as demand for power increases and as more expensive generation resources are required to satisfy load requirements. We benefit from retirements of less expensive generation resources in the NYISO and conversely, become less competitive as more efficient generation capacity is added.</w:t>
      </w:r>
    </w:p>
    <w:p>
      <w:pPr>
        <w:spacing w:after="0" w:line="20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 similar dynamic exists in the capacity markets where we are a price-taker. An administratively-determined sloping demand curve ensures that the price paid to suppliers of capacity declines as capacity exceeds reliability requirements. Thus, as other generation capacity retires, we will benefit from higher prices and conversely, as other generation capacity is added, we will realize lower capacity revenues. The capacity market is designed to incentivize generation additions when reserve margins (excess capacity relative to peak demand) are low and to reduce capacity payments made to generators when reserve margins are high and there is excess capacity.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Competitive Advantages</w:t>
      </w:r>
    </w:p>
    <w:p>
      <w:pPr>
        <w:spacing w:after="0" w:line="13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Electricity is the largest input cost for most cryptocurrency datacenter operations, and we believe owning a power generation facility provides us with a competitive advantage in our cryptocurrency datacenter operations. We believe that our business benefits from the following additional competitive advantages:</w:t>
      </w:r>
    </w:p>
    <w:p>
      <w:pPr>
        <w:spacing w:after="0" w:line="78" w:lineRule="exact"/>
        <w:rPr>
          <w:sz w:val="20"/>
          <w:szCs w:val="20"/>
          <w:color w:val="auto"/>
        </w:rPr>
      </w:pPr>
    </w:p>
    <w:p>
      <w:pPr>
        <w:ind w:left="640" w:right="340" w:hanging="316"/>
        <w:spacing w:after="0" w:line="276" w:lineRule="auto"/>
        <w:tabs>
          <w:tab w:leader="none" w:pos="609"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Vertical integration</w:t>
      </w:r>
      <w:r>
        <w:rPr>
          <w:rFonts w:ascii="Arial" w:cs="Arial" w:eastAsia="Arial" w:hAnsi="Arial"/>
          <w:sz w:val="18"/>
          <w:szCs w:val="18"/>
          <w:color w:val="auto"/>
        </w:rPr>
        <w:t>. We believe there are relatively few other public companies in the United States with cryptocurrency datacenter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of scale in the United States currently using power generated from their own power plants.</w:t>
      </w:r>
    </w:p>
    <w:p>
      <w:pPr>
        <w:spacing w:after="0" w:line="53" w:lineRule="exact"/>
        <w:rPr>
          <w:rFonts w:ascii="Arial" w:cs="Arial" w:eastAsia="Arial" w:hAnsi="Arial"/>
          <w:sz w:val="18"/>
          <w:szCs w:val="18"/>
          <w:color w:val="auto"/>
        </w:rPr>
      </w:pPr>
    </w:p>
    <w:p>
      <w:pPr>
        <w:ind w:left="640" w:hanging="316"/>
        <w:spacing w:after="0" w:line="256" w:lineRule="auto"/>
        <w:tabs>
          <w:tab w:leader="none" w:pos="609" w:val="left"/>
        </w:tabs>
        <w:numPr>
          <w:ilvl w:val="0"/>
          <w:numId w:val="10"/>
        </w:numPr>
        <w:rPr>
          <w:rFonts w:ascii="Arial" w:cs="Arial" w:eastAsia="Arial" w:hAnsi="Arial"/>
          <w:sz w:val="18"/>
          <w:szCs w:val="18"/>
          <w:b w:val="1"/>
          <w:bCs w:val="1"/>
          <w:color w:val="auto"/>
          <w:strike w:val="1"/>
        </w:rPr>
      </w:pPr>
      <w:r>
        <w:rPr>
          <w:rFonts w:ascii="Arial" w:cs="Arial" w:eastAsia="Arial" w:hAnsi="Arial"/>
          <w:sz w:val="18"/>
          <w:szCs w:val="18"/>
          <w:b w:val="1"/>
          <w:bCs w:val="1"/>
          <w:color w:val="auto"/>
        </w:rPr>
        <w:t>Hosting arrangements</w:t>
      </w:r>
      <w:r>
        <w:rPr>
          <w:rFonts w:ascii="Arial" w:cs="Arial" w:eastAsia="Arial" w:hAnsi="Arial"/>
          <w:sz w:val="18"/>
          <w:szCs w:val="18"/>
          <w:color w:val="auto"/>
        </w:rPr>
        <w:t>. The terms of our hosting arrangements require NYDIG to pay a hosting fee that covers the cost of power and a</w:t>
      </w:r>
      <w:r>
        <w:rPr>
          <w:rFonts w:ascii="Arial" w:cs="Arial" w:eastAsia="Arial" w:hAnsi="Arial"/>
          <w:sz w:val="18"/>
          <w:szCs w:val="18"/>
          <w:b w:val="1"/>
          <w:bCs w:val="1"/>
          <w:color w:val="auto"/>
        </w:rPr>
        <w:t xml:space="preserve"> </w:t>
      </w:r>
      <w:r>
        <w:rPr>
          <w:rFonts w:ascii="Arial" w:cs="Arial" w:eastAsia="Arial" w:hAnsi="Arial"/>
          <w:sz w:val="18"/>
          <w:szCs w:val="18"/>
          <w:color w:val="auto"/>
        </w:rPr>
        <w:t>hosting fee associated with direct costs of mining facilities management, as well as a gross profit-sharing arrangement. This allows us to participate in the upside as bitcoin prices rise, but reduces our downside risk of bitcoin price deterioration and cost increases related to natural gas.</w:t>
      </w:r>
    </w:p>
    <w:p>
      <w:pPr>
        <w:spacing w:after="0" w:line="70" w:lineRule="exact"/>
        <w:rPr>
          <w:rFonts w:ascii="Arial" w:cs="Arial" w:eastAsia="Arial" w:hAnsi="Arial"/>
          <w:sz w:val="18"/>
          <w:szCs w:val="18"/>
          <w:b w:val="1"/>
          <w:bCs w:val="1"/>
          <w:color w:val="auto"/>
          <w:strike w:val="1"/>
        </w:rPr>
      </w:pPr>
    </w:p>
    <w:p>
      <w:pPr>
        <w:ind w:left="640" w:right="40" w:hanging="316"/>
        <w:spacing w:after="0" w:line="256" w:lineRule="auto"/>
        <w:tabs>
          <w:tab w:leader="none" w:pos="609"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Low power costs</w:t>
      </w:r>
      <w:r>
        <w:rPr>
          <w:rFonts w:ascii="Arial" w:cs="Arial" w:eastAsia="Arial" w:hAnsi="Arial"/>
          <w:sz w:val="18"/>
          <w:szCs w:val="18"/>
          <w:color w:val="auto"/>
        </w:rPr>
        <w:t>. Through access to the Millennium Pipeline price hub that provides relatively low market rates for natural gas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relatively cool climate where our power plant is located, we are able to produce our energy at competitive rates and largely avoid the extra cost of active cooling of the cryptocurrency datacenter operations. Our hosting arrangements have reduced the downside risk to us from cost increases related to natural gas.</w:t>
      </w:r>
    </w:p>
    <w:p>
      <w:pPr>
        <w:spacing w:after="0" w:line="70" w:lineRule="exact"/>
        <w:rPr>
          <w:rFonts w:ascii="Arial" w:cs="Arial" w:eastAsia="Arial" w:hAnsi="Arial"/>
          <w:sz w:val="18"/>
          <w:szCs w:val="18"/>
          <w:b w:val="1"/>
          <w:bCs w:val="1"/>
          <w:i w:val="1"/>
          <w:iCs w:val="1"/>
          <w:color w:val="auto"/>
        </w:rPr>
      </w:pPr>
    </w:p>
    <w:p>
      <w:pPr>
        <w:ind w:left="620" w:hanging="296"/>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Power market upside</w:t>
      </w:r>
      <w:r>
        <w:rPr>
          <w:rFonts w:ascii="Arial" w:cs="Arial" w:eastAsia="Arial" w:hAnsi="Arial"/>
          <w:sz w:val="18"/>
          <w:szCs w:val="18"/>
          <w:color w:val="auto"/>
        </w:rPr>
        <w:t>. Being online 24/7 allows us to optimize between hosting, power and cryptocurrency datacenter revenue.</w:t>
      </w:r>
    </w:p>
    <w:p>
      <w:pPr>
        <w:spacing w:after="0" w:line="111" w:lineRule="exact"/>
        <w:rPr>
          <w:rFonts w:ascii="Arial" w:cs="Arial" w:eastAsia="Arial" w:hAnsi="Arial"/>
          <w:sz w:val="18"/>
          <w:szCs w:val="18"/>
          <w:color w:val="auto"/>
        </w:rPr>
      </w:pPr>
    </w:p>
    <w:p>
      <w:pPr>
        <w:ind w:left="640" w:right="100" w:hanging="316"/>
        <w:spacing w:after="0" w:line="276" w:lineRule="auto"/>
        <w:tabs>
          <w:tab w:leader="none" w:pos="609"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Self-reliance</w:t>
      </w:r>
      <w:r>
        <w:rPr>
          <w:rFonts w:ascii="Arial" w:cs="Arial" w:eastAsia="Arial" w:hAnsi="Arial"/>
          <w:sz w:val="18"/>
          <w:szCs w:val="18"/>
          <w:color w:val="auto"/>
        </w:rPr>
        <w:t>. All of the power that we use in our New York state cryptocurrency datacenter operations is provided by behind-the-meter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with no reliance on third-party power purchase agreements that can be modified or revoked at any time.</w:t>
      </w:r>
    </w:p>
    <w:p>
      <w:pPr>
        <w:spacing w:after="0" w:line="53" w:lineRule="exact"/>
        <w:rPr>
          <w:rFonts w:ascii="Arial" w:cs="Arial" w:eastAsia="Arial" w:hAnsi="Arial"/>
          <w:sz w:val="18"/>
          <w:szCs w:val="18"/>
          <w:color w:val="auto"/>
        </w:rPr>
      </w:pPr>
    </w:p>
    <w:p>
      <w:pPr>
        <w:ind w:left="640" w:right="100" w:hanging="316"/>
        <w:spacing w:after="0" w:line="256" w:lineRule="auto"/>
        <w:tabs>
          <w:tab w:leader="none" w:pos="609"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Cryptocurrency experience</w:t>
      </w:r>
      <w:r>
        <w:rPr>
          <w:rFonts w:ascii="Arial" w:cs="Arial" w:eastAsia="Arial" w:hAnsi="Arial"/>
          <w:sz w:val="18"/>
          <w:szCs w:val="18"/>
          <w:color w:val="auto"/>
        </w:rPr>
        <w:t>. We have been active as operators of cryptocurrency datacenters for over two years which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us with a competitive advantage over new entrants that have not commenced commercial cryptocurrency datacenter operations. Having engineers and electricians on staff has enabled us to design our own mining architecture, which in turn allows us to operate and maintain our mining operations. We believe this leads to better performance.</w:t>
      </w:r>
    </w:p>
    <w:p>
      <w:pPr>
        <w:spacing w:after="0" w:line="70" w:lineRule="exact"/>
        <w:rPr>
          <w:rFonts w:ascii="Arial" w:cs="Arial" w:eastAsia="Arial" w:hAnsi="Arial"/>
          <w:sz w:val="18"/>
          <w:szCs w:val="18"/>
          <w:color w:val="auto"/>
        </w:rPr>
      </w:pPr>
    </w:p>
    <w:p>
      <w:pPr>
        <w:ind w:left="640" w:right="100" w:hanging="316"/>
        <w:spacing w:after="0" w:line="276" w:lineRule="auto"/>
        <w:tabs>
          <w:tab w:leader="none" w:pos="609"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Institutional backing</w:t>
      </w:r>
      <w:r>
        <w:rPr>
          <w:rFonts w:ascii="Arial" w:cs="Arial" w:eastAsia="Arial" w:hAnsi="Arial"/>
          <w:sz w:val="18"/>
          <w:szCs w:val="18"/>
          <w:color w:val="auto"/>
        </w:rPr>
        <w:t>. Our controlling stockholder, Atlas, is affiliated with an investment firm with more than $6.8 billion of assets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prior experience owning and operating more than 2,000 MW of power generation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do not currently own any patents, trade secrets, trademarks, service marks, trade names, copyrights and other intellectual property rights in connection with our existing and planned bitcoin mining related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Governance</w:t>
      </w:r>
    </w:p>
    <w:p>
      <w:pPr>
        <w:spacing w:after="0" w:line="133"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We are committed to making progress on the issues that matter in the environmental, social, and governance areas, and more specifically to serving as a community partner in the locations in which we operate. This is a critical part of our plan for growth and value creation as we develop our business. In 2022, we donated to local community developments including the construction of a new playground in Dresden, NY and to initiatives for the preservation of Yates County history, as well as numerous other sponsorships of local initiatives.</w:t>
      </w:r>
    </w:p>
    <w:p>
      <w:pPr>
        <w:spacing w:after="0" w:line="18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participate in the Regional Greenhouse Gas Initiative ("RGGI"), a market-based program in which participating states sell carbon dioxide ("CO2") allowances through auctions and invest proceeds in energy efficiency, renewable energy, and other consumer benefit programs to spur innovation in the clean energy economy and create local green jobs. We purchase RGGI allowances each year to cover 100% of our CO2 emitted from power generation and have done so since we began gas-fired operations in 2017.</w:t>
      </w:r>
    </w:p>
    <w:p>
      <w:pPr>
        <w:spacing w:after="0" w:line="20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RGGI requires, by law, that we remit credits to offset 50% of our annual emission expense in the following year, for each of the years in the three year control period (i.e., the Fourth Control period being January 1, 2018 to December 31, 2020). In February 2021, we remitted emissions allowances for the control period. We continue to remit credits in accordance with RGGI under the current three-year control period (i.e., the Fifth Control Period being January 1, 2021 to December 31, 2023). We recognize expense on a per ton basis, where one ton is equal to one RGGI credit. RGGI credits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3" w:name="page14"/>
    <w:bookmarkEnd w:id="13"/>
    <w:p>
      <w:pPr>
        <w:ind w:right="320"/>
        <w:spacing w:after="0" w:line="248" w:lineRule="auto"/>
        <w:rPr>
          <w:sz w:val="20"/>
          <w:szCs w:val="20"/>
          <w:color w:val="auto"/>
        </w:rPr>
      </w:pPr>
      <w:r>
        <w:rPr>
          <w:rFonts w:ascii="Arial" w:cs="Arial" w:eastAsia="Arial" w:hAnsi="Arial"/>
          <w:sz w:val="18"/>
          <w:szCs w:val="18"/>
          <w:color w:val="auto"/>
        </w:rPr>
        <w:t>are recorded on a first in, first out basis. We incurred emissions expenses of $4.5 million and $2.6 million for the years ended December 31, 2022 and 2021, respectively, which was allocated between cost of revenue - cryptocurrency datacenter and cost of revenue - power and capacity, based on the relative percentage of MWH consumed for each, in the accompanying consolidated statements of operations.</w:t>
      </w:r>
    </w:p>
    <w:p>
      <w:pPr>
        <w:spacing w:after="0" w:line="10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completed the installation of cylindrical wedge wire screens at the water intake system for our New York Facility. The completion of the wedge wire screens represents another critical milestone in Greenidge’s extensive efforts to meet or exceed all of New York State’s nation-leading environmental standards. We began work on the project in 2017, shortly after receiving a water discharge permit from New York State Department of Environmental Conservation ("NYSDEC"). Greenidge was required to meet strict deadlines established by NYSDEC over the course of the project, including years of detailed study, comprehensive sampling, a pilot study, development of a verification monitoring plan and more. Additionally, the U.S. Army Corps of Engineers has reviewed relevant components of the project and issued approval. We met all government deadlines throughout the extensive regulatory process and were permitted to complete the installation of the wedge wire screens after final NYSDEC and Federal approvals were granted on September 26, 2022 and October 7, 2022, respectively. We invested more than $6 million in the required processes, including the study, design and installation, necessary to complete the wedge wire screen project, which reflect the Best Technology Available according to NYSDEC, and other Greenidge State Pollutant Discharge Elimination System ("SPDES") permit requirements. The construction work was completed by workers from local unions, including members of the International Brotherhood of Electrical Workers Local 840, Dockbuilders and Timbermen Local 1556, Carpenters Western New York Local Union 276, International Union of Operating Engineers Local 158 &amp; 150 and Millwrights Local 1163.</w:t>
      </w:r>
    </w:p>
    <w:p>
      <w:pPr>
        <w:spacing w:after="0" w:line="10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From time to time we have purchased voluntary carbon offsets from a portfolio of U.S. greenhouse gas reduction projects as one method to reduce our carbon footprint. During the year ended December 31, 2022, we purchased $1.0 million of voluntary carbon offset credits.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Our business is not generally subject to seasonality. However, coin generation from our mining operations may vary depending on our total hash rate at a given point in time relative to the total hash rate of bitcoin. Our power revenue may vary due to external factors impacting supply and demand of electricity in the region including demand due to seasonal weather.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7"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As of December 31, 2022, we had 347 employees, of which Greenidge employed 65 and Support.com employed 282. We had 132 employees based outside of the United States. None of our employees are covered by collective bargaining agreements. We believe our relationship with our employees is satisfactory.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Workplace Health and Safety</w:t>
      </w:r>
    </w:p>
    <w:p>
      <w:pPr>
        <w:spacing w:after="0" w:line="12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safety and health of our employees is a top priority for us. We are committed to maintaining an effective safety culture and to stressing the importance of our employees’ role in identifying, mitigating and communicating safety risks. We believe that the achievement of superior safety performance is both an important short-term and long-term strategic initiative in managing our operations. In this regard, our policies and operational practices promote a culture where all levels of employees are responsible for safety.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Greenidge Generation holds a Certificate of Public Convenience and Necessity issued by the NYS Public Service Commission (the "PSC") under section 68 of the Public Service Law. In addition, it has been granted lightened regulation by the PSC and Market Based Rate Authority by the Federal Energy Regulatory Commission (the "FERC")authorizing it to enter into sales of power in interstate commerce at market-based rates. It is connected to the New York State Electric &amp; Gas Corporation ("NYSEG") transmission system by virtue of the Large Generation Interconnection Agreement among Greenidge Generation, the NYSEG and the NYISO. All environmental permits are set forth below.</w:t>
      </w:r>
    </w:p>
    <w:p>
      <w:pPr>
        <w:spacing w:after="0" w:line="205"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We are a Public Utility Holding Company under the Public Utility Holding Company Act of 2005 ("PUHCA"), and have applied for and received exemption from the record keeping and records inspection regulations of PUHCA.</w:t>
      </w:r>
    </w:p>
    <w:p>
      <w:pPr>
        <w:spacing w:after="0" w:line="203"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One of our subsidiaries, Greenidge Pipeline LLC ("Greenidge Pipeline"), operates pursuant to a Certificate of Environmental Compatibility and Public Need issued by the PSC under Article VII of the Public Service Law. It is exempt from regulation by the FERC, under the National Gas Act ("NGA") pursuant to Section 1(c) of the NGA , due to the fact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that all of the gas transmitted through the pipeline is delivered within the State of New York and the rates for delivery are regulated by the PSC.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environmental permits associated with the operation of the pipeline.</w:t>
      </w:r>
    </w:p>
    <w:p>
      <w:pPr>
        <w:spacing w:after="0" w:line="21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Below is a summary of the material regulations that currently apply to our business. Regulations may substantially change in the future, and it is presently not possible to know how regulations will apply to our businesses, or when they will be effective. As the regulatory and legal environment evolves, we may become subject to new laws, further regulation by the SEC, and other federal or state agencies, which may affect our cryptocurrency datacenter, power generation and other related activities. For additional discussion regarding about the potential risks existing and future regulation pose to our business, see "</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 herein.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Applicable to Cryptocurrency Datacenter Business</w:t>
      </w:r>
    </w:p>
    <w:p>
      <w:pPr>
        <w:spacing w:after="0" w:line="120"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On November 22, 2022, New York State signed Bill S6486D into law which prohibits permits being issued for two years to proof-of-work cryptocurrency mining operations that are operated through electric generating facilities that use a carbon-based fuel. The bill prohibits the issuance of new permits and does not address existing permit renewal applications that predate the law’s effective date. Our permit application was accepted by the NYSDEC in September 2021. See "</w:t>
      </w:r>
      <w:r>
        <w:rPr>
          <w:rFonts w:ascii="Arial" w:cs="Arial" w:eastAsia="Arial" w:hAnsi="Arial"/>
          <w:sz w:val="18"/>
          <w:szCs w:val="18"/>
          <w:i w:val="1"/>
          <w:iCs w:val="1"/>
          <w:color w:val="auto"/>
        </w:rPr>
        <w:t>Permits</w:t>
      </w:r>
      <w:r>
        <w:rPr>
          <w:rFonts w:ascii="Arial" w:cs="Arial" w:eastAsia="Arial" w:hAnsi="Arial"/>
          <w:sz w:val="18"/>
          <w:szCs w:val="18"/>
          <w:color w:val="auto"/>
        </w:rPr>
        <w:t>" for further details.</w:t>
      </w:r>
    </w:p>
    <w:p>
      <w:pPr>
        <w:spacing w:after="0" w:line="319"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Government regulation of blockchain and bitcoin is being actively considered by the State of New York and the United States federal government via a number of agencies and regulatory bodies, as well as similar entities in other countries. Additional state government regulations also may apply to our cryptocurrency datacenter activities and other related activities in which we participate or may participate in the future. Certain regulatory bodies have shown an interest in regulating or investigating companies engaged in the blockchain or bitcoin business.</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Regulations may substantially change in the future, and it is presently not possible to know how new regulations will apply to our businesses, or when they will be effective. As the regulatory and legal environment evolves, we may become subject to new laws, further regulation by the SEC and other federal or state agencies, which may affect our cryptocurrency datacenter and other related activities. For additional discussion regarding our belief about the potential risks existing and future regulation pose to our business, see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herein.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Applicable to Power Generation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electricity generating business subject to the following regulatory regimes: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New York State Public Service Commission</w:t>
      </w:r>
    </w:p>
    <w:p>
      <w:pPr>
        <w:spacing w:after="0" w:line="12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Greenidge, GGH LLC and Greenidge Generation are each defined as "electric corporations" subject to regulation by the PSC under New York’s Public Service Law. The PSC regulates both the issuance by electric corporations of "stocks, bonds and other evidence of indebtedness" and the purchase and sale of either the assets of or the ownership interests in electric corporations.</w:t>
      </w:r>
    </w:p>
    <w:p>
      <w:pPr>
        <w:spacing w:after="0" w:line="326"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Greenidge Pipeline and Greenidge Pipeline Properties Corporation are "gas corporations" subject to regulation by the PSC under New York’s Public Service Law. The PSC regulates both the issuance by gas corporations of "stocks, bonds and other evidences of indebtedness" and the</w:t>
      </w:r>
    </w:p>
    <w:p>
      <w:pPr>
        <w:spacing w:after="0" w:line="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purchase and sale of either the assets of or the ownership interests in gas corporations. Greenidge Pipeline and Greenidge Pipeline Properties Corporation operate their approximately 4.6 mile gas pipeline under the terms of a certificate of environmental compatibility and public need</w:t>
      </w:r>
    </w:p>
    <w:p>
      <w:pPr>
        <w:spacing w:after="0" w:line="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issued by the PSC. The terms of that certificate govern the safe operation of the facility and minimization of the impacts of that facility on the environment.</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Greenidge Generation currently has permission from the PSC to issue up to $50 million in "indebtedness," which may include non-voting stock. To the extent that Greenidge Generation seeks to issue more than $50 million in such instruments (net of the amount of any instruments already issued), approval must be obtained from the PSC. Issuances of any such instruments by Greenidge Generation do not require the PSC’s prior approval, as long as the power generating assets held by Greenidge Generation are not pledged as security under those instruments. Currently these power generating assets are not pledged as a security under any of our outstanding debt agreements.</w:t>
      </w:r>
    </w:p>
    <w:p>
      <w:pPr>
        <w:spacing w:after="0" w:line="20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The PSC has established a rebuttable presumption that a third party that is not itself an electric or gas corporation may purchase up to 10% of the ownership interests in an electric corporation without: (1) requiring PSC approval; or (2)</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5" w:name="page16"/>
    <w:bookmarkEnd w:id="15"/>
    <w:p>
      <w:pPr>
        <w:ind w:right="260"/>
        <w:spacing w:after="0" w:line="247" w:lineRule="auto"/>
        <w:rPr>
          <w:sz w:val="20"/>
          <w:szCs w:val="20"/>
          <w:color w:val="auto"/>
        </w:rPr>
      </w:pPr>
      <w:r>
        <w:rPr>
          <w:rFonts w:ascii="Arial" w:cs="Arial" w:eastAsia="Arial" w:hAnsi="Arial"/>
          <w:sz w:val="18"/>
          <w:szCs w:val="18"/>
          <w:color w:val="auto"/>
        </w:rPr>
        <w:t>becoming an electric corporation itself. This presumption may be rebutted if the facts demonstrate that an entity holding less than 10% of the ownership interests in an electric corporation is nonetheless controlling the day-to-day operations of that electric corporation. Acquisition of more than 50% of the ownership interests in an electric corporation will require PSC approval and will make the acquiring entity an electric corporation itself. Acquisitions between 10% and 50% are reviewed by the PSC on a case-by-case basis.</w:t>
      </w:r>
    </w:p>
    <w:p>
      <w:pPr>
        <w:spacing w:after="0" w:line="208"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One exception to these requirements is that an electric or gas corporation that is under common ownership with one or more other entities may be merged with such other entities without requiring PSC approval, provided that such transaction does not result in any change in the ultimate ownership of the public utility in question.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Federal Energy Regulatory Commission</w:t>
      </w:r>
    </w:p>
    <w:p>
      <w:pPr>
        <w:spacing w:after="0" w:line="129"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color w:val="auto"/>
        </w:rPr>
        <w:t>Greenidge Generation is a public utility subject to regulation by the FERC under the Federal Power Act (the "FPA"). Like the PSC, FERC regulates both the issuance of securities and the purchase and sale of assets and ownership interests in public utilities. The FPA generally:</w:t>
      </w:r>
    </w:p>
    <w:p>
      <w:pPr>
        <w:spacing w:after="0" w:line="74" w:lineRule="exact"/>
        <w:rPr>
          <w:sz w:val="20"/>
          <w:szCs w:val="20"/>
          <w:color w:val="auto"/>
        </w:rPr>
      </w:pPr>
    </w:p>
    <w:p>
      <w:pPr>
        <w:ind w:left="640" w:hanging="316"/>
        <w:spacing w:after="0" w:line="248" w:lineRule="auto"/>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Limits public utilities from selling, leasing or otherwise disposing of facilities with a value in excess of $10 million and used for wholesale sales of electric energy or electric transmission ("Jurisdictional Facilities") without the prior authorization of FERC, and dispositions resulting in a direct or indirect change of control over a public utility generally require prior FERC authorization.</w:t>
      </w:r>
    </w:p>
    <w:p>
      <w:pPr>
        <w:spacing w:after="0" w:line="100" w:lineRule="exact"/>
        <w:rPr>
          <w:rFonts w:ascii="Arial" w:cs="Arial" w:eastAsia="Arial" w:hAnsi="Arial"/>
          <w:sz w:val="18"/>
          <w:szCs w:val="18"/>
          <w:color w:val="auto"/>
        </w:rPr>
      </w:pPr>
    </w:p>
    <w:p>
      <w:pPr>
        <w:ind w:left="640" w:right="40" w:hanging="316"/>
        <w:spacing w:after="0" w:line="251" w:lineRule="auto"/>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Prohibits a public utility from merging or consolidating Jurisdictional Facilities with any other public utility’s Jurisdictional Facilities with a value in excess of $10 million, without prior FERC authorization.</w:t>
      </w:r>
    </w:p>
    <w:p>
      <w:pPr>
        <w:spacing w:after="0" w:line="97" w:lineRule="exact"/>
        <w:rPr>
          <w:rFonts w:ascii="Arial" w:cs="Arial" w:eastAsia="Arial" w:hAnsi="Arial"/>
          <w:sz w:val="18"/>
          <w:szCs w:val="18"/>
          <w:color w:val="auto"/>
        </w:rPr>
      </w:pPr>
    </w:p>
    <w:p>
      <w:pPr>
        <w:ind w:left="640" w:right="260" w:hanging="316"/>
        <w:spacing w:after="0" w:line="251" w:lineRule="auto"/>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Requires FERC authorization before a public utility may acquire any security with a value in excess of $10 million of any other public utility.</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Requires FERC authorization before a public utility may acquire or lease a generation facility with a value in excess of $10 million.</w:t>
      </w:r>
    </w:p>
    <w:p>
      <w:pPr>
        <w:spacing w:after="0" w:line="111" w:lineRule="exact"/>
        <w:rPr>
          <w:rFonts w:ascii="Arial" w:cs="Arial" w:eastAsia="Arial" w:hAnsi="Arial"/>
          <w:sz w:val="18"/>
          <w:szCs w:val="18"/>
          <w:color w:val="auto"/>
        </w:rPr>
      </w:pPr>
    </w:p>
    <w:p>
      <w:pPr>
        <w:ind w:left="640" w:right="100" w:hanging="316"/>
        <w:spacing w:after="0" w:line="248" w:lineRule="auto"/>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Requires FERC approval before a holding company in a system which includes an electric transmission or generation company may acquire any security with a value in excess of $10 million of an electric transmission or generation company or a holding company with a value in excess of $10 million.</w:t>
      </w:r>
    </w:p>
    <w:p>
      <w:pPr>
        <w:spacing w:after="0" w:line="100" w:lineRule="exact"/>
        <w:rPr>
          <w:rFonts w:ascii="Arial" w:cs="Arial" w:eastAsia="Arial" w:hAnsi="Arial"/>
          <w:sz w:val="18"/>
          <w:szCs w:val="18"/>
          <w:color w:val="auto"/>
        </w:rPr>
      </w:pPr>
    </w:p>
    <w:p>
      <w:pPr>
        <w:ind w:left="640" w:right="300" w:hanging="316"/>
        <w:spacing w:after="0" w:line="248" w:lineRule="auto"/>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Requires FERC authorization before a holding company in a system which includes an electric transmission or generation company may merge or consolidate with an electric transmission or generation company or a holding company with a value in excess of $10 million.</w:t>
      </w:r>
    </w:p>
    <w:p>
      <w:pPr>
        <w:spacing w:after="0" w:line="206" w:lineRule="exact"/>
        <w:rPr>
          <w:sz w:val="20"/>
          <w:szCs w:val="20"/>
          <w:color w:val="auto"/>
        </w:rPr>
      </w:pPr>
    </w:p>
    <w:p>
      <w:pPr>
        <w:ind w:right="540"/>
        <w:spacing w:after="0" w:line="251" w:lineRule="auto"/>
        <w:rPr>
          <w:sz w:val="20"/>
          <w:szCs w:val="20"/>
          <w:color w:val="auto"/>
        </w:rPr>
      </w:pPr>
      <w:r>
        <w:rPr>
          <w:rFonts w:ascii="Arial" w:cs="Arial" w:eastAsia="Arial" w:hAnsi="Arial"/>
          <w:sz w:val="18"/>
          <w:szCs w:val="18"/>
          <w:color w:val="auto"/>
        </w:rPr>
        <w:t>The FPA also requires reporting of certain asset sales which do not otherwise require FERC authorization. FERC approval would also be required in advance of a disposition or change of control over Greenidge through the sale of shares.</w:t>
      </w:r>
    </w:p>
    <w:p>
      <w:pPr>
        <w:spacing w:after="0" w:line="20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FERC has granted Greenidge Generation blanket authorization to issue securities and assume obligations or liabilities as guarantor, endorser, surety, or otherwise in respect of any security of another person; provided that such issue or assumption is for some lawful object within the corporate purposes of Greenidge Generation, compatible with the public interest, and reasonably necessary or appropriate for such purposes. The FERC also administers the Public Utility Holding Company Act of 2005, which imposes certain record keeping and records access requirements on public utility holding companies. We are a public utility holding company but have received an exemption from these record keeping and records access requirements. Any entity acquiring more than 10% of the voting securities of either us or Greenidge Generation is likely to be regarded by FERC as a public utility holding company. Such entities can obtain an exemption from these record keeping and records access requirements if they are able to demonstrate that they are not affiliated with any jurisdictional utility that has captive customers, and that they do not own commission-jurisdictional transmission facilities or provide commission-jurisdictional transmission services and that they are not affiliated with persons that own such facilities or provide such services.</w:t>
      </w:r>
    </w:p>
    <w:p>
      <w:pPr>
        <w:spacing w:after="0" w:line="21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Although the gas pipeline owned and operated by Greenidge Pipeline transports gas supplies flowing in interstate commerce, it is regulated by the PSC rather than by FERC because all of the pipeline’s facilities are located in, and all of the gas it delivers is consumed in, New York State and its rates are regulated by the PSC. Accordingly, no FERC approvals are required for any financing or transfers of ownership interests in Greenidge Pipeline.</w:t>
      </w:r>
    </w:p>
    <w:p>
      <w:pPr>
        <w:spacing w:after="0" w:line="208"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color w:val="auto"/>
        </w:rPr>
        <w:t>Because Greenidge Pipeline operates exclusively as a provider of delivery services for gas supplies owned by others, it is not a "gas utility company" under the Public Utility Holding Company Act of 2005 which expands the authority of FERC to</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6" w:name="page17"/>
    <w:bookmarkEnd w:id="16"/>
    <w:p>
      <w:pPr>
        <w:spacing w:after="0" w:line="247" w:lineRule="auto"/>
        <w:rPr>
          <w:sz w:val="20"/>
          <w:szCs w:val="20"/>
          <w:color w:val="auto"/>
        </w:rPr>
      </w:pPr>
      <w:r>
        <w:rPr>
          <w:rFonts w:ascii="Arial" w:cs="Arial" w:eastAsia="Arial" w:hAnsi="Arial"/>
          <w:sz w:val="18"/>
          <w:szCs w:val="18"/>
          <w:color w:val="auto"/>
        </w:rPr>
        <w:t>oversee transactions and other financial activities of public utility holding companies through grants of access to those companies’ books and records. As a result, purchasers directly or indirectly acquiring 10% or more of the voting securities of Greenidge Pipeline would not become subject to the FERC records keeping and records access requirements of that law. Any such acquisition should be reviewed under FPA Section 203 and the NYPSL Section 70 to determine if an authorization is needed in advance of the transaction.</w:t>
      </w:r>
    </w:p>
    <w:p>
      <w:pPr>
        <w:spacing w:after="0" w:line="208"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In addition, we, GGH, and Atlas and certain of its affiliates are all holding companies under the PUHCA, which is also administered by FERC. Each of these entities has filed a Notice with FERC of their exemption from the books and record-keeping requirements of PUHCA 2005 and are therefore not subject to those requirements.</w:t>
      </w:r>
    </w:p>
    <w:p>
      <w:pPr>
        <w:spacing w:after="0" w:line="20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 xml:space="preserve">A failure to comply with FERC regulatory requirements can result in penalties and in extreme cases, action to unwind a transaction or to impose criminal sanctions. See </w:t>
      </w:r>
      <w:r>
        <w:rPr>
          <w:rFonts w:ascii="Arial" w:cs="Arial" w:eastAsia="Arial" w:hAnsi="Arial"/>
          <w:sz w:val="17"/>
          <w:szCs w:val="17"/>
          <w:i w:val="1"/>
          <w:iCs w:val="1"/>
          <w:color w:val="auto"/>
        </w:rPr>
        <w:t>"Risk Factors—Risks Related to Our Business—Risks Related to our Power Generation Operations"</w:t>
      </w:r>
      <w:r>
        <w:rPr>
          <w:rFonts w:ascii="Arial" w:cs="Arial" w:eastAsia="Arial" w:hAnsi="Arial"/>
          <w:sz w:val="17"/>
          <w:szCs w:val="17"/>
          <w:color w:val="auto"/>
        </w:rPr>
        <w:t xml:space="preserve"> for further details.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New York State Independent System Operator</w:t>
      </w:r>
    </w:p>
    <w:p>
      <w:pPr>
        <w:spacing w:after="0" w:line="12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So long as Greenidge Generation remains the owner of the New York facility, we expect that no approvals from the NYISO should be required for any restructuring of the ownership of us or Greenidge Generation. In the event of a transfer of ownership of its facility to a new owner, the interconnection agreement with the NYISO and NYSEG currently held by Greenidge Generation can be assigned to the new owner, so long as the assignee in such a transaction directly assumes in writing all rights, duties and obligations arising under that agreement and agrees to comply with all of the NYISO’s applicable market rules.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Yates County Industrial Development Agency</w:t>
      </w:r>
    </w:p>
    <w:p>
      <w:pPr>
        <w:spacing w:after="0" w:line="12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Both Greenidge Generation and Greenidge Pipeline have lease/leaseback relationships in place with the Yates County Industrial Development Agency, which relationships also include a payment in lieu of tax agreement. Consent of the Yates County Industrial Development Agency would be required for both Greenidge Generation and Greenidge Pipeline for any type of merger, consolidation or change of control, which consent must be obtained prior to completion of such transaction.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New York State Department of Environmental Conservation</w:t>
      </w:r>
    </w:p>
    <w:p>
      <w:pPr>
        <w:spacing w:after="0" w:line="12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operations of each of Greenidge Generation and the landfill owned by another subsidiary of Greenidge, Lockwood Hills LLC ("Lockwood Hills"), are subject to numerous NYSDEC and EPA regulations and requirements. Lockwood Hills operates a landfill and leachate management facility (the "Landfill"). Most of the EPA requirements that Greenidge Generation and Lockwood Hills are subject to are delegated to the NYSDEC and are regulated through permits issued by NYSDEC. Future laws or regulations may require the addition of environmental controls or impose restrictions on Greenidge Generation and Lockwood Hills operations, which could affect our operations.</w:t>
      </w:r>
    </w:p>
    <w:p>
      <w:pPr>
        <w:spacing w:after="0" w:line="189" w:lineRule="exact"/>
        <w:rPr>
          <w:sz w:val="20"/>
          <w:szCs w:val="20"/>
          <w:color w:val="auto"/>
        </w:rPr>
      </w:pPr>
    </w:p>
    <w:p>
      <w:pPr>
        <w:ind w:right="660"/>
        <w:spacing w:after="0" w:line="272" w:lineRule="auto"/>
        <w:rPr>
          <w:sz w:val="20"/>
          <w:szCs w:val="20"/>
          <w:color w:val="auto"/>
        </w:rPr>
      </w:pPr>
      <w:r>
        <w:rPr>
          <w:rFonts w:ascii="Arial" w:cs="Arial" w:eastAsia="Arial" w:hAnsi="Arial"/>
          <w:sz w:val="18"/>
          <w:szCs w:val="18"/>
          <w:color w:val="auto"/>
        </w:rPr>
        <w:t>Complying with environmental laws often involves significant capital and operating expenses.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Business—Risks Related to our Datacenter and Power Generation Operations" </w:t>
      </w:r>
      <w:r>
        <w:rPr>
          <w:rFonts w:ascii="Arial" w:cs="Arial" w:eastAsia="Arial" w:hAnsi="Arial"/>
          <w:sz w:val="18"/>
          <w:szCs w:val="18"/>
          <w:color w:val="auto"/>
        </w:rPr>
        <w:t>for further details.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Permits</w:t>
      </w:r>
    </w:p>
    <w:p>
      <w:pPr>
        <w:spacing w:after="0" w:line="12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Greenidge Generation’s operations are subject to the following NYSDEC-issued permits: Clean Air Act Title IV and Title V permits, Clean Water Act SPDES, and New York State Water Withdrawal Permit. Greenidge Generation also holds a Petroleum Bulk Storage registration issued by NYSDEC, which includes requirements applicable to the petroleum storage tanks located at the facility. The Landfill is subject to the following NYSDEC-issued permits: SPDES Permit and Part 360 Solid Waste Management Permit.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Air</w:t>
      </w:r>
    </w:p>
    <w:p>
      <w:pPr>
        <w:spacing w:after="0" w:line="1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Clean Air Act Title IV and Title V permits authorize Greenidge Generation to fire natural gas (with up to 19% biomass co-firing) to produce electricity in accordance with the requirements of these permits. These permits regulate air emissions associated with our operations and include all applicable Clean Air Act and New York State requirements. Greenidge Generation is also subject to the RGGI, which is a multi-state cap and trade program for carbon dioxide emissions that requires Greenidge Generation to purchase one RGGI allowance for every ton of CO2 emitted from the</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46" w:right="379" w:bottom="1440" w:gutter="0" w:footer="0" w:header="0"/>
        </w:sectPr>
      </w:pPr>
    </w:p>
    <w:bookmarkStart w:id="17" w:name="page18"/>
    <w:bookmarkEnd w:id="17"/>
    <w:p>
      <w:pPr>
        <w:ind w:right="260"/>
        <w:spacing w:after="0" w:line="262" w:lineRule="auto"/>
        <w:rPr>
          <w:sz w:val="20"/>
          <w:szCs w:val="20"/>
          <w:color w:val="auto"/>
        </w:rPr>
      </w:pPr>
      <w:r>
        <w:rPr>
          <w:rFonts w:ascii="Arial" w:cs="Arial" w:eastAsia="Arial" w:hAnsi="Arial"/>
          <w:sz w:val="17"/>
          <w:szCs w:val="17"/>
          <w:color w:val="auto"/>
        </w:rPr>
        <w:t>facility. RGGI allowances are offered in quarterly auctions and are available from third parties. In 2019, New York State passed the Climate Leadership and Community Protection Act ("CLCPA"), which requires the NYSDEC and PSC to promulgate regulations and programs for the state to meet greenhouse gas emission reduction requirements and targets. NYSDEC and PSC have not fully implemented the CLCPA.</w:t>
      </w:r>
    </w:p>
    <w:p>
      <w:pPr>
        <w:spacing w:after="0" w:line="12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late June 2022, the NYSDEC announced its denial of the Title V air permit renewal for our New York Facility. We filed a notice with the NYSDEC on July 28, 2022 requesting a hearing on NYSDEC’s decision. Having timely completed our application to renew our Title V air permit, we are permitted to operate uninterrupted under a State Administrative Procedures Act extension, in full compliance with our existing Title V Air Permit, until final resolution of the adjudicatory hearing process. The adjudicatory hearing process is in its early stages, with no ruling yet on party status or the issues to be adjudicated. While no adjudicatory proceedings have been scheduled to date, we expect that the appeals process may take a number of years to fully resolve.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w:t>
      </w:r>
    </w:p>
    <w:p>
      <w:pPr>
        <w:spacing w:after="0" w:line="1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New York Facility is subject to SPDES and Water Withdrawal permits issued by NYSDEC for five-year terms, which include state and federal requirements applicable to withdrawal of water from Seneca Lake and discharge of process and stormwaters from the facility to the Keuka Lake Outlet and Seneca Lake. A request for renewal has been made prior to the expiration of these permits and has been deemed timely and sufficient by NYSDEC. This allows uninterrupted operation of the New York Facility under the State Administrative Procedures Act. In September 2022, NYSDEC modified our SPDES permit which granted an extension to install Best Technology Available for cooling water intake structures. We completed the installation of the Best Technology Available and began successful operation in January 2023.</w:t>
      </w:r>
    </w:p>
    <w:p>
      <w:pPr>
        <w:spacing w:after="0" w:line="14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Landfill, which is located approximately 0.4 miles from the Greenidge Generation facility, discharges stormwater and treated leachate to the Keuka Lake Outlet in accordance with a SPDES permit issued by NYSDEC. A reissued SPDES permit was completed in May 2022. This permit establishes effluent limitations and sampling frequency for both stormwater and leachate discharges from the Landfill and specifies a monitoring and reporting structure to the NYSDEC. This permit is valid until June 2027.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Landfill is also subject to a Part 360 Solid Waste Management Facility permit issued by NYSDEC. An application to renew and modify the Part 360 permit was submitted in August 2020 to NYSDEC, and NYSDEC is currently processing the application. Due to the operations of the previous owners of the Lockwood Hills landfill, in 2015 NYSDEC alleged that the then-existing Leachate Pond was causing exceedances of New York State groundwater standards. Lockwood Hills entered into a Consent Order with the NYSDEC in 2015, which required remediation of the leachate pond, and installation of a liner and treatment system. The work required by the Consent Order was completed in 2019 as required, and NYSDEC approved of the construction report on July 6, 2020. Applications for modification of the SPDES and Part 360 permits to reflect the implementation of the consent order, which are the final requirements of the consent order, were timely submitted to NYSDEC. Lockwood Hills is subject to EPA’s Coal Combustion Residuals Rule (the "CCR Rule"), as a coal combustion residual ("CCR") landfill. In accordance with the requirements of the CCR Rule, Lockwood has drafted required plans and documents and hosts a publicly available website that makes certain documents available to the public.</w:t>
      </w:r>
    </w:p>
    <w:p>
      <w:pPr>
        <w:spacing w:after="0" w:line="21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Greenidge Generation is also subject to the CCR Rule, which requires that the onsite CCR surface impoundment associated with previous coal-fired operation of the facility, be closed. Greenidge Generation has also drafted the CCR Rule documents associated with closure, and has a publicly available website that makes certain documents available to the public as required by the rule. We have evaluated the impact of the CCR Rule on our consolidated financial position, results of operations, or cash flows and have accrued environmental liabilities under the rule based on current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Liability</w:t>
      </w:r>
    </w:p>
    <w:p>
      <w:pPr>
        <w:spacing w:after="0" w:line="13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required by the NYSDEC, landfills are required to establish and maintain financial assurance mechanism to cover closure, post-closure care, and related expenses. The purpose of the financial assurance mechanism is to ensure the amount of funds assured is sufficient to cover the costs of landfill closure, post-closure care, custodial care, and, if necessary, corrective measures for known releases when needed. The financial assurance amount is based on written estimates, in current dollars, of the cost of hiring a third party to perform the work. The NYSDEC has allowed Atlas and its affiliates to satisfy this financial assurance obligation by maintaining a letter of credit guaranteeing the payment of the landfill liability. As of December 31, 2022, the letter of credit amount was approximately $5.0 million, which guaranteed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8" w:name="page19"/>
    <w:bookmarkEnd w:id="18"/>
    <w:p>
      <w:pPr>
        <w:ind w:right="160"/>
        <w:spacing w:after="0" w:line="251" w:lineRule="auto"/>
        <w:rPr>
          <w:sz w:val="20"/>
          <w:szCs w:val="20"/>
          <w:color w:val="auto"/>
        </w:rPr>
      </w:pPr>
      <w:r>
        <w:rPr>
          <w:rFonts w:ascii="Arial" w:cs="Arial" w:eastAsia="Arial" w:hAnsi="Arial"/>
          <w:sz w:val="18"/>
          <w:szCs w:val="18"/>
          <w:color w:val="auto"/>
        </w:rPr>
        <w:t>the payment of a portion of the landfill liability. During 2023, Greenidge expects to contribute $1.3 million into a trust established with NYSDEC as the beneficiary to cover the remainder of the landfill surety requirement.</w:t>
      </w:r>
    </w:p>
    <w:p>
      <w:pPr>
        <w:spacing w:after="0" w:line="20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CCRs are subject to federal and state regulations. Most of our obligations associated with CCR are for the closure of a coal ash pond. The Landfill is in compliance with the CCR requirements applicable to CCR landfills and is not required to close. With regards to our coal ash pond, in accordance with federal law and Accounting Standards Codification ("ASC") 410-20, Environmental Liabilities, we have an environmental liability of $17.5 million as of December 31, 2022.</w:t>
      </w:r>
    </w:p>
    <w:p>
      <w:pPr>
        <w:spacing w:after="0" w:line="20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During the year ended December 31, 2022, we recognized a charge of $16.7 million for the remeasurement of environmental liabilities as a result of an update in the cost estimates associated to CCR liabilities related to the Lockwood landfill and the CCR impoundment as part of our continuing evaluation of the site.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Our website is located at www.greenidge.com. Information on our website does not constitute a part of this Annual Report. Our goal is to maintain our website as a portal through which investors can easily find or navigate to pertinent information about us, including our annual reports on Form 10-K, quarterly reports on Form 10-Q, current reports on Form 8-K, proxy statements, and any other reports, after we file them with the Securities and Exchange Commission (the "SEC"). The public may obtain a copy of our filings, free of charge, through our corporate internet website as soon as reasonably practicable after we have electronically filed such material with, or furnished it to, the SEC. Additionally, these materials, including this Annual Report and the accompanying exhibits are available from the SEC’s website http://www.sec.gov.</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5"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In evaluating our company and our business, you should carefully consider the risks and uncertainties described below, together with the other information in this Annual Report on Form 10-K, including our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Annual Report on Form 10-K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in this Annual Report on Form 10-K and described below are not intended to be exhaustive and are not the only ones we face. Additional risks and uncertainties not presently known to us or that we currently deem immaterial may also impair our business operations.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spacing w:after="0" w:line="217" w:lineRule="exact"/>
        <w:rPr>
          <w:sz w:val="20"/>
          <w:szCs w:val="20"/>
          <w:color w:val="auto"/>
        </w:rPr>
      </w:pPr>
    </w:p>
    <w:p>
      <w:pPr>
        <w:ind w:right="620"/>
        <w:spacing w:after="0" w:line="254" w:lineRule="auto"/>
        <w:rPr>
          <w:sz w:val="20"/>
          <w:szCs w:val="20"/>
          <w:color w:val="auto"/>
        </w:rPr>
      </w:pPr>
      <w:r>
        <w:rPr>
          <w:rFonts w:ascii="Arial" w:cs="Arial" w:eastAsia="Arial" w:hAnsi="Arial"/>
          <w:sz w:val="17"/>
          <w:szCs w:val="17"/>
          <w:color w:val="auto"/>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Risks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b w:val="1"/>
          <w:bCs w:val="1"/>
          <w:i w:val="1"/>
          <w:iCs w:val="1"/>
          <w:color w:val="auto"/>
        </w:rPr>
        <w:t>Because there is a risk as to our ability to continue as a going concern for a reasonable period of time, an investment in our common stock is highly speculative. Holders of our common stock could suffer a total loss of their investment.</w:t>
      </w:r>
    </w:p>
    <w:p>
      <w:pPr>
        <w:spacing w:after="0" w:line="16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ability to continue as a going concern is dependent upon the Company generating profitable operations in the future and/or obtaining the necessary financing to meet its obligations and repay its liabilities arising from normal business operations when they come due. Our operating cash flows are affected by several factors including the price of bitcoin and cost of electricity, natural gas and emissions credits, and based on the current price of bitcoin and electricity cost. During the year ended December 31, 2022, our profit and cash flows were impacted significantly by volatility in the prices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9" w:name="page20"/>
    <w:bookmarkEnd w:id="19"/>
    <w:p>
      <w:pPr>
        <w:ind w:right="240"/>
        <w:spacing w:after="0" w:line="238" w:lineRule="auto"/>
        <w:rPr>
          <w:sz w:val="20"/>
          <w:szCs w:val="20"/>
          <w:color w:val="auto"/>
        </w:rPr>
      </w:pPr>
      <w:r>
        <w:rPr>
          <w:rFonts w:ascii="Arial" w:cs="Arial" w:eastAsia="Arial" w:hAnsi="Arial"/>
          <w:sz w:val="18"/>
          <w:szCs w:val="18"/>
          <w:color w:val="auto"/>
        </w:rPr>
        <w:t>of bitcoin and natural gas. As a result, management took certain actions during the second half of 2022 and during the first quarter of 2023 to improve the Company's liquidity, such as restructuring Greenidge’s debt with NYDIG.</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In conjunction with such restructuring, Greenidge also entered into Hosting Agreements with NYDIG affiliates on January 30, 2023, which is expected to improve our liquidity position, as such agreements provide for cost reimbursements for key input costs, while allowing Greenidge to participate in the upside as bitcoin prices rise. The Company anticipates that existing cash resources will be depleted by the end of the first</w:t>
      </w:r>
    </w:p>
    <w:p>
      <w:pPr>
        <w:spacing w:after="0" w:line="1" w:lineRule="exact"/>
        <w:rPr>
          <w:sz w:val="20"/>
          <w:szCs w:val="20"/>
          <w:color w:val="auto"/>
        </w:rPr>
      </w:pPr>
    </w:p>
    <w:p>
      <w:pPr>
        <w:jc w:val="both"/>
        <w:ind w:right="700"/>
        <w:spacing w:after="0" w:line="249" w:lineRule="auto"/>
        <w:rPr>
          <w:sz w:val="20"/>
          <w:szCs w:val="20"/>
          <w:color w:val="auto"/>
        </w:rPr>
      </w:pPr>
      <w:r>
        <w:rPr>
          <w:rFonts w:ascii="Arial" w:cs="Arial" w:eastAsia="Arial" w:hAnsi="Arial"/>
          <w:sz w:val="17"/>
          <w:szCs w:val="17"/>
          <w:color w:val="auto"/>
        </w:rPr>
        <w:t>quarter of 2024, which is dependent on completion of certain actions, including our ability sell excess real estate in South Carolina. See "</w:t>
      </w:r>
      <w:r>
        <w:rPr>
          <w:rFonts w:ascii="Arial" w:cs="Arial" w:eastAsia="Arial" w:hAnsi="Arial"/>
          <w:sz w:val="17"/>
          <w:szCs w:val="17"/>
          <w:i w:val="1"/>
          <w:iCs w:val="1"/>
          <w:color w:val="auto"/>
        </w:rPr>
        <w:t>Management’s Discussion And Analysis of Financial Condition And Results Of Operations 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 For Greenidge—Liquidity And Capital Resources</w:t>
      </w:r>
      <w:r>
        <w:rPr>
          <w:rFonts w:ascii="Arial" w:cs="Arial" w:eastAsia="Arial" w:hAnsi="Arial"/>
          <w:sz w:val="17"/>
          <w:szCs w:val="17"/>
          <w:color w:val="auto"/>
        </w:rPr>
        <w:t>" and Note 6, "</w:t>
      </w:r>
      <w:r>
        <w:rPr>
          <w:rFonts w:ascii="Arial" w:cs="Arial" w:eastAsia="Arial" w:hAnsi="Arial"/>
          <w:sz w:val="17"/>
          <w:szCs w:val="17"/>
          <w:i w:val="1"/>
          <w:iCs w:val="1"/>
          <w:color w:val="auto"/>
        </w:rPr>
        <w:t>Debt</w:t>
      </w:r>
      <w:r>
        <w:rPr>
          <w:rFonts w:ascii="Arial" w:cs="Arial" w:eastAsia="Arial" w:hAnsi="Arial"/>
          <w:sz w:val="17"/>
          <w:szCs w:val="17"/>
          <w:color w:val="auto"/>
        </w:rPr>
        <w:t>", in the Notes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for further details.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Depending on its assumptions regarding the timing regarding the ability to achieve more normalized levels of operating revenue, the estimated amount of required liquidity will vary significantly. Similarly, while bitcoin prices have begun to recover in the first quarter of 2023, management cannot predict when or if bitcoin prices will recover to prior levels, or volatility in energy costs. While the Company continues to work to implement the options to improve liquidity, there can be no assurance that these efforts will be successful. Management's ability to successfully implement these options could be negatively impacted by items outside of its control, in particular, significant decreases in the price of bitcoin, regulatory changes concerning cryptocurrency, increases in energy costs or other macroeconomic conditions. There is uncertainty regarding the Company's financial condition and substantial doubt about its ability to continue as a going concern for a reasonable period of time.</w:t>
      </w:r>
    </w:p>
    <w:p>
      <w:pPr>
        <w:spacing w:after="0" w:line="277"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b w:val="1"/>
          <w:bCs w:val="1"/>
          <w:i w:val="1"/>
          <w:iCs w:val="1"/>
          <w:color w:val="auto"/>
        </w:rPr>
        <w:t>We may need to raise additional capital to grow our business and may not be able to do so on favorable terms, if at all. Future issuances of equity or debt securities may adversely affect the value of our common stock.</w:t>
      </w:r>
    </w:p>
    <w:p>
      <w:pPr>
        <w:spacing w:after="0" w:line="1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may need to raise additional capital in the future, including to expand our operations and pursue our growth strategies, to respond to competitive pressures or to meet capital needs in response to operating losses or unanticipated working capital requirements. We may not be able to obtain additional debt or equity financing on favorable terms in the future, if at all, which could impair our growth and adversely affect our existing operations. Similarly, in connection with the at market issuance sales agreement entered into on September 19, 2022, as amended on October 3, 2022 by Amendment No.1 to the At Market Issuance Sales Agreements (the "ATM Agreement") among us, B. Riley Securities, Inc. ("B. Riley") and Northland Securities, Inc. ("Northland"), because the purchase price per share to be paid by B. Riley for the shares of class A common stock that we may elect to sell to B. Riley fluctuates based on the market prices of our class A common stock at the time we elect to sell shares, we may not be able to continue to sell shares of class A common stock on favorable terms, or at all.</w:t>
      </w:r>
    </w:p>
    <w:p>
      <w:pPr>
        <w:spacing w:after="0" w:line="319"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If we conduct an equity offering, or exercise our right to sell shares of class A common stock to B. Riley under the ATM Agreement, to raise capital or to take advantage of strong capital markets, our stockholders may experience significant dilution of their ownership interests, and the per share value of our class A common stock could materially decline. Under the Promissory Note Amendment (as defined below), we are</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required to make mandatory monthly debt repayments under the Promissory Note (as defined below) of 15% of the net proceeds of sales under the ATM Agreement. See "</w:t>
      </w:r>
      <w:r>
        <w:rPr>
          <w:rFonts w:ascii="Arial" w:cs="Arial" w:eastAsia="Arial" w:hAnsi="Arial"/>
          <w:sz w:val="18"/>
          <w:szCs w:val="18"/>
          <w:i w:val="1"/>
          <w:iCs w:val="1"/>
          <w:color w:val="auto"/>
        </w:rPr>
        <w:t>Market for Registrant’s Common Equity, Related Stockholder Matters and Issuer Purchases of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Recent Sales of Unregistered Securities and Use of Proceeds.</w:t>
      </w:r>
      <w:r>
        <w:rPr>
          <w:rFonts w:ascii="Arial" w:cs="Arial" w:eastAsia="Arial" w:hAnsi="Arial"/>
          <w:sz w:val="18"/>
          <w:szCs w:val="18"/>
          <w:color w:val="auto"/>
        </w:rPr>
        <w:t>"</w:t>
      </w:r>
    </w:p>
    <w:p>
      <w:pPr>
        <w:spacing w:after="0" w:line="213"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Furthermore, if we engage in further debt financing, the holders of debt likely would have priority over the holders of our common stock, including the class A common stock, with respect to order of payment. Upon a bankruptcy or liquidation, holders of any such debt securities, and lenders with respect to other borrowings we may make, would receive distributions of our available assets prior to any distributions being made to holders of class A common stock.</w:t>
      </w:r>
    </w:p>
    <w:p>
      <w:pPr>
        <w:spacing w:after="0" w:line="21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Moreover, if we issue preferred stock in the future, the holders of such preferred stock could also be entitled to preferences over holders of class A common stock in respect of the payment of dividends and the payment of liquidating distributions. Further, such securities could require us to accept terms that restrict our ability to incur additional indebtedness, take other actions including terms that require us to maintain specified liquidity or other ratios that could otherwise not be in the interests of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or estimate the amount, timing or nature of any such future offerings or borrowings.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0" w:name="page21"/>
    <w:bookmarkEnd w:id="20"/>
    <w:p>
      <w:pPr>
        <w:ind w:right="280"/>
        <w:spacing w:after="0" w:line="253" w:lineRule="auto"/>
        <w:rPr>
          <w:sz w:val="20"/>
          <w:szCs w:val="20"/>
          <w:color w:val="auto"/>
        </w:rPr>
      </w:pPr>
      <w:r>
        <w:rPr>
          <w:rFonts w:ascii="Arial" w:cs="Arial" w:eastAsia="Arial" w:hAnsi="Arial"/>
          <w:sz w:val="18"/>
          <w:szCs w:val="18"/>
          <w:b w:val="1"/>
          <w:bCs w:val="1"/>
          <w:i w:val="1"/>
          <w:iCs w:val="1"/>
          <w:color w:val="auto"/>
        </w:rPr>
        <w:t>We have a limited operating history, with operating losses as we have grown. If we are unable to sustain greater revenues than our operating costs as well as expansion plans, we will continue to experience operating losses, which would continue to negatively impact our results of operations, strategy and financial performance.</w:t>
      </w:r>
    </w:p>
    <w:p>
      <w:pPr>
        <w:spacing w:after="0" w:line="136"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began bitcoin mining in May 2019 and have experienced recurring losses from operations in prior years. Bitcoin and energy pricing and cryptocurrency datacenter economics are volatile and subject to uncertainty, which has resulted in operating losses in 2022. Our current strategy will continue to expose us to the numerous risks and volatility associated with the cryptocurrency datacenter and power generation sectors, including fluctuating bitcoin to U.S. dollar prices, the profitability of our hosting arrangement, the number of market participants mining bitcoin, the availability of other power generation facilities to expand operations and regulatory changes.</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among other things, the price of bitcoin does not recover from recent declines or mining economics do not return to profitability, we will continue to incur losses Such losses could be significant as we incur costs and expenses associated with recent investments and potential future acquisitions, as well as legal and administrative related expenses. While we are closely monitoring our cash balances, cash needs and expense levels, significant expense increases may not be offset by a corresponding increase in revenue or a significant decline in bitcoin prices could significantly impact our financial performance. There is substantial doubt about the Company’s ability to continue as a going concern and to manage its liabilities in light of its current operating environment, an investment in the Company’s common stock is highly speculative. The Company’s prospects for operating a viable hosting business are uncertain. Additionally, the agreements governing the Company’s indebtedness contain covenants that may limit its ability to take advantage of certain business opportunities advantageous to the Company. See "</w:t>
      </w:r>
      <w:r>
        <w:rPr>
          <w:rFonts w:ascii="Arial" w:cs="Arial" w:eastAsia="Arial" w:hAnsi="Arial"/>
          <w:sz w:val="17"/>
          <w:szCs w:val="17"/>
          <w:i w:val="1"/>
          <w:iCs w:val="1"/>
          <w:color w:val="auto"/>
        </w:rPr>
        <w:t>General Risks—Because there is a risk as to our ability to continue as a going concern for a reasonable period of time, an investment in our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is highly speculative. Holders of our common stock could suffer a total loss of their investment</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class A common stock is subject to delisting proceedings from the Nasdaq Global Select Market.</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December 13, 2022, we received a letter from the listing qualifications department of the Nasdaq/ notifying us that for the prior 30 consecutive business days the bid price of our common stock had closed below $1.00 per share, the minimum closing bid price required by the continued listing requirements of Nasdaq listing rules (the "Bid Price Requirement").</w:t>
      </w:r>
    </w:p>
    <w:p>
      <w:pPr>
        <w:spacing w:after="0" w:line="2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until June 12, 2023 to regain compliance or we may be eligible for an additional 180 calendar days to comply with the Bid Price Requirement, subject to Nasdaq approval. If the Company does not regain compliance within the compliance period, including any extensions that may be granted by Nasdaq, the Common Stock will be subject to delisting.</w:t>
      </w:r>
    </w:p>
    <w:p>
      <w:pPr>
        <w:spacing w:after="0" w:line="2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intends to monitor the closing bid price of the Common Stock and will consider available options, including a reverse stock split, to regain compliance with the Bid Price Requirement. However, there can be no assurance that the Company will be able to regain compliance with the Bid Price Requirement or maintain compliance with any of the other Nasdaq continued listing requirements.</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Such a de-listing would likely have a negative effect on the price of our class A common stock and would impair our ability to sell or purchase our class A common stock when we wish to do so. In the event of a de-listing, we would take actions to restore our compliance with Nasdaq’s listing requirements, but we can provide no assurance that any such action taken by us would allow our class A common stock to become listed again, stabilize the market price or improve the liquidity of our class A common stock, or prevent our class A common stock from dropping below the Bid Price Requirement.</w:t>
      </w:r>
    </w:p>
    <w:p>
      <w:pPr>
        <w:spacing w:after="0" w:line="127"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b w:val="1"/>
          <w:bCs w:val="1"/>
          <w:i w:val="1"/>
          <w:iCs w:val="1"/>
          <w:color w:val="auto"/>
        </w:rPr>
        <w:t>A significant portion of our assets are pledged to our senior secured noteholders, and our miners are pledged to certain other lenders. This obligation may limit our ability to obtain additional capital to grow our business and failure to repay obligations to our noteholders or other lenders when due will have a material adverse effect on our business and could result in foreclosure on our assets.</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 significant portion of our assets are pledged to our senior secured noteholders. If we were to default on the amounts owed or other terms and conditions of the convertible notes, the noteholders would have the right to exercise rights and remedies to collect, which would include foreclosing on most of our assets. A default would have a material adverse effect on our business and our stockholders could lose their entire investment in us.</w:t>
      </w:r>
    </w:p>
    <w:p>
      <w:pPr>
        <w:spacing w:after="0" w:line="146"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In addition, our miners are pledged to certain other lenders in connection with our commercial transactions therewith. Any failure to satisfy our obligations under the arrangements with such lenders could result in foreclosing on our miners, which would have a material adverse effect on our business and results of operations.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Risks Related to Our Business Generally</w:t>
      </w:r>
    </w:p>
    <w:p>
      <w:pPr>
        <w:spacing w:after="0" w:line="306" w:lineRule="exact"/>
        <w:rPr>
          <w:sz w:val="20"/>
          <w:szCs w:val="20"/>
          <w:color w:val="auto"/>
        </w:rPr>
      </w:pPr>
    </w:p>
    <w:p>
      <w:pPr>
        <w:ind w:right="1160"/>
        <w:spacing w:after="0" w:line="276" w:lineRule="auto"/>
        <w:rPr>
          <w:sz w:val="20"/>
          <w:szCs w:val="20"/>
          <w:color w:val="auto"/>
        </w:rPr>
      </w:pPr>
      <w:r>
        <w:rPr>
          <w:rFonts w:ascii="Arial" w:cs="Arial" w:eastAsia="Arial" w:hAnsi="Arial"/>
          <w:sz w:val="18"/>
          <w:szCs w:val="18"/>
          <w:b w:val="1"/>
          <w:bCs w:val="1"/>
          <w:i w:val="1"/>
          <w:iCs w:val="1"/>
          <w:color w:val="auto"/>
        </w:rPr>
        <w:t>We have a single hosting customer and are exposed to customer concentration risk, as well as exposed to counterparty nonperformance risk for our hosting arrangement.</w:t>
      </w:r>
    </w:p>
    <w:p>
      <w:pPr>
        <w:spacing w:after="0" w:line="6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currently depend on one customer to generate all or substantially all of our revenue, which exposes us to the risk of nonperformance by such customer, whether contractual or otherwise. The nonperformance of our sole customer would have a material impact on our liquidity and ability to operate the business. Risk of nonperformance includes inability or refusal of a counterparty to perform because of a counterparty’s financial condition and liquidity or for any other reason. For further details, see "</w:t>
      </w:r>
      <w:r>
        <w:rPr>
          <w:rFonts w:ascii="Arial" w:cs="Arial" w:eastAsia="Arial" w:hAnsi="Arial"/>
          <w:sz w:val="18"/>
          <w:szCs w:val="18"/>
          <w:i w:val="1"/>
          <w:iCs w:val="1"/>
          <w:color w:val="auto"/>
        </w:rPr>
        <w:t>Business—Overview—Hosting Agreements</w:t>
      </w:r>
      <w:r>
        <w:rPr>
          <w:rFonts w:ascii="Arial" w:cs="Arial" w:eastAsia="Arial" w:hAnsi="Arial"/>
          <w:sz w:val="18"/>
          <w:szCs w:val="18"/>
          <w:color w:val="auto"/>
        </w:rPr>
        <w:t>" for further details. Any significant nonperformance by our sole customer, could have a material adverse effect on our business, prospects, financial condition, and operating results.</w:t>
      </w:r>
    </w:p>
    <w:p>
      <w:pPr>
        <w:spacing w:after="0" w:line="28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are at an early stage of development of our hosting business, currently have limited sources of revenue and may not become profitable in the future.</w:t>
      </w:r>
    </w:p>
    <w:p>
      <w:pPr>
        <w:spacing w:after="0" w:line="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Although we began generating revenue from hosting operations when our first co-hosting facility came online in February 2023, we are subject to the risks and uncertainties of a new business, including the risk that we may never develop, complete development or market any of our proposed hosting services.</w:t>
      </w:r>
    </w:p>
    <w:p>
      <w:pPr>
        <w:spacing w:after="0" w:line="2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Accordingly, we have a limited history upon which an evaluation of our prospects and future performance can be made. Hosting revenues are limited to fees from access to space, electricity, technical support services and other related services provided by us. Direct costs of sales from hosting includes operations, maintenance and power related costs. However, any increased hosting revenue or decreased costs, for instance, as a result of economies of scale and additional services provided, or any decrease in demand for our hosting services, for example as a result of increased regulation on cryptoasset mining of our hosting customers or a significant decrease in cryptoasset prices, will significantly change the terms on which we are able to enter into additional agreements necessary to expand our business and thus impact the results of our hosting revenues and direct hosting costs.</w:t>
      </w:r>
    </w:p>
    <w:p>
      <w:pPr>
        <w:spacing w:after="0" w:line="225"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If we are unable to successfully implement our development plan or to increase our generation of revenue, we will not become profitable, and we may be unable to continue our operations. Furthermore, our proposed operations are subject to all business risks associated with new enterprises. The likelihood of our success must be considered in light of the problems, expenses, difficulties, complications, and delays frequently encountered in connection with the expansion of a business, operation in a competitive industry, and the continued development of advertising, promotions and a corresponding customer base. There can be no assurances that we will operate profitably.</w:t>
      </w:r>
    </w:p>
    <w:p>
      <w:pPr>
        <w:spacing w:after="0" w:line="378"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Our success depends in large part on our ability to mine digital assets profitably and to attract customers for our hosting capabilities. Increases in power costs or our inability to mine digital assets efficiently and to sell digital assets at favorable prices will reduce our operating margins, impact our ability to attract customers for our services and harm our growth prospects and could have a material adverse effect on our business, financial condition and results of operations.</w:t>
      </w:r>
    </w:p>
    <w:p>
      <w:pPr>
        <w:spacing w:after="0" w:line="14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growth depends in large part on our ability to successfully mine digital assets and to attract and maintain customers for our hosting capabilities, including the design and construction of new mining sites. We may not be able to attract customers to our hosting capabilities for a number of reasons, including if:</w:t>
      </w:r>
    </w:p>
    <w:p>
      <w:pPr>
        <w:spacing w:after="0" w:line="148" w:lineRule="exact"/>
        <w:rPr>
          <w:sz w:val="20"/>
          <w:szCs w:val="20"/>
          <w:color w:val="auto"/>
        </w:rPr>
      </w:pPr>
    </w:p>
    <w:p>
      <w:pPr>
        <w:ind w:left="620" w:hanging="29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a reduction in the demand for our services due to macroeconomic factors in the markets in which we operate;</w:t>
      </w:r>
    </w:p>
    <w:p>
      <w:pPr>
        <w:spacing w:after="0" w:line="44" w:lineRule="exact"/>
        <w:rPr>
          <w:rFonts w:ascii="Arial" w:cs="Arial" w:eastAsia="Arial" w:hAnsi="Arial"/>
          <w:sz w:val="18"/>
          <w:szCs w:val="18"/>
          <w:color w:val="auto"/>
        </w:rPr>
      </w:pPr>
    </w:p>
    <w:p>
      <w:pPr>
        <w:ind w:left="620" w:hanging="29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provide competitive pricing terms or effectively market them to potential customers;</w:t>
      </w:r>
    </w:p>
    <w:p>
      <w:pPr>
        <w:spacing w:after="0" w:line="44" w:lineRule="exact"/>
        <w:rPr>
          <w:rFonts w:ascii="Arial" w:cs="Arial" w:eastAsia="Arial" w:hAnsi="Arial"/>
          <w:sz w:val="18"/>
          <w:szCs w:val="18"/>
          <w:color w:val="auto"/>
        </w:rPr>
      </w:pPr>
    </w:p>
    <w:p>
      <w:pPr>
        <w:ind w:left="640" w:hanging="316"/>
        <w:spacing w:after="0"/>
        <w:tabs>
          <w:tab w:leader="none" w:pos="6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provide hosting services that are deemed by existing and potential customers or suppliers to be inferior to those of our competitors, or that fail to meet customers’ or suppliers’ ongoing and evolving program qualification standards, based on a range of factors, including available power, preferred design features, security considerations and connectivity;</w:t>
      </w:r>
    </w:p>
    <w:p>
      <w:pPr>
        <w:spacing w:after="0" w:line="41" w:lineRule="exact"/>
        <w:rPr>
          <w:rFonts w:ascii="Arial" w:cs="Arial" w:eastAsia="Arial" w:hAnsi="Arial"/>
          <w:sz w:val="18"/>
          <w:szCs w:val="18"/>
          <w:color w:val="auto"/>
        </w:rPr>
      </w:pPr>
    </w:p>
    <w:p>
      <w:pPr>
        <w:ind w:left="620" w:hanging="29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businesses decide to host internally as an alternative to the use of our services;</w:t>
      </w:r>
    </w:p>
    <w:p>
      <w:pPr>
        <w:spacing w:after="0" w:line="58" w:lineRule="exact"/>
        <w:rPr>
          <w:rFonts w:ascii="Arial" w:cs="Arial" w:eastAsia="Arial" w:hAnsi="Arial"/>
          <w:sz w:val="18"/>
          <w:szCs w:val="18"/>
          <w:color w:val="auto"/>
        </w:rPr>
      </w:pPr>
    </w:p>
    <w:p>
      <w:pPr>
        <w:ind w:left="620" w:hanging="29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successfully communicate the benefits of our services to potential customers;</w:t>
      </w:r>
    </w:p>
    <w:p>
      <w:pPr>
        <w:spacing w:after="0" w:line="44" w:lineRule="exact"/>
        <w:rPr>
          <w:rFonts w:ascii="Arial" w:cs="Arial" w:eastAsia="Arial" w:hAnsi="Arial"/>
          <w:sz w:val="18"/>
          <w:szCs w:val="18"/>
          <w:color w:val="auto"/>
        </w:rPr>
      </w:pPr>
    </w:p>
    <w:p>
      <w:pPr>
        <w:ind w:left="620" w:hanging="29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unable to strengthen awareness of our brand;</w:t>
      </w:r>
    </w:p>
    <w:p>
      <w:pPr>
        <w:spacing w:after="0" w:line="44" w:lineRule="exact"/>
        <w:rPr>
          <w:rFonts w:ascii="Arial" w:cs="Arial" w:eastAsia="Arial" w:hAnsi="Arial"/>
          <w:sz w:val="18"/>
          <w:szCs w:val="18"/>
          <w:color w:val="auto"/>
        </w:rPr>
      </w:pPr>
    </w:p>
    <w:p>
      <w:pPr>
        <w:ind w:left="620" w:hanging="29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unable to provide services that our existing and potential customers desire;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 w:name="page23"/>
    <w:bookmarkEnd w:id="22"/>
    <w:p>
      <w:pPr>
        <w:ind w:left="620" w:hanging="296"/>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customers are unable to secure an adequate supply of new generation digital asset mining equipment to host with us.</w:t>
      </w:r>
    </w:p>
    <w:p>
      <w:pPr>
        <w:spacing w:after="0" w:line="151" w:lineRule="exact"/>
        <w:rPr>
          <w:sz w:val="20"/>
          <w:szCs w:val="20"/>
          <w:color w:val="auto"/>
        </w:rPr>
      </w:pPr>
    </w:p>
    <w:p>
      <w:pPr>
        <w:ind w:right="560"/>
        <w:spacing w:after="0" w:line="251" w:lineRule="auto"/>
        <w:rPr>
          <w:sz w:val="20"/>
          <w:szCs w:val="20"/>
          <w:color w:val="auto"/>
        </w:rPr>
      </w:pPr>
      <w:r>
        <w:rPr>
          <w:rFonts w:ascii="Arial" w:cs="Arial" w:eastAsia="Arial" w:hAnsi="Arial"/>
          <w:sz w:val="18"/>
          <w:szCs w:val="18"/>
          <w:color w:val="auto"/>
        </w:rPr>
        <w:t>If we are unable to obtain or maintain hosting customers at favorable pricing terms or at all, it could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external factors in the cryptomining industry.</w:t>
      </w:r>
    </w:p>
    <w:p>
      <w:pPr>
        <w:spacing w:after="0" w:line="252"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color w:val="auto"/>
        </w:rPr>
        <w:t>We have a single hosting customer in the cryptomining industry. The cryptomining industry is subject to various risks which could adversely affect our current customer’s ability to continue to operate their businesses, including, but not limited to:</w:t>
      </w:r>
    </w:p>
    <w:p>
      <w:pPr>
        <w:spacing w:after="0" w:line="31" w:lineRule="exact"/>
        <w:rPr>
          <w:sz w:val="20"/>
          <w:szCs w:val="20"/>
          <w:color w:val="auto"/>
        </w:rPr>
      </w:pPr>
    </w:p>
    <w:p>
      <w:pPr>
        <w:ind w:left="960" w:right="440" w:hanging="318"/>
        <w:spacing w:after="0" w:line="238"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ongoing and future government or regulatory actions that could effectively prevent mining operations, with little to no access to policymakers and lobbying organizations in many jurisdictions;</w:t>
      </w:r>
    </w:p>
    <w:p>
      <w:pPr>
        <w:spacing w:after="0" w:line="53" w:lineRule="exact"/>
        <w:rPr>
          <w:rFonts w:ascii="Arial" w:cs="Arial" w:eastAsia="Arial" w:hAnsi="Arial"/>
          <w:sz w:val="18"/>
          <w:szCs w:val="18"/>
          <w:color w:val="auto"/>
        </w:rPr>
      </w:pPr>
    </w:p>
    <w:p>
      <w:pPr>
        <w:ind w:left="960" w:right="380" w:hanging="318"/>
        <w:spacing w:after="0" w:line="238"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high degree of uncertainty about cryptoassets’ status as a "security," a "commodity" or a "financial instrument" in any relevant jurisdiction which may subject cryptomining industry to regulatory scrutiny, investigations, fines, and other penalties;</w:t>
      </w:r>
    </w:p>
    <w:p>
      <w:pPr>
        <w:spacing w:after="0" w:line="39" w:lineRule="exact"/>
        <w:rPr>
          <w:rFonts w:ascii="Arial" w:cs="Arial" w:eastAsia="Arial" w:hAnsi="Arial"/>
          <w:sz w:val="18"/>
          <w:szCs w:val="18"/>
          <w:color w:val="auto"/>
        </w:rPr>
      </w:pPr>
    </w:p>
    <w:p>
      <w:pPr>
        <w:ind w:left="960" w:right="660" w:hanging="318"/>
        <w:spacing w:after="0" w:line="251"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banks or financial institutions may close the accounts of businesses engaging in cryptoasset- related activities as a result of compliance risk, cost, government regulation or public pressure;</w:t>
      </w:r>
    </w:p>
    <w:p>
      <w:pPr>
        <w:spacing w:after="0" w:line="30" w:lineRule="exact"/>
        <w:rPr>
          <w:rFonts w:ascii="Arial" w:cs="Arial" w:eastAsia="Arial" w:hAnsi="Arial"/>
          <w:sz w:val="18"/>
          <w:szCs w:val="18"/>
          <w:color w:val="auto"/>
        </w:rPr>
      </w:pPr>
    </w:p>
    <w:p>
      <w:pPr>
        <w:ind w:left="960" w:hanging="31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cryptoassets in the retail and commercial marketplace is limited;</w:t>
      </w:r>
    </w:p>
    <w:p>
      <w:pPr>
        <w:spacing w:after="0" w:line="44" w:lineRule="exact"/>
        <w:rPr>
          <w:rFonts w:ascii="Arial" w:cs="Arial" w:eastAsia="Arial" w:hAnsi="Arial"/>
          <w:sz w:val="18"/>
          <w:szCs w:val="18"/>
          <w:color w:val="auto"/>
        </w:rPr>
      </w:pPr>
    </w:p>
    <w:p>
      <w:pPr>
        <w:ind w:left="960" w:right="780" w:hanging="318"/>
        <w:spacing w:after="0" w:line="251"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extreme volatility in the market price of cryptoassets that may harm our customers financial resources, ability to meet their contractual obligations to us or cause them to reduce or cease mining operations;</w:t>
      </w:r>
    </w:p>
    <w:p>
      <w:pPr>
        <w:spacing w:after="0" w:line="30" w:lineRule="exact"/>
        <w:rPr>
          <w:rFonts w:ascii="Arial" w:cs="Arial" w:eastAsia="Arial" w:hAnsi="Arial"/>
          <w:sz w:val="18"/>
          <w:szCs w:val="18"/>
          <w:color w:val="auto"/>
        </w:rPr>
      </w:pPr>
    </w:p>
    <w:p>
      <w:pPr>
        <w:ind w:left="960" w:right="500" w:hanging="318"/>
        <w:spacing w:after="0" w:line="238"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a ledger-based platform may not necessarily benefit from viable trading markets or the rigors of listing requirements for securities creating higher potential risk for fraud or the manipulation of the ledger due to a control event;</w:t>
      </w:r>
    </w:p>
    <w:p>
      <w:pPr>
        <w:spacing w:after="0" w:line="53" w:lineRule="exact"/>
        <w:rPr>
          <w:rFonts w:ascii="Arial" w:cs="Arial" w:eastAsia="Arial" w:hAnsi="Arial"/>
          <w:sz w:val="18"/>
          <w:szCs w:val="18"/>
          <w:color w:val="auto"/>
        </w:rPr>
      </w:pPr>
    </w:p>
    <w:p>
      <w:pPr>
        <w:ind w:left="960" w:right="420" w:hanging="318"/>
        <w:spacing w:after="0" w:line="238"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concentrated ownership, large sales of cryptoassets, or distributions or redemptions by vehicles invested in cryptoassets could have an adverse effect on the demand or, and market price of, such cryptoasset;</w:t>
      </w:r>
    </w:p>
    <w:p>
      <w:pPr>
        <w:spacing w:after="0" w:line="39" w:lineRule="exact"/>
        <w:rPr>
          <w:rFonts w:ascii="Arial" w:cs="Arial" w:eastAsia="Arial" w:hAnsi="Arial"/>
          <w:sz w:val="18"/>
          <w:szCs w:val="18"/>
          <w:color w:val="auto"/>
        </w:rPr>
      </w:pPr>
    </w:p>
    <w:p>
      <w:pPr>
        <w:ind w:left="960" w:right="480" w:hanging="318"/>
        <w:spacing w:after="0" w:line="251"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cryptomining industry could face difficulty adapting to emergent digital ledgers, blockchains, or alternatives thereto, rapidly changing technology or methods of, rules of, or access to, platforms;</w:t>
      </w:r>
    </w:p>
    <w:p>
      <w:pPr>
        <w:spacing w:after="0" w:line="30" w:lineRule="exact"/>
        <w:rPr>
          <w:rFonts w:ascii="Arial" w:cs="Arial" w:eastAsia="Arial" w:hAnsi="Arial"/>
          <w:sz w:val="18"/>
          <w:szCs w:val="18"/>
          <w:color w:val="auto"/>
        </w:rPr>
      </w:pPr>
    </w:p>
    <w:p>
      <w:pPr>
        <w:ind w:left="960" w:right="100" w:hanging="318"/>
        <w:spacing w:after="0" w:line="238"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cryptoassets awarded for solving a block in a blockchain could decrease which may adversely affect the incentive to expend processing power to solve blocks and/or continue mining and miners may not have access to resources to invest in increasing processing power when necessary in order to in order to maintain the continuing revenue production of their mining operations;</w:t>
      </w:r>
    </w:p>
    <w:p>
      <w:pPr>
        <w:spacing w:after="0" w:line="40" w:lineRule="exact"/>
        <w:rPr>
          <w:rFonts w:ascii="Arial" w:cs="Arial" w:eastAsia="Arial" w:hAnsi="Arial"/>
          <w:sz w:val="18"/>
          <w:szCs w:val="18"/>
          <w:color w:val="auto"/>
        </w:rPr>
      </w:pPr>
    </w:p>
    <w:p>
      <w:pPr>
        <w:jc w:val="both"/>
        <w:ind w:left="960" w:right="100" w:hanging="318"/>
        <w:spacing w:after="0"/>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intellectual property claims or claims relating to the holding and transfer of cryptoassets and source code, which, regardless of the merit of any such action, could reduce confidence in some or all cryptoasset networks’ long-term viability or the ability of end-users to hold and transfer cryptoassets;</w:t>
      </w:r>
    </w:p>
    <w:p>
      <w:pPr>
        <w:spacing w:after="0" w:line="41" w:lineRule="exact"/>
        <w:rPr>
          <w:rFonts w:ascii="Arial" w:cs="Arial" w:eastAsia="Arial" w:hAnsi="Arial"/>
          <w:sz w:val="18"/>
          <w:szCs w:val="18"/>
          <w:color w:val="auto"/>
        </w:rPr>
      </w:pPr>
    </w:p>
    <w:p>
      <w:pPr>
        <w:ind w:left="960" w:right="420" w:hanging="318"/>
        <w:spacing w:after="0" w:line="277" w:lineRule="auto"/>
        <w:tabs>
          <w:tab w:leader="none" w:pos="9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contributors to the open-source structure of the cryptoasset network protocols are generally not directly compensated for their contributions in maintaining and developing the protocol and may lack incentive to properly monitor and upgrade the protocols;</w:t>
      </w:r>
    </w:p>
    <w:p>
      <w:pPr>
        <w:spacing w:after="0" w:line="12" w:lineRule="exact"/>
        <w:rPr>
          <w:rFonts w:ascii="Arial" w:cs="Arial" w:eastAsia="Arial" w:hAnsi="Arial"/>
          <w:sz w:val="17"/>
          <w:szCs w:val="17"/>
          <w:color w:val="auto"/>
        </w:rPr>
      </w:pPr>
    </w:p>
    <w:p>
      <w:pPr>
        <w:ind w:left="960" w:hanging="31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disruption of the Internet on which mining cryptoassets is dependent;</w:t>
      </w:r>
    </w:p>
    <w:p>
      <w:pPr>
        <w:spacing w:after="0" w:line="44" w:lineRule="exact"/>
        <w:rPr>
          <w:rFonts w:ascii="Arial" w:cs="Arial" w:eastAsia="Arial" w:hAnsi="Arial"/>
          <w:sz w:val="18"/>
          <w:szCs w:val="18"/>
          <w:color w:val="auto"/>
        </w:rPr>
      </w:pPr>
    </w:p>
    <w:p>
      <w:pPr>
        <w:jc w:val="both"/>
        <w:ind w:left="960" w:hanging="318"/>
        <w:spacing w:after="0"/>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decentralized nature of the governance of cryptoasset systems, generally by voluntary consensus and open competition with no clear leadership structure or authority, may lead to ineffective decision making that slows development or prevents a network from overcoming emergent obstacles; and</w:t>
      </w:r>
    </w:p>
    <w:p>
      <w:pPr>
        <w:spacing w:after="0" w:line="41" w:lineRule="exact"/>
        <w:rPr>
          <w:rFonts w:ascii="Arial" w:cs="Arial" w:eastAsia="Arial" w:hAnsi="Arial"/>
          <w:sz w:val="18"/>
          <w:szCs w:val="18"/>
          <w:color w:val="auto"/>
        </w:rPr>
      </w:pPr>
    </w:p>
    <w:p>
      <w:pPr>
        <w:jc w:val="both"/>
        <w:ind w:left="960" w:hanging="318"/>
        <w:spacing w:after="0"/>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breaches, hacking, or other malicious activities or loss of private keys relating to, or hack or other compromise of, digital wallets used to store cryptoassets could adversely affect the ability to access or sell cryptoassets or effectively utilize impacted platforms.</w:t>
      </w:r>
    </w:p>
    <w:p>
      <w:pPr>
        <w:spacing w:after="0" w:line="20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aforementioned negative impacts to the cryptomining industry may negatively affect our business, financial condition, operating results, liquidity and prospects.</w:t>
      </w:r>
    </w:p>
    <w:p>
      <w:pPr>
        <w:spacing w:after="0" w:line="29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Any disruption in developing our datacenter sites may delay our expansion of hosting services or deployment of miners, which may adversely affect our results of operations and financial performance.</w:t>
      </w:r>
    </w:p>
    <w:p>
      <w:pPr>
        <w:spacing w:after="0" w:line="128"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We are in the process of developing other sites and expanding our existing locations for our hosting customer as well as to deploy our mining equipment, and any disruption in developing such sites may delay our efforts.. We may face challenges in obtaining suitable land to build new cryptocurrency datacenter facilities, as we require close cooperation with local power suppliers and local governments of the places where our proposed facilities are located. Delays in actions that require the assistance of such third parties, in receiving required permits and approvals or in mediations with</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23" w:name="page24"/>
    <w:bookmarkEnd w:id="23"/>
    <w:p>
      <w:pPr>
        <w:ind w:right="40"/>
        <w:spacing w:after="0" w:line="236" w:lineRule="auto"/>
        <w:rPr>
          <w:sz w:val="20"/>
          <w:szCs w:val="20"/>
          <w:color w:val="auto"/>
        </w:rPr>
      </w:pPr>
      <w:r>
        <w:rPr>
          <w:rFonts w:ascii="Arial" w:cs="Arial" w:eastAsia="Arial" w:hAnsi="Arial"/>
          <w:sz w:val="18"/>
          <w:szCs w:val="18"/>
          <w:color w:val="auto"/>
        </w:rPr>
        <w:t>local communities, if any, may negatively impact our construction timelines and budget or result in any new datacenters not being completed at all. Any delay in completing the expansion of the South Carolina Facility or developing other sites, could delay our ability to expand our hosting services and reduce our debt obligations under our agreement with NYDIG, deploy mining equipment that we own and is currently idle, and materially adversely affect our results of operation, strategy and financial performance. Our business will be negatively impacted if we are unable to run our datacenter operations in a way that is technologically advanced, economically and energy efficient and temperature controlled. If we are unsuccessful, we may damage our miners and the profitability of our datacenter operations. If we experience significant delays in the supply of power required to support any datacenter expansion or new construction, the progress of such projects could deviate from our original plans, which could cause material and negative effects on our revenue growth, profitability and results of operations. Any material delay in completing these projects, or any substantial cost increases or quality issues in connection with these projects, could materially adversely affect our business, financial condition and results of operations.</w:t>
      </w:r>
    </w:p>
    <w:p>
      <w:pPr>
        <w:spacing w:after="0" w:line="288"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i w:val="1"/>
          <w:iCs w:val="1"/>
          <w:color w:val="auto"/>
        </w:rPr>
        <w:t>It may take significant time, expenditure or effort for us to grow our business, including our cryptocurrency datacenter operations, through acquisitions, and our efforts may not be successful.</w:t>
      </w:r>
    </w:p>
    <w:p>
      <w:pPr>
        <w:spacing w:after="0" w:line="11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number of bitcoin and other cryptocurrency datacenter companies has greatly increased in recent years. As we and other bitcoin/cryptocurrency datacenter companies seek to grow their mining or hosting capacity or access additional sources of electricity to power growing datacenter operations, the acquisition of existing cryptocurrency datacenter companies and standalone electricity production facilities may become an attractive avenue of growth. Currently, we source our electricity for our cryptocurrency datacenter operations from our captive power generation facility located in the Town of Torrey, New York. If we determine to expand our operations, we may want to do so through the acquisition of additional bitcoin or other cryptocurrency datacenter businesses or electricity generating power plants. Further attractive acquisition targets may not be available to us for a number of reasons, such as growing competition for attractive targets, economic or industry sector downturns, geopolitical tensions, regulatory changes, environmental challenges, increases in the cost of additional capital needed to close business combination or operate targets post-business combination. Our inability to identify and consummate acquisitions of attractive targets could have a material and adverse impact on our long-term growth prospects, which could materially adversely affect our results of operations, strategy and financial performance.</w:t>
      </w:r>
    </w:p>
    <w:p>
      <w:pPr>
        <w:spacing w:after="0" w:line="13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The loss of any of our management team, an inability to execute an effective succession plan, or an inability to attract and retain qualified personnel could adversely affect our results of operations, strategy and financial performance.</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operations, strategy and business depend to a significant degree on the skills and services of our management, including David Anderson, our Chief Executive Officer; Dale Irwin, our President; Robert Loughran, our Chief Financial Officer; Scott Mackenzie, our Chief Strategy Officer and Terence Burke, our General Legal Counsel.</w:t>
      </w:r>
    </w:p>
    <w:p>
      <w:pPr>
        <w:spacing w:after="0" w:line="20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At present, our management team is small, and we will need to continue to grow our management in order to alleviate pressure on our existing management team and in order to continue to develop our business and execute on any future identification and expansion into other potential opportunities. If our management, including any new hires that we may make, fails to work together effectively or to execute our plans and strategies on a timely basis, our business could be harmed. Additionally, our Chief Executive Officer and our Chief Strategy Officer currently maintain similar roles at another company, which may cause them to not have enough time to provide the appropriate level of attention and focus on their roles at Greenidge.</w:t>
      </w:r>
    </w:p>
    <w:p>
      <w:pPr>
        <w:spacing w:after="0" w:line="1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Furthermore, if we fail to execute an effective contingency or succession plan with the loss of any member of management, the loss of such management personnel may significantly disrupt our business.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loss of key members of management could inhibit our business. Our future success also depends in large part on our ability to attract, retain and motivate key management and operating personnel. As we continue to develop and expand our operations, we may require personnel with different skills and experiences, and who have a sound understanding of our business and the bitcoin industry. The market for highly qualified personnel in the industries in which we operate is very competitive, and we may be unable to attract and retain such personnel. If we are unable to attract and retain such personnel, our business could be harmed.</w:t>
      </w:r>
    </w:p>
    <w:p>
      <w:pPr>
        <w:spacing w:after="0" w:line="285" w:lineRule="exact"/>
        <w:rPr>
          <w:sz w:val="20"/>
          <w:szCs w:val="20"/>
          <w:color w:val="auto"/>
        </w:rPr>
      </w:pPr>
    </w:p>
    <w:p>
      <w:pPr>
        <w:ind w:right="860"/>
        <w:spacing w:after="0" w:line="276" w:lineRule="auto"/>
        <w:rPr>
          <w:sz w:val="20"/>
          <w:szCs w:val="20"/>
          <w:color w:val="auto"/>
        </w:rPr>
      </w:pPr>
      <w:r>
        <w:rPr>
          <w:rFonts w:ascii="Arial" w:cs="Arial" w:eastAsia="Arial" w:hAnsi="Arial"/>
          <w:sz w:val="18"/>
          <w:szCs w:val="18"/>
          <w:b w:val="1"/>
          <w:bCs w:val="1"/>
          <w:i w:val="1"/>
          <w:iCs w:val="1"/>
          <w:color w:val="auto"/>
        </w:rPr>
        <w:t>Cyber-attacks and security breaches of our own or our third-party providers may disrupt or adversely impact our results of operations and financial condition, and damage our reputation or otherwise materially harm our business.</w:t>
      </w:r>
    </w:p>
    <w:p>
      <w:pPr>
        <w:spacing w:after="0" w:line="16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rely on information technology systems across our operations to manage our business including, but not limited to, our accounting, finance, and datacenter and power operations. Our information technology is provided primarily through</w:t>
      </w: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934" w:right="399" w:bottom="1440" w:gutter="0" w:footer="0" w:header="0"/>
        </w:sectPr>
      </w:pPr>
    </w:p>
    <w:bookmarkStart w:id="24" w:name="page25"/>
    <w:bookmarkEnd w:id="24"/>
    <w:p>
      <w:pPr>
        <w:ind w:right="220"/>
        <w:spacing w:after="0"/>
        <w:rPr>
          <w:sz w:val="20"/>
          <w:szCs w:val="20"/>
          <w:color w:val="auto"/>
        </w:rPr>
      </w:pPr>
      <w:r>
        <w:rPr>
          <w:rFonts w:ascii="Arial" w:cs="Arial" w:eastAsia="Arial" w:hAnsi="Arial"/>
          <w:sz w:val="18"/>
          <w:szCs w:val="18"/>
          <w:color w:val="auto"/>
        </w:rPr>
        <w:t>third party cloud computing arrangements. Further, our business involves the use, processing, storage and transmission of information about customers, vendors, creditors and employees using such information technology systems. Our ability to effectively operate our business depends on the security, reliability and capacity of these systems.</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Like most corporations, we experience cyberattacks, including phishing or ransomware attacks, from time to time, and we expect to be the target of such cyberattacks in the future. Failure to effectively prevent, detect and recover from security breaches, including attacks on information technology and infrastructure by hackers; viruses; breaches due to employee error or actions; or other disruptions could seriously harm our operations, as well as the operations of our customers and suppliers. Such serious harm can involve, among other things, misuse of our assets, business disruptions, loss of data, unauthorized access to trade secrets and confidential business information, unauthorized access to personal information, legal claims or proceedings, reporting errors, processing inefficiencies, negative media attention, reputational harm, loss of business, remediation and increased insurance costs, and interference with regulatory compliance. In the event of an attack, our costs and any impacted assets may not be partially or fully recoverable.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To date, we have not experienced a material cyber-event. However, we have experienced, and expect to continue to experience, these types of cybersecurity threats and risks.</w:t>
      </w:r>
    </w:p>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We have put in place training and security measures designed to protect against cyberattacks, phishing, security breaches and misappropriation or corruption of our systems, intentional or unintentional disclosure of confidential information, or disruption of our operations. As these threats continue to evolve, particularly around cybersecurity, we may be required to expend significant resources to enhance our control environment, processes, practices and other protective measures. In addition, some insurers are currently reluctant to provide cybersecurity insurance for cryptocurrency. Despite these efforts, we may not be able to prevent cyberattacks and other security breaches and such events could materially adversely affect our business, financial condition and results of operations. Further, as the majority of our information technology are third party cloud-computing arrangements, a disruption occurring at one of those third-parties for the above risks, or other causes outside of our control, could materially adversely affect our business, financial condition and results of operations.</w:t>
      </w:r>
    </w:p>
    <w:p>
      <w:pPr>
        <w:spacing w:after="0" w:line="29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We have been, are currently, and may be in the future, the subject of legal proceedings, including governmental investigations, relating to our products or services.</w:t>
      </w:r>
    </w:p>
    <w:p>
      <w:pPr>
        <w:spacing w:after="0" w:line="7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or certain of our subsidiaries, have been named as a party to several lawsuits, government inquiries or investigations and other legal proceedings, and may be named in additional ones in the future. Litigation may be time-consuming, expensive, and disruptive to normal business operations, and the outcome of litigation is difficult to predict. The ultimate outcome of litigation could have a material adverse effect on our and the trading price for our securities. Furthermore, litigation, regardless of the outcome, may result in significant expenditures, diversion of our management’s time and attention from the operation of the business and damage to our reputation or relationship with third parties, which could materially and adversely affect our results of operations, strategy and financial performance.</w:t>
      </w:r>
    </w:p>
    <w:p>
      <w:pPr>
        <w:spacing w:after="0" w:line="19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cost of defense can be large as can any settlement or judgment in an action. Any of the foregoing could have a material adverse effect on our results of operations, strategy and financial performance.</w:t>
      </w:r>
    </w:p>
    <w:p>
      <w:pPr>
        <w:spacing w:after="0" w:line="27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While we have multiple sources of revenue from our business and operations, our revenues are largely dependent on the single natural gas power generation facility that we operate. Any disruption to our single power plant would have a material adverse effect on our business and operations, as well as our results of operations and financial condition.</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operate a single source natural gas power generation facility in New York that presently comprises and supports the vast majority of our business and operations. While we realize multiple sources of revenue from our business and operations, our revenues are largely dependent on the continuing operation of our natural gas power generation facility in the Town of Torrey, New York. Power plants involve complex operations and equipment, much of which is subject to wear and tear in the normal course of operation. Further, equipment used in the operations of the power plant may also suffer breakdown or malfunction, physical disaster and sabotage. Substantially all of our operations are operated with computer systems that may be subject to data security breaches, computer malfunction and viruses, and generally require continual software updates and maintenance. Repairing, replacing or otherwise fixing or addressing any of these or other issues may require the allocation of significant time, capital or other resources, such as technical capability, and during such period of time, we would be unable to operate our power plant and generate revenue. We may not have the adequate capital or other resources to fix or otherwise address these factors or issues in a timely manner or at all, and we</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34"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may not have access to the necessary parts or equipment that are required to fix or otherwise address such factors or issues.</w:t>
      </w:r>
    </w:p>
    <w:p>
      <w:pPr>
        <w:spacing w:after="0" w:line="2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Some of the parts and equipment necessary to operate the power plant may require long lead-times in order to acquire, either due to availability, production time or cycles, shipping or other factors, thereby making such parts or equipment difficult to acquire in a timely manner or on a cost-effective basis, if available at all. Any disruption to our power generation facility in New York would cause a suspension of revenue generating activity and would have a material adverse effect on our business and operations, as well as our results of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effectively against other companies, some of whom have greater resources and experience.</w:t>
      </w:r>
    </w:p>
    <w:p>
      <w:pPr>
        <w:spacing w:after="0" w:line="1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may not be able to compete effectively against present or future competitors. The bitcoin industry has attracted various high-profile and well-established competitors, some of whom have substantially greater liquidity and financial resources than us. With the limited resources we have available, we may experience great difficulties in expanding and improving our network of computers to remain competitive. In addition, new ways for investors and market participants to invest in bitcoin and cryptocurrencies continue to develop, and we may be adversely affected by competition from other methods of investing in bitcoin. Competition from existing and future competitors, particularly those that have access to competitively priced energy, could result in our inability to secure acquisitions and partnerships and to successfully execute our business plan. If we are unable compete effectively, our business could be negatively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our Datacenter and Power Generation Operations</w:t>
      </w:r>
    </w:p>
    <w:p>
      <w:pPr>
        <w:spacing w:after="0" w:line="30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future success will depend significantly on the price of bitcoin, which is subject to risk and has historically been subject to wide swings and significant volatility.</w:t>
      </w:r>
    </w:p>
    <w:p>
      <w:pPr>
        <w:spacing w:after="0" w:line="8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operating results will depend significantly on the price of bitcoin. Specifically, our revenues from our cryptocurrency datacenter operations are based principally on two factors: (1) our mining payouts from our third-party mining pools; and (2) the price of bitcoin. Accordingly, a decrease in the price of bitcoin will result in a decrease in our revenues. Moreover, the price of bitcoin has historically been subject to wide swings and significant volatility. This means that our operating results may be subject to significant volatility.</w:t>
      </w:r>
    </w:p>
    <w:p>
      <w:pPr>
        <w:spacing w:after="0" w:line="199"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Bitcoin prices have historically been volatile and impacted by a variety of factors, including market perception, the degree to which bitcoin is accepted as a means of payment, the volume of purchases and sales of bitcoin by market participants, real or perceived competition from alternative cryptocurrencies as well as other risks and uncertainties described in this Annual Report on Form 10-K.</w:t>
      </w:r>
    </w:p>
    <w:p>
      <w:pPr>
        <w:spacing w:after="0" w:line="20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While some retail and commercial outlets accept bitcoin as a means of payment, consumers’ payment by bitcoin to such retail and commercial outlets remains limited. Conversely, a significant portion of bitcoin demand is generated by speculators and investors seeking to profit from the short- or long-term holding of bitcoin. Many industry commentators believe that bitcoin’s best use case is as a store of wealth, rather than as a currency for transactions, and that other cryptocurrencies having better scalability and faster settlement times will better serve as currency. This could limit bitcoin’s acceptance as transactional currency. A lack of expansion by bitcoin into retail and commercial markets, or a contraction of such use, may result in increased volatility or a reduction in the price of bitcoin, either of which could adversely affect our results of operations.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The properties utilized by us in our cryptocurrency datacenter and hosting may experience damage, including damage not covered by insurance.</w:t>
      </w:r>
    </w:p>
    <w:p>
      <w:pPr>
        <w:spacing w:after="0" w:line="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Our current cryptocurrency datacenter operations in the Town of Torrey, New York and Spartanburg, South Carolina are, and any future cryptocurrency datacenter operations that we establish or host will be, subject to a variety of risks relating to physical condition and operation, including:</w:t>
      </w:r>
    </w:p>
    <w:p>
      <w:pPr>
        <w:spacing w:after="0" w:line="94" w:lineRule="exact"/>
        <w:rPr>
          <w:sz w:val="20"/>
          <w:szCs w:val="20"/>
          <w:color w:val="auto"/>
        </w:rPr>
      </w:pPr>
    </w:p>
    <w:p>
      <w:pPr>
        <w:ind w:left="620" w:hanging="29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presence of construction or repair defects or other structural or building damage;</w:t>
      </w:r>
    </w:p>
    <w:p>
      <w:pPr>
        <w:spacing w:after="0" w:line="111" w:lineRule="exact"/>
        <w:rPr>
          <w:rFonts w:ascii="Arial" w:cs="Arial" w:eastAsia="Arial" w:hAnsi="Arial"/>
          <w:sz w:val="18"/>
          <w:szCs w:val="18"/>
          <w:color w:val="auto"/>
        </w:rPr>
      </w:pPr>
    </w:p>
    <w:p>
      <w:pPr>
        <w:ind w:left="640" w:right="400" w:hanging="316"/>
        <w:spacing w:after="0" w:line="238" w:lineRule="auto"/>
        <w:tabs>
          <w:tab w:leader="none" w:pos="6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noncompliance with or liabilities under applicable environmental, health or safety regulations or requirements or building permit requirements;</w:t>
      </w:r>
    </w:p>
    <w:p>
      <w:pPr>
        <w:spacing w:after="0" w:line="92" w:lineRule="exact"/>
        <w:rPr>
          <w:rFonts w:ascii="Arial" w:cs="Arial" w:eastAsia="Arial" w:hAnsi="Arial"/>
          <w:sz w:val="18"/>
          <w:szCs w:val="18"/>
          <w:color w:val="auto"/>
        </w:rPr>
      </w:pPr>
    </w:p>
    <w:p>
      <w:pPr>
        <w:ind w:left="620" w:hanging="29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damage resulting from natural disasters, such as hurricanes, earthquakes, fires, floods and windstorms;</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caused by criminal actors, such as cyberattacks, vandalism, sabotage or terrorist attacks; and</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0" w:right="359" w:bottom="1440" w:gutter="0" w:footer="0" w:header="0"/>
        </w:sectPr>
      </w:pPr>
    </w:p>
    <w:bookmarkStart w:id="26" w:name="page27"/>
    <w:bookmarkEnd w:id="26"/>
    <w:p>
      <w:pPr>
        <w:ind w:left="620" w:hanging="296"/>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claims by employees and others for injuries sustained at our properties.</w:t>
      </w:r>
    </w:p>
    <w:p>
      <w:pPr>
        <w:spacing w:after="0" w:line="20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Any of these could render our cryptocurrency datacenter, hosting and/or power generation operations inoperable, temporarily or permanently, and the potential impact on our business is currently magnified because we operate the majority of our cryptocurrency datacenter operations from a single location. The security and other measures we take to protect against these risks may be insufficient or unavailable. Our property insurance covers approximately $197 million per occurrence on plant, including business interruption, and $75 million for bitcoin mining equipment in all cases, subject to certain deductibles. Our insurance may not be adequate to cover the losses we suffer as a result of these risks, which could materially adversely impact our results of operations and financial condition.</w:t>
      </w:r>
    </w:p>
    <w:p>
      <w:pPr>
        <w:spacing w:after="0" w:line="28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i w:val="1"/>
          <w:iCs w:val="1"/>
          <w:color w:val="auto"/>
        </w:rPr>
        <w:t>We are subject to risks related to Internet disruptions, which could have an adverse effect on our ability to host bitcoin miners and to mine bitcoin.</w:t>
      </w:r>
    </w:p>
    <w:p>
      <w:pPr>
        <w:spacing w:after="0" w:line="11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general, bitcoin and our business of hosting bitcoin miners and mining bitcoin is dependent upon the Internet. A significant disruption in Internet connectivity could disrupt a currency’s network operations and have an adverse effect on the price of bitcoin and our ability to meet the minimum uptime requirements in our hosting agreement and mine bitcoin, which could, depending on the duration of the disruption, materially and adversely impact our results of operations.</w:t>
      </w:r>
    </w:p>
    <w:p>
      <w:pPr>
        <w:spacing w:after="0" w:line="283"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b w:val="1"/>
          <w:bCs w:val="1"/>
          <w:i w:val="1"/>
          <w:iCs w:val="1"/>
          <w:color w:val="auto"/>
        </w:rPr>
        <w:t>Bitcoin miners and other necessary hardware are subject to malfunction, technological obsolescence, the global supply chain and difficulty and cost in obtaining new hardware.</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bitcoin miners are subject to malfunctions and normal wear and tear, and, at any point in time, a certain number of our bitcoin miners are typically off-line for maintenance or repair. The physical degradation of our miners will require us to replace miners that are no longer functional. Because we utilize many units of the same bitcoin miner models, if there is a model wide component malfunction whether in the hardware or the software that powers these miners, the percentage of offline miners could increase substantially, disrupting our operations. Any major bitcoin miner malfunction out of the typical range of downtime for normal maintenance and repair could cause significant economic damage to us.</w:t>
      </w:r>
    </w:p>
    <w:p>
      <w:pPr>
        <w:spacing w:after="0" w:line="2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Additionally, as technology evolves, we may need to acquire newer models of miners to remain competitive in the market. New miners can be costly and may be in short supply. Given the long production period to manufacture and assemble bitcoin miners and the current global semiconductor chip shortage, there can be no assurance that we can acquire enough bitcoin mining computers or replacement parts on a cost-effective basis – or at all – for the maintenance and expansion of our cryptocurrency datacenter operations. We rely on third parties to supply us with bitcoin miners and shortages of bitcoin miners or their component parts, material increases in bitcoin miner costs, or delays in delivery of our orders, including due to trade restrictions, and other global events that may create supply chain disruptions, could significantly interrupt our plans for expanding our bitcoin mining capacity in the near term and future.</w:t>
      </w:r>
    </w:p>
    <w:p>
      <w:pPr>
        <w:spacing w:after="0" w:line="19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This upgrading and replacement process requires substantial capital investment and we may face challenges in doing so on a timely and cost-effective basis. Shortages of bitcoin mining computers could result in reduced bitcoin mining capacity and increased operating costs, which could materially delay the completion of our planned cryptocurrency datacenter capacity expansion and put us at a competitive disadvantage.</w:t>
      </w:r>
    </w:p>
    <w:p>
      <w:pPr>
        <w:spacing w:after="0" w:line="60"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i w:val="1"/>
          <w:iCs w:val="1"/>
          <w:color w:val="auto"/>
        </w:rPr>
        <w:t>Our operations and financial performance may be impacted by fuel supply disruptions, price fluctuations in the wholesale power and natural gas markets, and fluctuations in other market factors that are beyond our control.</w:t>
      </w:r>
    </w:p>
    <w:p>
      <w:pPr>
        <w:spacing w:after="0" w:line="76"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Our power generation depends on our purchases of fuel and other products consumed during the production of electricity from a number of suppliers. Our operations and financial performance generally may be impacted by changes in the supply of fuel and other required products, price fluctuations in the wholesale power and natural gas markets, and other market factors beyond our control.</w:t>
      </w:r>
    </w:p>
    <w:p>
      <w:pPr>
        <w:spacing w:after="0" w:line="20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Delivery of these fuels to our facilities is dependent upon fuel transmission or transportation infrastructure, storage and inventory of fuel stocks, as well as the continuing financial viability of contractual counterparties. As a result, we are subject to the risks of disruptions or curtailments in the production of power at our generation facility if fuel is limited or unavailable at any price, if a counterparty fails to perform, or if there is a disruption in the fuel delivery infrastructure. Disruption in the delivery of fuel, including disruptions as a result of weather, transportation difficulties, global demand and supply dynamics, labor relations, environmental regulations or the financial viability of fuel suppliers, could adversely affect our ability to operate our facilities, which could result in lower power sales and/or higher costs to our cryptocurrency datacenter operations and thereby adversely affect our results of operations.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7" w:name="page28"/>
    <w:bookmarkEnd w:id="27"/>
    <w:p>
      <w:pPr>
        <w:ind w:right="20"/>
        <w:spacing w:after="0" w:line="246" w:lineRule="auto"/>
        <w:rPr>
          <w:sz w:val="20"/>
          <w:szCs w:val="20"/>
          <w:color w:val="auto"/>
        </w:rPr>
      </w:pPr>
      <w:r>
        <w:rPr>
          <w:rFonts w:ascii="Arial" w:cs="Arial" w:eastAsia="Arial" w:hAnsi="Arial"/>
          <w:sz w:val="18"/>
          <w:szCs w:val="18"/>
          <w:color w:val="auto"/>
        </w:rPr>
        <w:t>Separate from supply, market prices for power, capacity, ancillary services, natural gas, and oil are volatile, unpredictable and tend to fluctuate substantially. Disruptions in our fuel supplies may require us to find alternative fuel sources at higher costs, to find other sources of power to deliver to counterparties at a higher cost, or to pay damages to counterparties for failure to deliver power as contracted. Unlike most other commodities, electric power can only be stored on a very limited basis and generally must be produced concurrently with its use. As a result, power prices and our costs are subject to significant volatility due to supply and demand imbalances, especially in the day-ahead and spot markets. We buy significant quantities of fuel on a short-term or spot market basis. Prices for the natural gas that we purchase fluctuate, sometimes rising or falling significantly over a relatively short period of time. The price we can obtain for the sale of power may not rise at the same rate, or may not rise at all, to match a rise in fuel or delivery costs. Further, any changes in the costs of natural gas or transportation rates, changes in the relationship between such costs and the market prices of power, or an inability to procure fuel for physical delivery at prices that we consider favorable could all adversely affect our operations, the costs of meeting our obligations, and the profitability of our cryptocurrency datacenter, and thus, our operations and financial performance. Volatility in market prices for fuel and electricity may result from a number of factors outside of our control, including:</w:t>
      </w:r>
    </w:p>
    <w:p>
      <w:pPr>
        <w:spacing w:after="0" w:line="104" w:lineRule="exact"/>
        <w:rPr>
          <w:sz w:val="20"/>
          <w:szCs w:val="20"/>
          <w:color w:val="auto"/>
        </w:rPr>
      </w:pPr>
    </w:p>
    <w:p>
      <w:pPr>
        <w:ind w:left="640" w:right="300" w:hanging="316"/>
        <w:spacing w:after="0" w:line="248" w:lineRule="auto"/>
        <w:tabs>
          <w:tab w:leader="none" w:pos="6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generation capacity in our markets, including the addition of new supplies of power as a result of the development of new plants, expansion of existing plants, the continued operation of uneconomic power plants due to state subsidies, or additional transmission capacity;</w:t>
      </w:r>
    </w:p>
    <w:p>
      <w:pPr>
        <w:spacing w:after="0" w:line="100" w:lineRule="exact"/>
        <w:rPr>
          <w:rFonts w:ascii="Arial" w:cs="Arial" w:eastAsia="Arial" w:hAnsi="Arial"/>
          <w:sz w:val="18"/>
          <w:szCs w:val="18"/>
          <w:color w:val="auto"/>
        </w:rPr>
      </w:pPr>
    </w:p>
    <w:p>
      <w:pPr>
        <w:ind w:left="620" w:hanging="29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to, changes in or other constraints or inefficiencies of electricity, fuel or natural gas transmission or transportation;</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electric supply disruptions, including plant outages and transmission disruptions;</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liquidity;</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including extreme weather conditions and seasonal fluctuations, including the effects of climate change;</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commodity prices and the supply of commodities, including but not limited to natural gas and oil;</w:t>
      </w:r>
    </w:p>
    <w:p>
      <w:pPr>
        <w:spacing w:after="0" w:line="111" w:lineRule="exact"/>
        <w:rPr>
          <w:rFonts w:ascii="Arial" w:cs="Arial" w:eastAsia="Arial" w:hAnsi="Arial"/>
          <w:sz w:val="18"/>
          <w:szCs w:val="18"/>
          <w:color w:val="auto"/>
        </w:rPr>
      </w:pPr>
    </w:p>
    <w:p>
      <w:pPr>
        <w:ind w:left="640" w:right="40" w:hanging="316"/>
        <w:spacing w:after="0" w:line="251" w:lineRule="auto"/>
        <w:tabs>
          <w:tab w:leader="none" w:pos="6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demand for power or in patterns of power usage, including the potential development of demand-side management tools and practices, distributed generation, and more efficient end-use technologies;</w:t>
      </w:r>
    </w:p>
    <w:p>
      <w:pPr>
        <w:spacing w:after="0" w:line="97" w:lineRule="exact"/>
        <w:rPr>
          <w:rFonts w:ascii="Arial" w:cs="Arial" w:eastAsia="Arial" w:hAnsi="Arial"/>
          <w:sz w:val="18"/>
          <w:szCs w:val="18"/>
          <w:color w:val="auto"/>
        </w:rPr>
      </w:pPr>
    </w:p>
    <w:p>
      <w:pPr>
        <w:ind w:left="620" w:hanging="29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of new fuels, new technologies and new forms of competition for the production of power;</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fuel price volatility;</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capacity prices and capacity markets.</w:t>
      </w:r>
    </w:p>
    <w:p>
      <w:pPr>
        <w:spacing w:after="0" w:line="111" w:lineRule="exact"/>
        <w:rPr>
          <w:rFonts w:ascii="Arial" w:cs="Arial" w:eastAsia="Arial" w:hAnsi="Arial"/>
          <w:sz w:val="18"/>
          <w:szCs w:val="18"/>
          <w:color w:val="auto"/>
        </w:rPr>
      </w:pPr>
    </w:p>
    <w:p>
      <w:pPr>
        <w:ind w:left="640" w:right="520" w:hanging="316"/>
        <w:spacing w:after="0" w:line="251" w:lineRule="auto"/>
        <w:tabs>
          <w:tab w:leader="none" w:pos="6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and foreign governmental environmental, energy and other regulation and legislation, including changes therein and judicial decisions interpreting such regulations and legislation;</w:t>
      </w:r>
    </w:p>
    <w:p>
      <w:pPr>
        <w:spacing w:after="0" w:line="97" w:lineRule="exact"/>
        <w:rPr>
          <w:rFonts w:ascii="Arial" w:cs="Arial" w:eastAsia="Arial" w:hAnsi="Arial"/>
          <w:sz w:val="18"/>
          <w:szCs w:val="18"/>
          <w:color w:val="auto"/>
        </w:rPr>
      </w:pPr>
    </w:p>
    <w:p>
      <w:pPr>
        <w:ind w:left="620" w:hanging="29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creditworthiness and liquidity of fuel suppliers and/or transporters and their willingness to do business with us; and</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2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Such factors and the associated fluctuations in power and natural gas prices have affected our wholesale power generation profitability and cost of power for cryptocurrency datacenter activities in the past and will continue to do so in the future.</w:t>
      </w:r>
    </w:p>
    <w:p>
      <w:pPr>
        <w:spacing w:after="0" w:line="115" w:lineRule="exact"/>
        <w:rPr>
          <w:sz w:val="20"/>
          <w:szCs w:val="20"/>
          <w:color w:val="auto"/>
        </w:rPr>
      </w:pPr>
    </w:p>
    <w:p>
      <w:pPr>
        <w:ind w:right="80"/>
        <w:spacing w:after="0" w:line="347" w:lineRule="auto"/>
        <w:rPr>
          <w:sz w:val="20"/>
          <w:szCs w:val="20"/>
          <w:color w:val="auto"/>
        </w:rPr>
      </w:pPr>
      <w:r>
        <w:rPr>
          <w:rFonts w:ascii="Arial" w:cs="Arial" w:eastAsia="Arial" w:hAnsi="Arial"/>
          <w:sz w:val="17"/>
          <w:szCs w:val="17"/>
          <w:b w:val="1"/>
          <w:bCs w:val="1"/>
          <w:i w:val="1"/>
          <w:iCs w:val="1"/>
          <w:color w:val="auto"/>
        </w:rPr>
        <w:t xml:space="preserve">Changes in technology may negatively impact the value of our Town of Torrey, New York power plant and any future power plants. </w:t>
      </w:r>
      <w:r>
        <w:rPr>
          <w:rFonts w:ascii="Arial" w:cs="Arial" w:eastAsia="Arial" w:hAnsi="Arial"/>
          <w:sz w:val="17"/>
          <w:szCs w:val="17"/>
          <w:color w:val="auto"/>
        </w:rPr>
        <w:t>Research and development activities are ongoing in the industry to provide alternative and more efficient technologies to produce power. There</w:t>
      </w:r>
    </w:p>
    <w:p>
      <w:pPr>
        <w:ind w:right="80"/>
        <w:spacing w:after="0" w:line="231" w:lineRule="auto"/>
        <w:rPr>
          <w:sz w:val="20"/>
          <w:szCs w:val="20"/>
          <w:color w:val="auto"/>
        </w:rPr>
      </w:pPr>
      <w:r>
        <w:rPr>
          <w:rFonts w:ascii="Arial" w:cs="Arial" w:eastAsia="Arial" w:hAnsi="Arial"/>
          <w:sz w:val="17"/>
          <w:szCs w:val="17"/>
          <w:color w:val="auto"/>
        </w:rPr>
        <w:t>are alternate technologies to supply electricity, most notably fuel cells, micro turbines, batteries, windmills and photovoltaic (solar) cells, the development of which are currently being subsidized and expanded by the State of New York, where we currently operate (as well as by state or local governments in areas where we may operate in the future), to address global climate change concerns. It is possible that technological advances will reduce the cost of alternative generation to a level that is equal to or below that of certain central station production. Also, as new</w:t>
      </w:r>
    </w:p>
    <w:p>
      <w:pPr>
        <w:spacing w:after="0" w:line="3"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technologies are developed and become available, the quantity and pattern of electricity usage by customers could decline, with a corresponding decline in revenues derived by generators. These alternative energy sources could result in a decline to the dispatch and capacity factors of our power plant located in the town of Torrey, New York. As a result of these factors, we may experience material declines in our power generation revenue.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8" w:name="page29"/>
    <w:bookmarkEnd w:id="28"/>
    <w:p>
      <w:pPr>
        <w:spacing w:after="0" w:line="276" w:lineRule="auto"/>
        <w:rPr>
          <w:sz w:val="20"/>
          <w:szCs w:val="20"/>
          <w:color w:val="auto"/>
        </w:rPr>
      </w:pPr>
      <w:r>
        <w:rPr>
          <w:rFonts w:ascii="Arial" w:cs="Arial" w:eastAsia="Arial" w:hAnsi="Arial"/>
          <w:sz w:val="18"/>
          <w:szCs w:val="18"/>
          <w:b w:val="1"/>
          <w:bCs w:val="1"/>
          <w:i w:val="1"/>
          <w:iCs w:val="1"/>
          <w:color w:val="auto"/>
        </w:rPr>
        <w:t>We sell capacity, energy and ancillary services to the wholesale power grid managed by the NYISO. Our business may be affected by the actions of nearby states or other governmental actors in the competitive wholesale marketplace.</w:t>
      </w:r>
    </w:p>
    <w:p>
      <w:pPr>
        <w:spacing w:after="0" w:line="76"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sell capacity, energy and ancillary services to the wholesale power grid managed by the NYISO. The competitive wholesale marketplace may be impacted by out-of-market subsidies provided by states or state entities, including bailouts of uneconomic nuclear plants, imports of power from Canada, renewable mandates or subsidies, mandates to sell power below our cost of acquisition and associated costs, as well as out-of-market payments to new or existing generators. These out-of-market subsidies to existing or new generation undermine the competitive wholesale marketplace, which can lead to decreased energy market revenues or premature retirement of existing facilities, including those owned by us. If these measures continue, capacity and energy prices may be suppressed, and we may not be successful in our efforts to insulate the competitive market from this interference. Our wholesale power revenue may be materially impacted by rules or regulations that allow regulated utilities to participate in competitive wholesale markets or to own and operate rate-regulated facilities that provide capacity, energy and ancillary services that could be provided by competitive market participants.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availability and cost of emission allowances could adversely impact our costs of operations.</w:t>
      </w:r>
    </w:p>
    <w:p>
      <w:pPr>
        <w:spacing w:after="0" w:line="18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required to maintain, through either allocations by regulators or purchases on the open market, sufficient emission allowances to account for emissions of SO2, CO2 and NOx attributable to our power generation facilities. These allowances are used to meet the obligations imposed on us by various applicable environmental laws.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As we use the emission allowances that we have purchased on the open market, costs associated with such purchases will be recognized as operating expense. A material increase in the price of allowances we need to purchase would adversely impact our financial condition, cash flows or results of operations.</w:t>
      </w:r>
    </w:p>
    <w:p>
      <w:pPr>
        <w:spacing w:after="0" w:line="29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Our financial performance could be materially and adversely affected if energy market participants continue to construct additional generation facilities (i.e., new-build) or expand or enhance existing generation facilities despite relatively low power prices and such additional generation capacity results in a reduction in wholesale power prices or more competition from cryptocurrency datacenter competitors with access to cheaper supplies of electricity.</w:t>
      </w:r>
    </w:p>
    <w:p>
      <w:pPr>
        <w:spacing w:after="0" w:line="9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Given the overall attractiveness of the markets in which we operate, and certain tax benefits associated with renewable energy, among other matters, energy market participants have continued to construct new generation facilities (</w:t>
      </w:r>
      <w:r>
        <w:rPr>
          <w:rFonts w:ascii="Arial" w:cs="Arial" w:eastAsia="Arial" w:hAnsi="Arial"/>
          <w:sz w:val="18"/>
          <w:szCs w:val="18"/>
          <w:i w:val="1"/>
          <w:iCs w:val="1"/>
          <w:color w:val="auto"/>
        </w:rPr>
        <w:t>i.e.</w:t>
      </w:r>
      <w:r>
        <w:rPr>
          <w:rFonts w:ascii="Arial" w:cs="Arial" w:eastAsia="Arial" w:hAnsi="Arial"/>
          <w:sz w:val="18"/>
          <w:szCs w:val="18"/>
          <w:color w:val="auto"/>
        </w:rPr>
        <w:t>, new-build) or invest in enhancements or expansions of existing generation facilities despite relatively low wholesale power prices. If this market dynamic continues, and/or if our cryptocurrency datacenter competitors begin to build or acquire their own power plants to fuel their cryptocurrency datacenter operations, our results of operations and financial condition could be materially and adversely affected if such additional generation capacity results in a cheaper supply of electricity to our cryptocurrency datacenter competitors or lower prices at which we sell capacity, energy or ancillary services to the wholesale power grid.</w:t>
      </w:r>
    </w:p>
    <w:p>
      <w:pPr>
        <w:spacing w:after="0" w:line="29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w:t>
      </w: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facilities require periodic maintenance and repair. Any unexpected failure, including failure associated with breakdowns or forced outages, and any related unanticipated capital expenditures could result in reduced profitability from both loss of cryptocurrency datacenter operations and power generation. Such unexpected outages have occurred in the past, and may occur in the future, due to factors both within and outside of our control. We can give no assurances that outages involving our power plant will not occur in the future, or that any such outage would not have a negative effect on our business and results of operations. In addition, we cannot be certain of the level of capital expenditures that will be required due to changing environmental laws (including changes in the interpretation or enforcement thereof), needed facility repairs and unexpected events (such as natural disasters or terrorist attacks). Unexpected capital expenditures could have a material adverse effect on our liquidity and financial condition. If we significantly modify power generation equipment, we may be required to install the best available control technology or to achieve the lowest achievable emission rates as such terms are defined under the new source review provisions of the Clean Air Act of 1963, which would likely result in substantial additional capital expenditures.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30" w:right="419" w:bottom="1440" w:gutter="0" w:footer="0" w:header="0"/>
        </w:sectPr>
      </w:pPr>
    </w:p>
    <w:bookmarkStart w:id="29" w:name="page30"/>
    <w:bookmarkEnd w:id="29"/>
    <w:p>
      <w:pPr>
        <w:jc w:val="both"/>
        <w:ind w:right="60"/>
        <w:spacing w:after="0" w:line="269" w:lineRule="auto"/>
        <w:rPr>
          <w:sz w:val="20"/>
          <w:szCs w:val="20"/>
          <w:color w:val="auto"/>
        </w:rPr>
      </w:pPr>
      <w:r>
        <w:rPr>
          <w:rFonts w:ascii="Arial" w:cs="Arial" w:eastAsia="Arial" w:hAnsi="Arial"/>
          <w:sz w:val="18"/>
          <w:szCs w:val="18"/>
          <w:b w:val="1"/>
          <w:bCs w:val="1"/>
          <w:i w:val="1"/>
          <w:iCs w:val="1"/>
          <w:color w:val="auto"/>
        </w:rPr>
        <w:t>Operation of power generation facilities involves significant risks and hazards that could disrupt or have a material adverse effect on our revenues and results of operations, and we may not have adequate insurance to cover these risks and hazards. Our employees, contractors, customers and the general public may be exposed to a risk of injury due to the nature of our operations.</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conduct of our operations, including operation of our power plant, information technology systems and other assets is subject to a variety of inherent risks. These risks include the breakdown or failure of equipment, accidents, potential physical injury, hazardous spills and exposures, fires, property damage, security breaches, viruses or outages affecting information technology systems, labor disputes, obsolescence, delivery/ transportation problems and disruptions of fuel supply, performance below expected levels or other financial liability, and may be caused to or by employees, customers, contractors, vendors, contractual or financial counterparties, other third parties, weather events or acts of God.</w:t>
      </w:r>
    </w:p>
    <w:p>
      <w:pPr>
        <w:spacing w:after="0" w:line="13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Operational disruptions or similar events may impact our ability to conduct our businesses efficiently and lead to increased costs, expenses or losses. Planned and unplanned outages at our power plants may require us to curtail operation of the plant. Any reduced power supply could also have a negative impact on the cost structure of our cryptocurrency datacenter operations.</w:t>
      </w:r>
    </w:p>
    <w:p>
      <w:pPr>
        <w:spacing w:after="0" w:line="133" w:lineRule="exact"/>
        <w:rPr>
          <w:sz w:val="20"/>
          <w:szCs w:val="20"/>
          <w:color w:val="auto"/>
        </w:rPr>
      </w:pPr>
    </w:p>
    <w:p>
      <w:pPr>
        <w:ind w:right="460"/>
        <w:spacing w:after="0" w:line="277" w:lineRule="auto"/>
        <w:rPr>
          <w:sz w:val="20"/>
          <w:szCs w:val="20"/>
          <w:color w:val="auto"/>
        </w:rPr>
      </w:pPr>
      <w:r>
        <w:rPr>
          <w:rFonts w:ascii="Arial" w:cs="Arial" w:eastAsia="Arial" w:hAnsi="Arial"/>
          <w:sz w:val="17"/>
          <w:szCs w:val="17"/>
          <w:color w:val="auto"/>
        </w:rPr>
        <w:t>These and other hazards can cause significant personal injury or loss of life, severe damage to and destruction of property, plant and equipment, contamination of, or damage to, the environment and suspension of operations. Further, the employees and contractors of our operating affiliates work in, and customers and the general public may be exposed to, potentially dangerous environments at or near our operations. As a result, employees, contractors, customers and the general public are at risk for serious injury, including loss of life.</w:t>
      </w:r>
    </w:p>
    <w:p>
      <w:pPr>
        <w:spacing w:after="0" w:line="11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occurrence of one or more of these events may result in us or our affiliates being named as a defendant in lawsuits asserting claims for substantial damages, including for environmental cleanup costs, personal injury and property damage and fines and/or penalties. We maintain an amount of insurance protection that we consider adequate, but we cannot provide any assurance that our insurance will be sufficient or effective under all circumstances and against all hazards or liabilities to which we may be subject and, even if we do have insurance coverage for a particular circumstance, we may be subject to a large deductible and maximum cap. A successful claim for which we are not fully insured could hurt our financial results and materially harm our financial condition. Further, due to rising insurance costs and changes in the insurance markets, we cannot provide any assurance that our insurance coverage will continue to be available at all or at rates or on terms similar to those presently available. Any losses not covered by insurance could have a material adverse effect on our financial condition, results of operations or cash flows.</w:t>
      </w:r>
    </w:p>
    <w:p>
      <w:pPr>
        <w:spacing w:after="0" w:line="109"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auto"/>
        </w:rPr>
        <w:t>Our business is subject to substantial energy regulation and may be adversely affected by legislative or regulatory changes relating to climate change or policies regarding cryptocurrency mining, as well as liability under, or any future inability to comply with, existing or future energy regulations or requirements.</w:t>
      </w:r>
    </w:p>
    <w:p>
      <w:pPr>
        <w:spacing w:after="0" w:line="13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Our business is subject to extensive U.S. federal, state and local laws. Compliance with, or changes to, the requirements under these legal and regulatory regimes may cause us to incur significant additional costs or adversely impact our ability to continue operations as usual or compete on favorable terms with competitors. Failure to comply with such requirements could result in the shutdown of a non-complying facility, the imposition of liens, fines, and/or civil or criminal liability and or costly litigations before the agencies and/or in state of federal court. Changes to these laws and regulations could result in temporary or permanent restrictions on certain operations at our facilities, including power generation or use in connection with datacenter operations, and compliance with, or opposing such regulation, may be costly.</w:t>
      </w:r>
    </w:p>
    <w:p>
      <w:pPr>
        <w:spacing w:after="0" w:line="12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regulatory environment has undergone significant changes in the last several years due to state and federal policies affecting wholesale competition and the creation of incentives for the addition of large amounts of new renewable generation and, in some cases, transmission. These changes are ongoing, and we cannot predict the future design of the wholesale power markets or the ultimate effect that the changing regulatory environment will have on our business. In addition, in some of these markets, interested parties have proposed material market design changes, including the elimination of a single clearing price mechanism, as well as proposals to reinstate the vertically-integrated monopoly model of utility ownership or to require divestiture by generating companies to reduce their market share. If competitive restructuring of the electric power markets is reversed, discontinued, delayed or materially altered, our business prospects and financial results could be negatively impacted. In addition, since 2010, there have been a number of reforms to the regulation of the derivatives markets, both in the United States and internationally. These regulations, and any further changes thereto, or adoption of additional regulations, including any regulations relating to position limits on futures and other derivatives or margin for derivatives, could negatively impact our ability to hedge our portfolio in an</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12" w:right="359" w:bottom="1440" w:gutter="0" w:footer="0" w:header="0"/>
        </w:sectPr>
      </w:pPr>
    </w:p>
    <w:bookmarkStart w:id="30" w:name="page31"/>
    <w:bookmarkEnd w:id="30"/>
    <w:p>
      <w:pPr>
        <w:ind w:right="420"/>
        <w:spacing w:after="0" w:line="238" w:lineRule="auto"/>
        <w:rPr>
          <w:sz w:val="20"/>
          <w:szCs w:val="20"/>
          <w:color w:val="auto"/>
        </w:rPr>
      </w:pPr>
      <w:r>
        <w:rPr>
          <w:rFonts w:ascii="Arial" w:cs="Arial" w:eastAsia="Arial" w:hAnsi="Arial"/>
          <w:sz w:val="18"/>
          <w:szCs w:val="18"/>
          <w:color w:val="auto"/>
        </w:rPr>
        <w:t>efficient, cost-effective manner by, among other things, potentially decreasing liquidity in the forward commodity and derivatives markets or limiting our ability to utilize non-cash collateral for derivatives transactions.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complying with required government permits and approvals may be time-consuming and costly.</w:t>
      </w:r>
    </w:p>
    <w:p>
      <w:pPr>
        <w:spacing w:after="0" w:line="18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and our affiliates are required to obtain, and to comply with, numerous permits and licenses from federal, state and local governmental agencies. The process of obtaining and renewing necessary permits and licenses can be lengthy and complex, requiring up to months or years for approval depending on the nature of the permit or license and such process could be further complicated or extended in the event regulations change. In addition, obtaining such permit or license can sometimes result in the establishment of conditions that create a significant ongoing impact to the nature or costs of operations or even make the project or activity for which the permit or license was sought unprofitable or otherwise unattractive. In addition, such permits or licenses may be subject to denial, revocation or modification under various circumstances. Failure to obtain or comply with the conditions of permits or licenses, or failure to comply with applicable laws or regulations, may result in the delay or temporary suspension of our operations and electricity sales or the curtailment of our delivery of electricity to our customers and may subject us to penalties and other sanctions. Although various regulators routinely renew existing permits and licenses, renewal of our existing permits or licenses could be denied or jeopardized by various factors, including failure to provide adequate financial assurance for closure, failure to comply with environmental, health and safety laws and regulations or permit conditions, local community, political or other opposition and executive, legislative or regulatory action. For example, in June 2022 the NYSDEC denied the renewal of our air permit known as a Title V permit, one of our most significant environmental permits, on the basis of a New York environmental law. While we have appealed this denial and are able during the pendency of the appeal to continue to operate under our existing Title V permit, the outcome of the appeal is uncertain.</w:t>
      </w:r>
    </w:p>
    <w:p>
      <w:pPr>
        <w:spacing w:after="0" w:line="14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inability to procure and comply with the permits and licenses required for these operations, or the cost to us of such procurement or compliance, could have a material adverse effect on us. In addition, new environmental legislation or regulations, if enacted, or changed interpretations of existing laws, may cause activities at our facilities to need to be changed to avoid violating applicable laws and regulations or eliciting claims that historical activities at our facilities violated applicable laws and regulations. In addition to the possible imposition of fines in the case of any such violations, we may be required to undertake significant capital investments and obtain additional operating permits or licenses, which could have a material adverse effect on us.</w:t>
      </w:r>
    </w:p>
    <w:p>
      <w:pPr>
        <w:spacing w:after="0" w:line="3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have material environmental liabilities and cost of compliance with existing and new environmental laws could have a material adverse effect on us.</w:t>
      </w:r>
    </w:p>
    <w:p>
      <w:pPr>
        <w:spacing w:after="0" w:line="128"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We and our affiliates are subject to extensive environmental regulation by governmental authorities, including the United States Environmental Protection Agency (the "EPA"), and state environmental agencies and/or attorneys general. We may incur significant additional costs beyond those currently contemplated to comply with these regulatory requirements. If we fail to comply with these regulatory requirements, we could be forced to reduce or discontinue operations or become subject to administrative, civil or criminal liabilities and fines.</w:t>
      </w:r>
    </w:p>
    <w:p>
      <w:pPr>
        <w:spacing w:after="0" w:line="13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our results of operations and financial condition.</w:t>
      </w:r>
    </w:p>
    <w:p>
      <w:pPr>
        <w:spacing w:after="0" w:line="22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EPA has recently finalized or proposed several regulatory actions establishing new requirements for control of certain emissions from certain sources, including electricity generation facilities. In the future, the EPA may also propose and finalize additional regulatory actions that may adversely affect our existing generation facilities or our ability to cost-effectively develop new generation facilities. There is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our results of operations and financial condition.</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may not be able to obtain or maintain all required environmental regulatory approvals. If there is a delay in obtaining any required environmental regulatory approvals, if we fail to obtain, maintain or comply with any such approval or if an approval is retroactively disallowed or adversely modified, the operation of our generation facilities could be stopped,</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31" w:name="page32"/>
    <w:bookmarkEnd w:id="31"/>
    <w:p>
      <w:pPr>
        <w:ind w:right="340"/>
        <w:spacing w:after="0" w:line="266" w:lineRule="auto"/>
        <w:rPr>
          <w:sz w:val="20"/>
          <w:szCs w:val="20"/>
          <w:color w:val="auto"/>
        </w:rPr>
      </w:pPr>
      <w:r>
        <w:rPr>
          <w:rFonts w:ascii="Arial" w:cs="Arial" w:eastAsia="Arial" w:hAnsi="Arial"/>
          <w:sz w:val="18"/>
          <w:szCs w:val="18"/>
          <w:color w:val="auto"/>
        </w:rPr>
        <w:t>disrupted, curtailed or modified or become subject to additional costs. Any such stoppage, disruption, curtailment, modification or additional costs could have a material adverse effect on our results of operations and financial condition.</w:t>
      </w:r>
    </w:p>
    <w:p>
      <w:pPr>
        <w:spacing w:after="0" w:line="12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 Such event could have an adverse effect on our results of operations and financial condition.</w:t>
      </w:r>
    </w:p>
    <w:p>
      <w:pPr>
        <w:spacing w:after="0" w:line="111" w:lineRule="exact"/>
        <w:rPr>
          <w:sz w:val="20"/>
          <w:szCs w:val="20"/>
          <w:color w:val="auto"/>
        </w:rPr>
      </w:pPr>
    </w:p>
    <w:p>
      <w:pPr>
        <w:ind w:right="620"/>
        <w:spacing w:after="0" w:line="269" w:lineRule="auto"/>
        <w:rPr>
          <w:sz w:val="20"/>
          <w:szCs w:val="20"/>
          <w:color w:val="auto"/>
        </w:rPr>
      </w:pPr>
      <w:r>
        <w:rPr>
          <w:rFonts w:ascii="Arial" w:cs="Arial" w:eastAsia="Arial" w:hAnsi="Arial"/>
          <w:sz w:val="18"/>
          <w:szCs w:val="18"/>
          <w:b w:val="1"/>
          <w:bCs w:val="1"/>
          <w:i w:val="1"/>
          <w:iCs w:val="1"/>
          <w:color w:val="auto"/>
        </w:rPr>
        <w:t>Increasing scrutiny and changing expectations from investors, lenders, customers, government regulators and other market participants with respect to our Environmental, Social and Governance ("ESG") policies may impose additional costs on us or expose us to additional risks.</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Companies across all industries and around the globe are facing increasing scrutiny relating to their ESG policies. Investors, lenders and other market participants are increasingly focused on ESG practices and in recent years have placed increasing importance on the implications and social cost of their investments. In March 2020, the SEC proposed a sweeping new rule to enhance climate-related disclosure in public company filings and in March 2021 the SEC announced the creation of a Climate and ESG Task Force in the Division of Enforcement. The increased focus and activism related to ESG may hinder our access to capital, as investors and lenders may reconsider their capital investment allocation as a result of their assessment of our ESG practices. If we do not adapt to or comply with investor, lender or other industry shareholder expectations and standards and potential government regulations, which are evolving but may relate to the suitable deployment of electric power, or which are perceived to have not responded appropriately to the growing concern for ESG issues, our reputation may suffer, which would have a material adverse effect on our business, financial condition and results of operations.</w:t>
      </w:r>
    </w:p>
    <w:p>
      <w:pPr>
        <w:spacing w:after="0" w:line="111"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i w:val="1"/>
          <w:iCs w:val="1"/>
          <w:color w:val="auto"/>
        </w:rPr>
        <w:t>We could be materially and adversely affected if current regulations are implemented or if new federal or state legislation or regulations are adopted to address global climate change, or if we are subject to lawsuits for alleged damage to persons or property resulting from greenhouse gas emissions.</w:t>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There is attention and interest nationally and internationally about global climate change and how greenhouse gas emissions, such as CO2, contribute to global climate change. Over the last several years, the U.S. Congress and state and federal authorities have considered and debated several proposals intended to address climate change using different approaches, including a cap on carbon emissions with emitters allowed to trade unused emission allowances (cap-and-trade), a tax on carbon or greenhouse gas emissions, limits on the use of generated power in connection with cryptocurrency mining, incentives for the development of low-carbon technology and federal renewable portfolio standards. A number of federal court cases have been filed in recent years asserting damage claims related to greenhouse gas emissions, and the results in those proceedings could establish adverse precedent that might apply to companies (including us) that produce greenhouse gas emissions. Our results of operations and financial condition could be materially and adversely affected if new federal and/or state legislation or regulations are adopted to address global climate change or if we are subject to lawsuits for alleged damage to persons or property resulting from greenhouse gas emissions attributable to our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Bitcoin and Cryptocurrency Industry</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As the aggregate amount of computing power, or hash rate, in the bitcoin network increases, the amount of bitcoin earned per unit of hash rate decreases; as a result, in order to maintain our market share, we may have to incur significant capital expenditures in order to expand our fleet of miners.</w:t>
      </w:r>
    </w:p>
    <w:p>
      <w:pPr>
        <w:spacing w:after="0" w:line="8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aggregate computing power of the global bitcoin network has generally grown over time and we expect it to continue to grow in the future. To the extent the global hash rate continues to increase, the market share of and the amount of bitcoin rewards paid to any fixed fleet of miners will decrease. Therefore, in order to maintain our market share, we may be required to expand our mining fleet, which may require significant capital expenditures. Such significant capital expenditures could have an adverse effect on our business operations, strategy and financial performance.</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934" w:right="379" w:bottom="1440" w:gutter="0" w:footer="0" w:header="0"/>
        </w:sectPr>
      </w:pPr>
    </w:p>
    <w:bookmarkStart w:id="32" w:name="page33"/>
    <w:bookmarkEnd w:id="32"/>
    <w:p>
      <w:pPr>
        <w:ind w:right="120"/>
        <w:spacing w:after="0" w:line="276" w:lineRule="auto"/>
        <w:rPr>
          <w:sz w:val="20"/>
          <w:szCs w:val="20"/>
          <w:color w:val="auto"/>
        </w:rPr>
      </w:pPr>
      <w:r>
        <w:rPr>
          <w:rFonts w:ascii="Arial" w:cs="Arial" w:eastAsia="Arial" w:hAnsi="Arial"/>
          <w:sz w:val="18"/>
          <w:szCs w:val="18"/>
          <w:b w:val="1"/>
          <w:bCs w:val="1"/>
          <w:i w:val="1"/>
          <w:iCs w:val="1"/>
          <w:color w:val="auto"/>
        </w:rPr>
        <w:t>If a malicious actor or botnet obtains control of more than 50% of the processing power on the bitcoin network, such actor or botnet could manipulate the network to adversely affect us, which could adversely affect our results of operations.</w:t>
      </w:r>
    </w:p>
    <w:p>
      <w:pPr>
        <w:spacing w:after="0" w:line="7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a malicious actor or botnet, a collection of computers controlled by networked software coordinating the actions of the computers, obtains over 50% of the processing power dedicated to mining bitcoin, such actor may be able to construct fraudulent blocks or prevent certain transactions from completing in a timely manner, or at all. The malicious actor or botnet could control, exclude or modify the order of transactions, though it could not generate new units or transactions using such control. The malicious actor could also "double-spend," or spend the same bitcoin in more than one transaction, or it could prevent transactions from being validated. In certain instances, reversing any fraudulent or malicious changes made to the bitcoin blockchain may not be possible.</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Although there are no known reports of malicious activity or control of blockchains achieved through controlling over 50% of the processing power on the bitcoin network, it is believed that certain mining pools may have exceeded, and could exceed, the 50% threshold on the bitcoin network. This possibility creates a greater risk that a single mining pool could exert authority over the validation of bitcoin transactions. To the extent that the bitcoin ecosystem, and the administrators of mining pools, do not have adequate controls and responses in place, the risk of a malicious actor obtaining control of the processing power may increase. If such an event were to occur, it could have a material adverse effect on our business, prospects or operations and potentially the value of any bitcoin we mine or otherwise acquire or hold for our own account.</w:t>
      </w:r>
    </w:p>
    <w:p>
      <w:pPr>
        <w:spacing w:after="0" w:line="27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If bitcoin or other cryptocurrencies are determined to be investment securities, and we hold a significant portion of our assets in such cryptocurrency, investment securities or non-controlling equity interests of other entities, we may inadvertently violate the Investment Company Act or other securities laws. We could incur large losses to modify our operations to avoid the need to register as an investment company or could incur significant expenses to register as an investment company or could terminate operations altogether.</w:t>
      </w:r>
    </w:p>
    <w:p>
      <w:pPr>
        <w:spacing w:after="0" w:line="97"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Under the Investment Company Act of 1940, as amended (the "Investment Company Act"), a company may be deemed an investment company if the value of our investment securities is more than 40% of our total assets (exclusive of government securities and cash items) on an unconsolidated basis. At the present time, the SEC does not deem the bitcoin that we own, acquire or mine as an investment security, and we do not believe any of the bitcoin we own, acquire or mine to be securities. Additionally, we do not currently hold a significant portion of our assets in bitcoin. However, SEC rules and applicable law are subject to change, especially in the evolving world of cryptocurrency, and further, the Investment Company Act analysis may not be uniform across all forms of cryptocurrency that we might mine or hold.</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the SEC or other regulatory body were to determine that bitcoin, or any other cryptocurrency that we may mine or hold in the future, constitutes an investment security subject to the Investment Company Act, and if we were to hold a significant portion of our total assets in such bitcoin or other cryptocurrency as a result of our cryptocurrency datacenter activities and/or in investments in which we do not have a controlling interest, the investment securities we hold could exceed 40% of our total assets, exclusive of cash items. Such a situation could be hastened if we choose to hold more of our mined bitcoin or other cryptocurrency rather than converting our mined bitcoin or cryptocurrency in significant part to U.S. dollars.</w:t>
      </w:r>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such an event, we could determine that we have become an investment company. Limited exclusions are available under the Investment Company Act, including an exclusion granting an inadvertent investment company a one-year grace period from registration as an investment company. In that year, we would be required to take actions to cause the investment securities held by us to be less than 40% of our total assets, which could include acquiring assets with our cash and bitcoin or other cryptocurrency on hand, liquidating our investment securities or bitcoin or seeking a no-action letter from the SEC if we are unable to acquire sufficient assets or liquidate sufficient investment securities in a timely manner. Such actions could require significant cost, disruption to our operations or growth plans and diversion of management time and attention.</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If we were unable to qualify for an exemption from registration as an investment company, or fail to take adequate steps within the one-year grace period for inadvertent investment companies, we would need to register with the SEC as an investment company under the Investment Company Act or cease almost all business, and our contracts would become voidable. Investment company registration is time consuming and would require a restructuring of our business. Moreover, the operation of an investment company is very costly and restrictive, as investment companies are subject to substantial regulation concerning management, operations, transactions with affiliated persons and portfolio composition, and Investment Company Act filing requirements. The cost of such compliance would result in us incurring</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3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substantial additional expenses, and the failure to register if required would have a materially adverse impact on our operations.</w:t>
      </w:r>
    </w:p>
    <w:p>
      <w:pPr>
        <w:spacing w:after="0" w:line="30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Current regulation regarding the exchange of bitcoins under the CEA by the CFTC is unclear; to the extent we become subject to regulation by the CFTC in connection with our exchange of bitcoin, we may incur additional compliance costs, which may be significant.</w:t>
      </w:r>
    </w:p>
    <w:p>
      <w:pPr>
        <w:spacing w:after="0" w:line="8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Commodity Exchange Act, as amended (the "CEA"), does not currently impose any direct obligations on us related to the mining or exchange of bitcoins. Generally, the Commodity Futures Trading Commission ("CFTC"), the federal agency that administers the CEA, regards bitcoin and other cryptocurrencies as commodities. This position has been supported by decisions of federal courts.</w:t>
      </w:r>
    </w:p>
    <w:p>
      <w:pPr>
        <w:spacing w:after="0" w:line="20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However, the CEA imposes requirements relative to certain transactions involving bitcoin and other digital assets that constitute a contract of sale of a commodity for future delivery (or an option on such a contract), a swap, or a transaction involving margin, financing or leverage that does not result in actual delivery of the commodity within 28 days to persons not defined as "eligible contract participants" or "eligible commercial entities" under the CEA (e.g., retail persons). Changes in the CEA or the regulations promulgated by the CFTC thereunder, as well as interpretations thereof and official promulgations by the CFTC, may impact the classification of bitcoins and, therefore, may subject them to additional regulatory oversight by the agency.</w:t>
      </w:r>
    </w:p>
    <w:p>
      <w:pPr>
        <w:spacing w:after="0" w:line="21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cannot be certain as to how future regulatory developments will impact the treatment of bitcoins under the law. Any requirements imposed by the CFTC related to our cryptocurrency datacenter activities or our transactions in bitcoin could cause us to incur additional extraordinary, nonrecurring expenses, thereby adversely affecting our results of operations. In addition, changes in the classification of bitcoins could subject us, as a result of our cryptocurrency datacenter operations, to additional regulatory oversight by the agency. Although to date the CFTC has not enacted regulations governing non-derivative or non-financed, margined or leveraged transactions in bitcoin, it has authority to commence enforcement actions against persons who violate certain prohibitions under the CEA related to transactions in any contract of sale of any commodity, including bitcoin, in interstate commerce (e.g., manipulation and engaging in certain deceptive practices).</w:t>
      </w: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Moreover, if our cryptocurrency datacenter activities or transactions in bitcoin were deemed by the CFTC to constitute a collective investment in derivatives for our shareholders, we may be required to register as a commodity pool operator with the CFTC through the National Futures Association. Such additional registrations may result in extraordinary, non-recurring expenses, thereby materially and adversely impacting our results of operations. If we determine not to comply with such additional regulatory and registration requirements, we may seek to cease certain of our operations. Any such action may adversely affect our results of operations. While no provision of the CEA, or CFTC rules, orders or rulings (except as noted herein) appears to be currently applicable to our business, this is subject to change.</w:t>
      </w:r>
    </w:p>
    <w:p>
      <w:pPr>
        <w:spacing w:after="0" w:line="29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There has been limited precedent set for financial accounting of digital assets and so it is unclear how we will be required to account for digital asset transactions.</w:t>
      </w:r>
    </w:p>
    <w:p>
      <w:pPr>
        <w:spacing w:after="0" w:line="63"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While we record digital assets as indefinite-lived intangible assets in accordance with ASC 350, there is currently no authoritative guidance under the accounting principles generally accepted in the United States of America which specifically addresses the accounting for digital assets, including digital currencies.</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recognize bitcoin related revenue when bitcoins are earned. The receipt of bitcoins is generally recorded as revenue, using the spot price of a prominent exchange at the time of daily reward and bitcoins are recorded on the balance sheet at their cost basis and are reviewed for impairment annually.</w:t>
      </w:r>
    </w:p>
    <w:p>
      <w:pPr>
        <w:spacing w:after="0" w:line="206" w:lineRule="exact"/>
        <w:rPr>
          <w:sz w:val="20"/>
          <w:szCs w:val="20"/>
          <w:color w:val="auto"/>
        </w:rPr>
      </w:pPr>
    </w:p>
    <w:p>
      <w:pPr>
        <w:ind w:right="1080"/>
        <w:spacing w:after="0" w:line="251" w:lineRule="auto"/>
        <w:rPr>
          <w:sz w:val="20"/>
          <w:szCs w:val="20"/>
          <w:color w:val="auto"/>
        </w:rPr>
      </w:pPr>
      <w:r>
        <w:rPr>
          <w:rFonts w:ascii="Arial" w:cs="Arial" w:eastAsia="Arial" w:hAnsi="Arial"/>
          <w:sz w:val="18"/>
          <w:szCs w:val="18"/>
          <w:color w:val="auto"/>
        </w:rPr>
        <w:t>A change in financial accounting standards or their interpretation could result in changes in accounting treatment applicable to our cryptocurrency datacenter operations, which may have an adverse effect on our results of operations.</w:t>
      </w:r>
    </w:p>
    <w:p>
      <w:pPr>
        <w:spacing w:after="0" w:line="28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federal or state legislatures or agencies initiate or release tax determinations that change the classification of bitcoins as property for tax purposes (in the context of when such bitcoins are held as an investment), such determination could have a negative tax consequence on us.</w:t>
      </w:r>
    </w:p>
    <w:p>
      <w:pPr>
        <w:spacing w:after="0" w:line="8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Current IRS guidance indicates that digital assets such as bitcoin should be treated and taxed as property, and that transactions involving the payment of bitcoin for goods and services should be treated as barter transactions.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46" w:right="379" w:bottom="1440" w:gutter="0" w:footer="0" w:header="0"/>
        </w:sectPr>
      </w:pPr>
    </w:p>
    <w:bookmarkStart w:id="34" w:name="page35"/>
    <w:bookmarkEnd w:id="34"/>
    <w:p>
      <w:pPr>
        <w:ind w:right="40"/>
        <w:spacing w:after="0" w:line="246" w:lineRule="auto"/>
        <w:rPr>
          <w:sz w:val="20"/>
          <w:szCs w:val="20"/>
          <w:color w:val="auto"/>
        </w:rPr>
      </w:pPr>
      <w:r>
        <w:rPr>
          <w:rFonts w:ascii="Arial" w:cs="Arial" w:eastAsia="Arial" w:hAnsi="Arial"/>
          <w:sz w:val="18"/>
          <w:szCs w:val="18"/>
          <w:color w:val="auto"/>
        </w:rPr>
        <w:t>While this treatment creates a potential tax reporting requirement for any circumstance where the ownership of a bitcoin passes from one person to another, usually by means of bitcoin transactions (including off-blockchain transactions), it preserves the right to apply capital gains treatment to those transactions which may adversely affect our results of operations. There can be no assurance that the IRS will not alter its existing position with respect to digital assets in the future or that other state, local and non-U.S. taxing authorities or courts will follow the approach of the IRS with respect to the treatment of digital assets such as bitcoins for income tax and sales tax purposes. Any such alteration of existing guidance or issuance of new or different guidance may have negative consequences including the imposition of a greater tax burden on investors in bitcoin or imposing a greater cost on the acquisition and disposition of bitcoin, generally; in either case potentially having a negative effect on the trading price of bitcoin or otherwise negatively impacting our business. In 2021, significant changes to U.S. federal income tax laws were proposed, including changes related to information reporting requirements with respect to digital assets. Congress may include some or all of these proposals in future legislation, potentially with retroactive effect. Whether these proposals will be enacted, and what effect these proposals, if enacted, will have on our operations is uncertain.</w:t>
      </w:r>
    </w:p>
    <w:p>
      <w:pPr>
        <w:spacing w:after="0" w:line="294"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i w:val="1"/>
          <w:iCs w:val="1"/>
          <w:color w:val="auto"/>
        </w:rPr>
        <w:t>Regulatory changes or actions may alter the nature of an investment in us or restrict the use of bitcoin in a manner that adversely affects our business, prospects, results of operations and financial condition.</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bitcoin and cryptocurrencies generally have grown in both popularity and market size, governments around the world have reacted differently to them; certain governments have deemed them illegal, and others have allowed their use and trade without restriction. Based on stated efforts to curtail energy usage on mining, to protect investors or to prevent criminal activity, and in part to redirect interest into competing government-created cryptocurrencies, recent regulations have proliferated. In March 2021, a new law was proposed in India to criminalize the mining, transferring or holding of bitcoin and other cryptocurrencies, and current rules require extensive disclosure to the government of cryptocurrency holdings. At the same time, India is rumored to be developing its own centralized national digital currency. Similarly, China has also limited some mining and trading, although not possession, of cryptocurrency, ostensibly to reduce energy usage in a country representing an estimated 65% of bitcoin mining, but reports suggest such regulation is also designed, in part, to drive appetite for China’s own digital yuan. On April 16, 2021, Turkey imposed bans on the use of cryptocurrency as payment and now requires transactions of a certain size to be reported to a government agency in the wake of alleged fraud at one of Turkey’s largest exchanges. In addition, in May 2021, Iran announced a temporary ban on cryptocurrency mining as a way to reduce energy consumption amid power blackouts. Many jurisdictions, such as the United States, subject bitcoin and other cryptocurrencies to extensive, and in some cases overlapping, unclear and evolving regulatory requirements.</w:t>
      </w:r>
    </w:p>
    <w:p>
      <w:pPr>
        <w:spacing w:after="0" w:line="19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Further, in January 2021, Russia adopted legislation to identify cryptocurrency as a digital asset and legitimize its trading, but also prohibit its use as a payment method; mining operations have also grown significantly in Russia since this time. Such varying government regulations and pronouncements are likely to continue for the near future.</w:t>
      </w:r>
    </w:p>
    <w:p>
      <w:pPr>
        <w:spacing w:after="0" w:line="20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the U.S., the Federal Reserve Board, U.S. Congress and certain U.S. agencies (e.g., the Commodity Futures Trading Commission, the SEC, the Financial Crimes Enforcement Network of the U.S. Treasury Department ("FinCEN"), and the Federal Bureau of Investigation) have begun to examine the operations of the bitcoin network, bitcoin users and the bitcoin exchange market. Increasing regulation and regulatory scrutiny may result in new costs for us and our management having to devote increased time and attention to regulatory matters, change aspects of our business or result in limits on the use cases of bitcoin. In addition, regulatory developments and/or our business activities may require us to comply with certain regulatory regimes. For example, to the extent that our activities cause us to be deemed a money service business under the regulations promulgated by FinCEN under the authority of the U.S. Bank Secrecy Act, we may be required to comply with FinCEN regulations, including those that would mandate us to implement certain anti-money laundering programs, make certain reports to FinCEN and maintain certain records.</w:t>
      </w:r>
    </w:p>
    <w:p>
      <w:pPr>
        <w:spacing w:after="0" w:line="211"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Ongoing and future regulation and regulatory actions could significantly restrict or eliminate the market for or uses of bitcoin and/or materially and adversely impact our results of operation and financial condition.</w:t>
      </w:r>
    </w:p>
    <w:p>
      <w:pPr>
        <w:spacing w:after="0" w:line="287"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b w:val="1"/>
          <w:bCs w:val="1"/>
          <w:i w:val="1"/>
          <w:iCs w:val="1"/>
          <w:color w:val="auto"/>
        </w:rPr>
        <w:t>Latency in confirming transactions on a network could result in a loss of confidence in the network, which could have a material adverse effect on our business, financial condition and results of operations.</w:t>
      </w:r>
    </w:p>
    <w:p>
      <w:pPr>
        <w:spacing w:after="0" w:line="7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Latency in confirming transactions on a network can be caused by a number of factors, such as bitcoin miners, also called transaction processors, ceasing to support the network and/or supporting a different network. To the extent that any transaction processors cease to record transactions on a network, such transactions will not be recorded on the blockchain of the network until a block is solved by a transaction processor that does not require the payment of</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5" w:name="page36"/>
    <w:bookmarkEnd w:id="35"/>
    <w:p>
      <w:pPr>
        <w:ind w:right="80"/>
        <w:spacing w:after="0" w:line="262" w:lineRule="auto"/>
        <w:rPr>
          <w:sz w:val="20"/>
          <w:szCs w:val="20"/>
          <w:color w:val="auto"/>
        </w:rPr>
      </w:pPr>
      <w:r>
        <w:rPr>
          <w:rFonts w:ascii="Arial" w:cs="Arial" w:eastAsia="Arial" w:hAnsi="Arial"/>
          <w:sz w:val="17"/>
          <w:szCs w:val="17"/>
          <w:color w:val="auto"/>
        </w:rPr>
        <w:t>transaction fees or other incentives. Currently, there are no known incentives for transaction processors to elect to exclude the recording of transactions in solved blocks. However, to the extent that any such incentives arise (for example, with respect to bitcoin, a collective movement among transaction processors or one or more mining pools forcing bitcoin users to pay transaction fees as a substitute for, or in addition to, the award of new bitcoin upon the solving of a block), transaction processors could delay the recording and verification of a significant number of transactions on a network’s blockchain. If such latency became systemic, and sustained, it could result in greater exposure to double-spending transactions and a loss of confidence in the applicable network, which could have a material adverse effect on our business, financial condition and results of operations. In addition, increasing growth and popularity of digital assets, as well as non-digital asset-related applications that utilize blockchain technology on certain networks, can cause congestion and backlog, and as result, increase latency on such networks. An increase in congestion and backlogs could result in longer transaction confirmation times, an increase in unconfirmed transactions (that is, transactions that have yet to be included in a block on a network and therefore are not yet completed transactions), higher transaction fees and an overall decrease in confidence in a particular network, which could ultimately affect our ability to transact on that particular network and, in turn, could have a material adverse effect on our business, financial condition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geopolitical and economic events on the supply and demand for cryptoassets, including bitcoin, is uncertain.</w:t>
      </w:r>
    </w:p>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Geopolitical crises may motivate large-scale purchases of bitcoin and other cryptoassets, which could increase the price of bitcoin and other cryptoassets rapidly. Our business and the infrastructure on which our business relies is vulnerable to damage or interruption from catastrophic occurrences, such as war, civil unrest, terrorist attacks, geopolitical events, disease, such as the COVID-19 pandemic, and similar events. Specifically, the uncertain nature, magnitude, and duration of hostilities stemming from Russia’s recent military invasion of Ukraine, including the potential effects of sanctions limitations, retaliatory cyber-attacks on the world economy and markets, and potential shipping delays, have contributed to increased market volatility and uncertainty, which could have an adverse impact on macroeconomic factors that affect our business. This may increase the likelihood of a subsequent price decrease as crisis-driven purchasing behavior dissipates, adversely affecting the value of our inventory following such downward adjustment. Such risks are similar to the risks of purchasing commodities in general uncertain times, such as the risk of purchasing, holding or selling gold. Alternatively, as an emerging asset class with limited acceptance as a payment system or commodity, global crises and general economic downturn may discourage investment in bitcoin as investors focus their investment on less volatile asset classes as a means of hedging their investment risk.</w:t>
      </w:r>
    </w:p>
    <w:p>
      <w:pPr>
        <w:spacing w:after="0" w:line="22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As an alternative to fiat currencies that are backed by central governments, bitcoin, which is relatively new, is subject to supply and demand forces. How such supply and demand will be impacted by geopolitical events is largely uncertain but could be harmful to us. Political or economic crises may motivate large-scale acquisitions or sales of bitcoin either globally or locally. Such events could have a material adverse effect our results of operations.</w:t>
      </w:r>
    </w:p>
    <w:p>
      <w:pPr>
        <w:spacing w:after="0" w:line="283"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b w:val="1"/>
          <w:bCs w:val="1"/>
          <w:i w:val="1"/>
          <w:iCs w:val="1"/>
          <w:color w:val="auto"/>
        </w:rPr>
        <w:t>Changes in tariffs or import restrictions could have a material adverse effect on our business, financial condition and results of operations.</w:t>
      </w:r>
    </w:p>
    <w:p>
      <w:pPr>
        <w:spacing w:after="0" w:line="7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Equipment necessary for digital asset mining is almost entirely manufactured outside of the United States. There is currently significant uncertainty about the future relationship between the United States and various other countries, including China, the European Union, Canada, and Mexico, with respect to trade policies, treaties, tariffs and customs duties, and taxes. For example, since 2019, the U.S. government has implemented significant changes to U.S. trade policy with respect to China. These tariffs have subjected certain digital asset mining equipment manufactured overseas to additional import duties of up to 25%. The amount of the additional tariffs and the number of products subject to them has changed numerous times based on action by the U.S. government. These tariffs have increased costs of certain digital asset mining equipment, and new or additional tariffs or other restrictions on the import of equipment necessary for digital asset mining could have a material adverse effect on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adequately respond to rapidly changing technology.</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Competitive conditions within the bitcoin industry require that we use sophisticated technology in the operation of our business. The industry for blockchain technology is characterized by rapid technological changes, new product developments and evolving industry standards. New technologies, techniques or products could emerge that offer better performance than the software and other technologies that we utilize, and we may have to transition to these new technologies to remain competitive. We may not be successful in implementing new technology or doing so in a cost-effective manner. During the course of implementing any such new technology into our operations, we may experience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6" w:name="page37"/>
    <w:bookmarkEnd w:id="36"/>
    <w:p>
      <w:pPr>
        <w:ind w:right="40"/>
        <w:spacing w:after="0" w:line="251" w:lineRule="auto"/>
        <w:rPr>
          <w:sz w:val="20"/>
          <w:szCs w:val="20"/>
          <w:color w:val="auto"/>
        </w:rPr>
      </w:pPr>
      <w:r>
        <w:rPr>
          <w:rFonts w:ascii="Arial" w:cs="Arial" w:eastAsia="Arial" w:hAnsi="Arial"/>
          <w:sz w:val="18"/>
          <w:szCs w:val="18"/>
          <w:color w:val="auto"/>
        </w:rPr>
        <w:t>system interruptions. Furthermore, there can be no assurances that we will realize, in a timely manner or at all, the benefits that we may expect as a result of our implementing new technology into our operations. As a result, our results of operations may suffer.</w:t>
      </w:r>
    </w:p>
    <w:p>
      <w:pPr>
        <w:spacing w:after="0" w:line="287"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A failure to properly monitor and upgrade the bitcoin network protocol could damage the bitcoin network which could, in turn, have an adverse effect on our business.</w:t>
      </w:r>
    </w:p>
    <w:p>
      <w:pPr>
        <w:spacing w:after="0" w:line="7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open-source structure of the bitcoin network protocol means that the contributors to the protocol are generally not directly compensated for their contributions in maintaining and developing the protocol. As the bitcoin network protocol is not sold and its use does not generate revenues for contributors, contributors are generally not compensated for maintaining and updating the bitcoin network protocol. The lack of guaranteed financial incentive for contributors to maintain or develop the bitcoin network and the lack of guaranteed resources to adequately address emerging issues with the bitcoin network may reduce incentives to address issues adequately or in a timely manner. Because our cryptocurrency datacenter activities rely on the bitcoin network, negative developments with respect to that network may have an adverse effect on our results of operations and financial condition.</w:t>
      </w:r>
    </w:p>
    <w:p>
      <w:pPr>
        <w:spacing w:after="0" w:line="295"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b w:val="1"/>
          <w:bCs w:val="1"/>
          <w:i w:val="1"/>
          <w:iCs w:val="1"/>
          <w:color w:val="auto"/>
        </w:rPr>
        <w:t>Over time, incentives for bitcoin miners to continue to contribute processing power to the bitcoin network may transition from a set reward to transaction fees. If the incentives for bitcoin mining are not sufficiently high, we and our hosting customers may not have an adequate incentive to continue to mine.</w:t>
      </w:r>
    </w:p>
    <w:p>
      <w:pPr>
        <w:spacing w:after="0" w:line="8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 general, as the number of bitcoin rewards awarded for solving a block in a blockchain decreases, our ability to achieve profitability also decreases. Decreased use and demand for bitcoin rewards may adversely affect our incentive to expend processing power to solve blocks. If the bitcoin rewards for solving blocks and transaction fees are not sufficiently high, fewer bitcoin miners will mine. At insufficiently attractive rewards, our costs of operations in total may exceed our revenues from cryptocurrency datacenter activities.</w:t>
      </w:r>
    </w:p>
    <w:p>
      <w:pPr>
        <w:spacing w:after="0" w:line="20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To incentivize bitcoin miners to continue to contribute processing power to the bitcoin network, such network may either formally or informally transition from a set reward to transaction fees earned upon solving for a block. This transition could be accomplished either by bitcoin miners independently electing to record in the blocks they solve only those transactions that include payment of a transaction fee or by the bitcoin network adopting software upgrades that require the payment of a minimum transaction fee for all transactions. If as a result transaction fees paid for bitcoin transactions become too high, bitcoin users may be reluctant to transfer bitcoin or accept bitcoin as a means of payment, and existing users may be motivated to hold existing bitcoin and switch from bitcoin to another digital asset or back to fiat currency for transactions, diminishing the aggregate amount of available transaction fees for bitcoin miners. Such reduction would adversely impact our results of operations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Incorrect or fraudulent cryptocurrency transactions may be irreversible.</w:t>
      </w:r>
    </w:p>
    <w:p>
      <w:pPr>
        <w:spacing w:after="0" w:line="13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It is possible that, through computer or human error, theft or criminal action, our cryptocurrency could be transferred in incorrect amounts or to unauthorized third parties or accounts. In general, cryptocurrency transactions are irrevocable, and stolen or incorrectly transferred cryptocurrencies may be irretrievable, and we may have extremely limited or no effective means of recovering such cryptocurrencies. As a result, any incorrectly executed or fraudulent bitcoin transactions could adversely affect our business.</w:t>
      </w:r>
    </w:p>
    <w:p>
      <w:pPr>
        <w:spacing w:after="0" w:line="292"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b w:val="1"/>
          <w:bCs w:val="1"/>
          <w:i w:val="1"/>
          <w:iCs w:val="1"/>
          <w:color w:val="auto"/>
        </w:rPr>
        <w:t>The bitcoin reward for successfully uncovering a block will halve several times in the future, and bitcoin value may not adjust to compensate us for the reduction in the rewards we receive from our bitcoin mining efforts.</w:t>
      </w:r>
    </w:p>
    <w:p>
      <w:pPr>
        <w:spacing w:after="0" w:line="7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Halving is a process designed to control the overall supply and reduce the risk of inflation in cryptocurrencies using a proof of work consensus algorithm. At a predetermined block, the bitcoin mining reward is cut in half, hence the term "halving." For bitcoin, the reward was initially set at 50 bitcoin currency rewards per block and this was cut in half to 25 on November 28, 2012 at block 210,000, then again to 12.5 on July 9, 2016 at block 420,000. The most recent halving for bitcoin occurred on May 11, 2020 at block 630,000 and the reward was reduced to 6.25. It is expected that the next halving will likely occur in 2024. This process will reoccur until the total amount of bitcoin currency rewards issued reaches 21 million, which is expected around the year 2140.</w:t>
      </w:r>
    </w:p>
    <w:p>
      <w:pPr>
        <w:spacing w:after="0" w:line="21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Bitcoin has had a history of price fluctuations around the halving of its rewards, and there can be no assurance that any price change will be favorable or would compensate for the reduction in bitcoin mining reward in connection with a halving. If the award of bitcoin or a proportionate decrease in bitcoin mining difficulty does not follow these anticipated</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40" w:right="379" w:bottom="1440" w:gutter="0" w:footer="0" w:header="0"/>
        </w:sectPr>
      </w:pPr>
    </w:p>
    <w:bookmarkStart w:id="37" w:name="page38"/>
    <w:bookmarkEnd w:id="37"/>
    <w:p>
      <w:pPr>
        <w:spacing w:after="0" w:line="251" w:lineRule="auto"/>
        <w:rPr>
          <w:sz w:val="20"/>
          <w:szCs w:val="20"/>
          <w:color w:val="auto"/>
        </w:rPr>
      </w:pPr>
      <w:r>
        <w:rPr>
          <w:rFonts w:ascii="Arial" w:cs="Arial" w:eastAsia="Arial" w:hAnsi="Arial"/>
          <w:sz w:val="18"/>
          <w:szCs w:val="18"/>
          <w:color w:val="auto"/>
        </w:rPr>
        <w:t>halving events, the revenue we earn from our cryptocurrency datacenter operations would see a corresponding decrease, and we may not have an adequate incentive to continue bitcoin mining.</w:t>
      </w:r>
    </w:p>
    <w:p>
      <w:pPr>
        <w:spacing w:after="0" w:line="28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8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use of cryptocurrencies to, among other things, buy and sell goods and services and complete transactions, is part of a new and rapidly evolving industry that employs cryptocurrency assets, including bitcoin, based upon a computer-generated mathematical and/or cryptographic protocol. Large-scale acceptance of bitcoin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spacing w:after="0" w:line="101" w:lineRule="exact"/>
        <w:rPr>
          <w:sz w:val="20"/>
          <w:szCs w:val="20"/>
          <w:color w:val="auto"/>
        </w:rPr>
      </w:pPr>
    </w:p>
    <w:p>
      <w:pPr>
        <w:ind w:left="620" w:hanging="29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worldwide growth in the adoption and use of bitcoin as a medium to exchange;</w:t>
      </w:r>
    </w:p>
    <w:p>
      <w:pPr>
        <w:spacing w:after="0" w:line="111" w:lineRule="exact"/>
        <w:rPr>
          <w:rFonts w:ascii="Arial" w:cs="Arial" w:eastAsia="Arial" w:hAnsi="Arial"/>
          <w:sz w:val="18"/>
          <w:szCs w:val="18"/>
          <w:color w:val="auto"/>
        </w:rPr>
      </w:pPr>
    </w:p>
    <w:p>
      <w:pPr>
        <w:ind w:left="640" w:right="60" w:hanging="316"/>
        <w:spacing w:after="0" w:line="251" w:lineRule="auto"/>
        <w:tabs>
          <w:tab w:leader="none" w:pos="6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and quasi-governmental regulation of bitcoin and its use, or restrictions on or regulation of access to and operation of the bitcoin network or similar cryptocurrency systems;</w:t>
      </w:r>
    </w:p>
    <w:p>
      <w:pPr>
        <w:spacing w:after="0" w:line="97" w:lineRule="exact"/>
        <w:rPr>
          <w:rFonts w:ascii="Arial" w:cs="Arial" w:eastAsia="Arial" w:hAnsi="Arial"/>
          <w:sz w:val="18"/>
          <w:szCs w:val="18"/>
          <w:color w:val="auto"/>
        </w:rPr>
      </w:pPr>
    </w:p>
    <w:p>
      <w:pPr>
        <w:ind w:left="620" w:hanging="29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maintenance and development of the open-source software protocol of the network;</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increased consolidation of contributors to the bitcoin blockchain through bitcoin mining pools;</w:t>
      </w:r>
    </w:p>
    <w:p>
      <w:pPr>
        <w:spacing w:after="0" w:line="111" w:lineRule="exact"/>
        <w:rPr>
          <w:rFonts w:ascii="Arial" w:cs="Arial" w:eastAsia="Arial" w:hAnsi="Arial"/>
          <w:sz w:val="18"/>
          <w:szCs w:val="18"/>
          <w:color w:val="auto"/>
        </w:rPr>
      </w:pPr>
    </w:p>
    <w:p>
      <w:pPr>
        <w:ind w:left="640" w:right="100" w:hanging="316"/>
        <w:spacing w:after="0" w:line="251" w:lineRule="auto"/>
        <w:tabs>
          <w:tab w:leader="none" w:pos="6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and popularity of other cryptocurrencies and other forms or methods of buying and selling goods and services, including new means of using fiat currencies;</w:t>
      </w:r>
    </w:p>
    <w:p>
      <w:pPr>
        <w:spacing w:after="0" w:line="97" w:lineRule="exact"/>
        <w:rPr>
          <w:rFonts w:ascii="Arial" w:cs="Arial" w:eastAsia="Arial" w:hAnsi="Arial"/>
          <w:sz w:val="18"/>
          <w:szCs w:val="18"/>
          <w:color w:val="auto"/>
        </w:rPr>
      </w:pPr>
    </w:p>
    <w:p>
      <w:pPr>
        <w:ind w:left="620" w:hanging="29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use of the networks supporting cryptocurrencies for developing smart contracts and distributed applications;</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the regulatory environment relating to cryptocurrencies;</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restrictions on the use of electricity to mine bitcoin and a resulting decrease in global bitcoin mining operations;</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bitcoin transaction costs and a resultant reduction in the use of and demand for bitcoin; and</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consumer sentiment and perception of bitcoin specifically and cryptocurrencies generally.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outcome of any of these factors could have negative effects on our results of operations and financial condition.</w:t>
      </w:r>
    </w:p>
    <w:p>
      <w:pPr>
        <w:spacing w:after="0" w:line="301"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i w:val="1"/>
          <w:iCs w:val="1"/>
          <w:color w:val="auto"/>
        </w:rPr>
        <w:t>It is possible that cryptocurrencies other than bitcoin could have features that make them more desirable to a material portion of the cryptocurrency user base and this could result in a reduction in demand for bitcoin, which could have a negative impact on the price of bitcoin and adversely affect us.</w:t>
      </w:r>
    </w:p>
    <w:p>
      <w:pPr>
        <w:spacing w:after="0" w:line="142"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Bitcoin holds a "first-to-market" advantage over other cryptocurrencies. This first-to-market advantage is driven in large part by having the largest user base and, more importantly, the largest combined mining power in use to secure their respective blockchains and transaction verification systems. More users and miners makes a cryptocurrency more secure, which makes it more attractive to new users and miners, resulting in a network effect that strengthens this first-to-market advantage.</w:t>
      </w:r>
    </w:p>
    <w:p>
      <w:pPr>
        <w:spacing w:after="0" w:line="20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Despite the first-to-market advantage of the bitcoin network over other cryptocurrency networks, it is possible that another cryptocurrency could become comparatively more popular. If an alternative cryptocurrency obtains significant market share—either in market capitalization, mining power or use as a payment technology—this could reduce bitcoin’s market share and value. Substantially all of our cryptocurrency datacenter revenue is derived from mining bitcoin and, while we may mine other cryptocurrencies in the future, we have no plans to do so currently and may incur significant costs if we choose to do so. For example, our current application-specific integrated circuit machines (i.e., our "miners") are principally utilized for mining bitcoin and cannot mine other cryptocurrencies that are not mined utilizing the SHA-256 algorithm. As a result, the emergence of a cryptocurrency that erodes bitcoin’s market share and value could have a material adverse effect on our results of operations and financial condition.</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may be adversely affected by competition from other methods of investing in bitcoin.</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compete with other users and/or companies that are mining bitcoin or providing investors exposure to bitcoin without direct purchases of bitcoin and with other potential financial vehicles linked to cryptocurrency, including securities backed by or linked to bitcoin through entities similar to it. Market and financial conditions, and other conditions beyond our control, may make it more attractive to invest in such other entities, or to invest in bitcoin or other cryptocurrency directly, as opposed to investing in us. Conversely, given the nascence of cryptocurrency market within the broader investment market, investors may associate entities involved in cryptocurrency mining, trading or related services with each other, and thus, public reports of challenges at any of such other entities may have a negative impact on our business. Finally, the emergence of other financial vehicles and exchange-traded funds have been scrutinized by regulators and such scrutiny and any negative impressions or conclusions resulting from such scrutiny could be applicable to us and impact our business. Such circumstances could have a material adverse effect on our results of operations and financial condition.</w:t>
      </w:r>
    </w:p>
    <w:p>
      <w:pPr>
        <w:spacing w:after="0" w:line="295"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b w:val="1"/>
          <w:bCs w:val="1"/>
          <w:i w:val="1"/>
          <w:iCs w:val="1"/>
          <w:color w:val="auto"/>
        </w:rPr>
        <w:t>Digital assets, such as bitcoin, face significant scaling obstacles that can lead to high fees or slow transaction settlement times and any mechanisms of increasing the scale of digital asset settlement may significantly alter the competitive dynamics in the market.</w:t>
      </w:r>
    </w:p>
    <w:p>
      <w:pPr>
        <w:spacing w:after="0" w:line="5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Digital assets may face significant scaling obstacles that can lead to high fees or slow transaction settlement times, and attempts to increase the volume of transactions may not be effective. Scaling digital assets, and particularly bitcoin, is essential to the widespread acceptance of digital assets as a means of payment, which is necessary to the growth and development of our business.</w:t>
      </w:r>
    </w:p>
    <w:p>
      <w:pPr>
        <w:spacing w:after="0" w:line="20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Many digital asset networks face significant scaling challenges. For example, digital assets are limited with respect to how many transactions can occur per second. In this respect, bitcoin may be particularly affected as it relies on the "proof of work" validation, which due to its inherent characteristics may be particularly hard to scale to allow simultaneous processing of multiple daily transactions by users. Participants in the digital asset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 There is no guarantee that any of the mechanisms in place or being explored for increasing the scale of settlement of digital asset transactions will be effective, how long they will take to become effective or whether such mechanisms will be effective for all digital assets. There is also a risk that any mechanisms of increasing the scale of digital asset settlements may significantly alter the competitive dynamics in the digital asset market and may adversely affect the value of bitcoin and the price of our class A common stock. Any of which could have a material adverse effect on our results of operations.</w:t>
      </w:r>
    </w:p>
    <w:p>
      <w:pPr>
        <w:spacing w:after="0" w:line="29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The digital asset exchanges on which cryptocurrencies, including bitcoin, trade are relatively new and largely unregulated, and thus may be exposed to fraud and failure. Such failures may result in a reduction in the price of bitcoin and other cryptocurrencies and can adversely affect an investment in us.</w:t>
      </w:r>
    </w:p>
    <w:p>
      <w:pPr>
        <w:spacing w:after="0" w:line="8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As a result, the marketplace may lose confidence in, or may experience problems relating to, cryptocurrency exchanges, including prominent exchanges handling a significant portion of the volume of digital asset trading.</w:t>
      </w:r>
    </w:p>
    <w:p>
      <w:pPr>
        <w:spacing w:after="0" w:line="208"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A lack of stability in the digital asset exchange market and the closure or temporary shutdown of digital asset exchanges due to fraud, business failure, hackers or malware, or government-mandated regulation may reduce confidence in digital asset networks and result in greater volatility in cryptocurrency values. These potential consequences of a digital asset exchange’s failure could adversely affect our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momentum pricing risk.</w:t>
      </w:r>
    </w:p>
    <w:p>
      <w:pPr>
        <w:spacing w:after="0" w:line="133"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Momentum pricing typically is associated with growth stocks and other assets whose valuation, as determined by the investing public, reflects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and bitcoin in particular, inflating and making their market prices more volatile. As a result, they may be more likely to</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39" w:name="page40"/>
    <w:bookmarkEnd w:id="39"/>
    <w:p>
      <w:pPr>
        <w:spacing w:after="0" w:line="251" w:lineRule="auto"/>
        <w:rPr>
          <w:sz w:val="20"/>
          <w:szCs w:val="20"/>
          <w:color w:val="auto"/>
        </w:rPr>
      </w:pPr>
      <w:r>
        <w:rPr>
          <w:rFonts w:ascii="Arial" w:cs="Arial" w:eastAsia="Arial" w:hAnsi="Arial"/>
          <w:sz w:val="18"/>
          <w:szCs w:val="18"/>
          <w:color w:val="auto"/>
        </w:rPr>
        <w:t>fluctuate in value due to changing investor confidence in future appreciation (or depreciation) in their market prices, which could adversely affect the value of bitcoin mined by us, which could lead to an adverse effect on our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mining pool service providers for our mining payouts may have a negative impact on our business.</w:t>
      </w:r>
    </w:p>
    <w:p>
      <w:pPr>
        <w:spacing w:after="0" w:line="13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use third–party mining pools to receive our mining rewards from the network. Mining pools allow miners to combine their processing power, increasing their chances of solving a block and getting paid by the network. The rewards are distributed by the pool operator, proportionally to our contribution to the pool’s overall mining power used to generate each block. Should a pool operator’s system suffer downtime for any reason, including, as a result of a cyber-attack, software malfunction or other similar issues for any reason, it would negatively impact our ability to receive revenue. Furthermore, we are dependent on the accuracy of the mining pool operator’s record keeping to accurately record the total processing power provided to the pool for a given bitcoin mining application in order to assess the proportion of that total processing power we provided. While we have internal methods of tracking both our processing power provided and the total used by the pool, the mining pool operator uses its own record-keeping to determine our proportion of a given reward. We have little means of recourse against the mining pool operator if we determine the proportion of the reward paid out to us by the mining pool operator is incorrect, other than leaving the pool. If we are unable to consistently obtain accurate proportionate rewards from our mining pool operators, we may experience reduced reward for our efforts, which would have an adverse effect on our results of operations and financial condition.</w:t>
      </w:r>
    </w:p>
    <w:p>
      <w:pPr>
        <w:spacing w:after="0" w:line="281" w:lineRule="exact"/>
        <w:rPr>
          <w:sz w:val="20"/>
          <w:szCs w:val="20"/>
          <w:color w:val="auto"/>
        </w:rPr>
      </w:pPr>
    </w:p>
    <w:p>
      <w:pPr>
        <w:ind w:right="760"/>
        <w:spacing w:after="0" w:line="276" w:lineRule="auto"/>
        <w:rPr>
          <w:sz w:val="20"/>
          <w:szCs w:val="20"/>
          <w:color w:val="auto"/>
        </w:rPr>
      </w:pPr>
      <w:r>
        <w:rPr>
          <w:rFonts w:ascii="Arial" w:cs="Arial" w:eastAsia="Arial" w:hAnsi="Arial"/>
          <w:sz w:val="18"/>
          <w:szCs w:val="18"/>
          <w:b w:val="1"/>
          <w:bCs w:val="1"/>
          <w:i w:val="1"/>
          <w:iCs w:val="1"/>
          <w:color w:val="auto"/>
        </w:rPr>
        <w:t>Banks and financial institutions may not provide bank accounts, or may cut off certain banking or other financial services, to cryptocurrency investors or businesses that engage in bitcoin-related activities or that accept bitcoin as payment.</w:t>
      </w:r>
    </w:p>
    <w:p>
      <w:pPr>
        <w:spacing w:after="0" w:line="7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 number of companies that engage in bitcoin and/or other cryptocurrency-related activities have been unable to find banks or financial institutions that are willing to provide them with bank accounts and other services. Similarly, changing governmental regulations about the legality of transferring or holding bitcoin and other cryptocurrency may prompt other banks and financial institutions to close existing bank accounts or discontinue banking or other financial services to such companies in the cryptocurrency industry, or even investors with accounts for transferring, receiving or holding their cryptocurrency. Specifically, China already restricts financial institutions from holding, trading or facilitating transactions in bitcoin. Similarly, other countries have proposed cryptocurrency legislation that could have a significant impact on the ability to utilize banking services in such countries for cryptocurrency. Both India and China, among other countries, are reportedly driving toward the development and adoption of a national digital currency—and taking legislative action that could be viewed as disadvantaging to private cryptocurrencies in the process.</w:t>
      </w:r>
    </w:p>
    <w:p>
      <w:pPr>
        <w:spacing w:after="0" w:line="224"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Should such rules and restrictions continue or proliferate, we may not only be unable to obtain or maintain these services for our business but also experience business disruption if our necessary commercial partners, such as bitcoin mining pools or miner manufacturers, cannot conduct their businesses effectively due to such regulations. The difficulty that many businesses that provide bitcoin and/or derivatives on other cryptocurrency-related activities have and may continue to have in finding banks and financial institutions willing to provide them services may diminish the usefulness of bitcoin as a payment system and harm public perception of bitcoin. If we are unable to obtain or maintain banking services for our business as a result of our bitcoin-related activities or a disruption impacting our current banking providers, our results of operations and financial condition could be materially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Blockchain technology may expose us to specially designated nationals or blocked persons or cause us to violate provisions of law.</w:t>
      </w:r>
    </w:p>
    <w:p>
      <w:pPr>
        <w:spacing w:after="0" w:line="14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subject to the rules enforced by The Office of Financial Assets Control of the US Department of Treasury ("OFAC"), including regarding sanctions and requirements not to conduct business with persons named on its specially designated nationals list. However, because of the pseudonymous nature of blockchain transactions, we may inadvertently and without our knowledge engage in transactions with persons named on OFAC’S specially designated nationals list. It is possible that the use of cryptocurrencies, including bitcoin, could be a potential means of avoiding federally-imposed sanctions, such as those imposed in connection with the Russian invasion of Ukraine. On March 2, 2022, a group of United States Senators sent the Secretary of the United States Treasury Department a letter asking Secretary Yellen to investigate its ability to enforce such sanctions vis-à-vis bitcoin, and on March 8, 2022, President Biden announced an executive order on cryptocurrencies which seeks to establish a unified federal regulatory regime for cryptocurrencies. We are unable to predict the nature or extent of new and proposed legislation and regulation affecting the cryptocurrency industry, or the potential impact of the use of cryptocurrencies by specially designated nationals or other blocked or</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40" w:name="page41"/>
    <w:bookmarkEnd w:id="40"/>
    <w:p>
      <w:pPr>
        <w:jc w:val="both"/>
        <w:ind w:right="180"/>
        <w:spacing w:after="0" w:line="248" w:lineRule="auto"/>
        <w:rPr>
          <w:sz w:val="20"/>
          <w:szCs w:val="20"/>
          <w:color w:val="auto"/>
        </w:rPr>
      </w:pPr>
      <w:r>
        <w:rPr>
          <w:rFonts w:ascii="Arial" w:cs="Arial" w:eastAsia="Arial" w:hAnsi="Arial"/>
          <w:sz w:val="18"/>
          <w:szCs w:val="18"/>
          <w:color w:val="auto"/>
        </w:rPr>
        <w:t>sanctioned persons, which could have material adverse effects on our business and our industry more broadly. Further, we may be subject to investigation, administrative or court proceedings, and civil or criminal monetary fines and penalties as a result of any regulatory enforcement actions, which could harm our reputation and adversely affect our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Ownership of Our Securities</w:t>
      </w:r>
    </w:p>
    <w:p>
      <w:pPr>
        <w:spacing w:after="0" w:line="142" w:lineRule="exact"/>
        <w:rPr>
          <w:sz w:val="20"/>
          <w:szCs w:val="20"/>
          <w:color w:val="auto"/>
        </w:rPr>
      </w:pPr>
    </w:p>
    <w:p>
      <w:pPr>
        <w:ind w:right="560"/>
        <w:spacing w:after="0" w:line="307" w:lineRule="auto"/>
        <w:rPr>
          <w:sz w:val="20"/>
          <w:szCs w:val="20"/>
          <w:color w:val="auto"/>
        </w:rPr>
      </w:pPr>
      <w:r>
        <w:rPr>
          <w:rFonts w:ascii="Arial" w:cs="Arial" w:eastAsia="Arial" w:hAnsi="Arial"/>
          <w:sz w:val="17"/>
          <w:szCs w:val="17"/>
          <w:b w:val="1"/>
          <w:bCs w:val="1"/>
          <w:i w:val="1"/>
          <w:iCs w:val="1"/>
          <w:color w:val="auto"/>
        </w:rPr>
        <w:t>Because we are a "controlled company" within the meaning of the Nasdaq listing rules, our stockholders may not have certain corporate governance protections that are available to stockholders of companies that are not controlled companies.</w:t>
      </w:r>
    </w:p>
    <w:p>
      <w:pPr>
        <w:spacing w:after="0" w:line="10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So long as more than 50% of the voting power for the election of our directors is held by an individual, a group or another company, we will qualify as a "controlled company" within the meaning of Nasdaq’s corporate governance standards. As of December 31, 2022, Atlas and its affiliates control 88.5% of the voting power of our outstanding capital stock. As a result, we are a "controlled company" within the meaning of Nasdaq’s corporate governance standards and will not be subject to the requirements that would otherwise require us to have: (i) a majority of independent directors; (ii) compensation of our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Because we are a "controlled company", our stockholders may not have these corporate governance protections that are available to stockholders of companies that are not controlled companies.</w:t>
      </w:r>
    </w:p>
    <w:p>
      <w:pPr>
        <w:spacing w:after="0" w:line="21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Atlas and its affiliates may have their interest in us diluted as a result of future equity issuances or their own actions in selling shares of our common stock, in each case, which could result in a loss of the "controlled company" exemption under the Nasdaq listing rules. We would then be required to comply with those provisions of the Nasdaq listing requirements.</w:t>
      </w:r>
    </w:p>
    <w:p>
      <w:pPr>
        <w:spacing w:after="0" w:line="290" w:lineRule="exact"/>
        <w:rPr>
          <w:sz w:val="20"/>
          <w:szCs w:val="20"/>
          <w:color w:val="auto"/>
        </w:rPr>
      </w:pPr>
    </w:p>
    <w:p>
      <w:pPr>
        <w:jc w:val="both"/>
        <w:ind w:right="240"/>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will have the effect of concentrating voting power with Atlas and its affiliates, which may depress the market value of the class A common stock and will limit a stockholder or a new investor’s ability to influence the outcome of important transactions, including a change in control.</w:t>
      </w:r>
    </w:p>
    <w:p>
      <w:pPr>
        <w:spacing w:after="0" w:line="8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While the economic rights of our common stock are the same, the class A common stock have one (1) vote per share, while class B common stock have ten (10) votes per share. As of December 31, 2022, our class B common stockholders represent approximately 94% of our voting power. Given the 10:1 voting ratio, even a significant issuance of class A common stock, and/or a transaction involving class A common stock as consideration, may not impact Atlas’ significant majority voting position in us.</w:t>
      </w:r>
    </w:p>
    <w:p>
      <w:pPr>
        <w:spacing w:after="0" w:line="199"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We have enacted a dual class voting structure to ensure the continuity of voting control in us for the foreseeable future. As a result, for the foreseeable future, Atlas and its affiliates will be able to control matters submitted to stockholders for approval, including the election of directors, amendments of our organizational documents and any merger, consolidation, sale of all or substantially all of our assets or other major corporate transactions.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Atlas and its affiliates may have interests that differ from other stockholders and may vote their class B common stock in a way with which other stockholders may disagree or which may be adverse to such other stockholders’ interests. In addition, this concentrated control will have the effect of delaying, preventing or deterring a change in control of Greenidge, could deprive our stockholders of an opportunity to receive a premium for their capital stock as part of a sale of Greenidge, and might have a negative effect on the market price of shares of our class A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class A common stock may affect the market price of our class A common stock.</w:t>
      </w:r>
    </w:p>
    <w:p>
      <w:pPr>
        <w:spacing w:after="0" w:line="133"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We may continue to raise capital by continuing to exercise our rights under the ATM Agreement to sell shares of class A common stock or through other future equity offerings.</w:t>
      </w:r>
    </w:p>
    <w:p>
      <w:pPr>
        <w:spacing w:after="0" w:line="199"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Since October 2021 and through September 2022, we received proceeds of $59.8 million from sales of class A common stock under the original and amended Equity Purchase Agreements, of which $8.9 million proceeds, net of discounts, was received in 2022. In September 2022, Greenidge entered into an ATM Agreement, and since September 30, 2022 through</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40" w:right="399" w:bottom="1440" w:gutter="0" w:footer="0" w:header="0"/>
        </w:sectPr>
      </w:pPr>
    </w:p>
    <w:bookmarkStart w:id="41" w:name="page42"/>
    <w:bookmarkEnd w:id="41"/>
    <w:p>
      <w:pPr>
        <w:ind w:right="560"/>
        <w:spacing w:after="0" w:line="238" w:lineRule="auto"/>
        <w:rPr>
          <w:sz w:val="20"/>
          <w:szCs w:val="20"/>
          <w:color w:val="auto"/>
        </w:rPr>
      </w:pPr>
      <w:r>
        <w:rPr>
          <w:rFonts w:ascii="Arial" w:cs="Arial" w:eastAsia="Arial" w:hAnsi="Arial"/>
          <w:sz w:val="18"/>
          <w:szCs w:val="18"/>
          <w:color w:val="auto"/>
        </w:rPr>
        <w:t>March 30, 2023, we received net proceeds of $10.2 million from sales of class A common stock under the ATM Agreement. See Note 7,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Consolidated Financial Statements for further details.</w:t>
      </w:r>
    </w:p>
    <w:p>
      <w:pPr>
        <w:spacing w:after="0" w:line="212"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color w:val="auto"/>
        </w:rPr>
        <w:t>We cannot predict what effect, if any, actual or potential future sales of our class A common stock will have on the market price of our class A common stock. Sales of substantial amounts of our class A common stock in the public market, or the perception that such sales could occur, could materially adversely affect the market price of our class A common stock.</w:t>
      </w:r>
    </w:p>
    <w:p>
      <w:pPr>
        <w:spacing w:after="0" w:line="19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The market price, trading volume and marketability of our class A common stock may be significantly affected by numerous factors beyond our control.</w:t>
      </w:r>
    </w:p>
    <w:p>
      <w:pPr>
        <w:spacing w:after="0" w:line="18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market price and trading volume of our class A common stock may fluctuate and/or decline. Recently, the market price of our class A common stock has declined significantly. When the price of bitcoin declines, our stock price has historically fallen as well. We may experience similar declines on our market price in the future if our stock price continues to track the price of bitcoin. Furthermore, if the overall market for stocks of cryptocurrency-related issuers or the stock market in general experiences a loss of investor confidence, the market price of our stock could decline for reasons unrelated to our business, operating results or financial condition. The market price of our class A common stock could be subject to arbitrary pricing factors that are not necessarily associated with traditional factors that influence stock prices or the value of non-cryptocurrency assets such as revenue, cash flows, profitability, growth prospects or business activity levels since the value and price, as determined by the investing public, may be influenced by future anticipated adoption or appreciation in value of cryptocurrencies or blockchains generally, factors over which we have little or no influence or control.</w:t>
      </w:r>
    </w:p>
    <w:p>
      <w:pPr>
        <w:spacing w:after="0" w:line="20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Additionally, there are many other factors that are beyond our control that may materially adversely affect the market price of our class A common stock, the marketability of our class A common stock and our ability to raise capital through equity financings. These factors include, but are not limited to, the following:</w:t>
      </w:r>
    </w:p>
    <w:p>
      <w:pPr>
        <w:spacing w:after="0" w:line="95" w:lineRule="exact"/>
        <w:rPr>
          <w:sz w:val="20"/>
          <w:szCs w:val="20"/>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underlying volatility in pricing of, and demand for, energy and/or bitcoin;</w:t>
      </w:r>
    </w:p>
    <w:p>
      <w:pPr>
        <w:spacing w:after="0" w:line="111" w:lineRule="exact"/>
        <w:rPr>
          <w:rFonts w:ascii="Arial" w:cs="Arial" w:eastAsia="Arial" w:hAnsi="Arial"/>
          <w:sz w:val="18"/>
          <w:szCs w:val="18"/>
          <w:color w:val="auto"/>
        </w:rPr>
      </w:pPr>
    </w:p>
    <w:p>
      <w:pPr>
        <w:ind w:left="960" w:right="600" w:hanging="636"/>
        <w:spacing w:after="0" w:line="238" w:lineRule="auto"/>
        <w:tabs>
          <w:tab w:leader="none" w:pos="9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the stock markets generally which create highly variable and unpredictable pricing of equity securities;</w:t>
      </w:r>
    </w:p>
    <w:p>
      <w:pPr>
        <w:spacing w:after="0" w:line="92" w:lineRule="exact"/>
        <w:rPr>
          <w:rFonts w:ascii="Arial" w:cs="Arial" w:eastAsia="Arial" w:hAnsi="Arial"/>
          <w:sz w:val="18"/>
          <w:szCs w:val="18"/>
          <w:color w:val="auto"/>
        </w:rPr>
      </w:pPr>
    </w:p>
    <w:p>
      <w:pPr>
        <w:ind w:left="960" w:right="260" w:hanging="636"/>
        <w:spacing w:after="0" w:line="251" w:lineRule="auto"/>
        <w:tabs>
          <w:tab w:leader="none" w:pos="9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annual or quarterly results of operations, including our earnings estimates and whether we meet market expectations with regard to our earnings;</w:t>
      </w:r>
    </w:p>
    <w:p>
      <w:pPr>
        <w:spacing w:after="0" w:line="83" w:lineRule="exact"/>
        <w:rPr>
          <w:rFonts w:ascii="Arial" w:cs="Arial" w:eastAsia="Arial" w:hAnsi="Arial"/>
          <w:sz w:val="18"/>
          <w:szCs w:val="18"/>
          <w:color w:val="auto"/>
        </w:rPr>
      </w:pPr>
    </w:p>
    <w:p>
      <w:pPr>
        <w:ind w:left="960" w:hanging="636"/>
        <w:spacing w:after="0"/>
        <w:tabs>
          <w:tab w:leader="none" w:pos="9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companies in the sectors in which our business operates, which may not be related to the operating performance of these companies and which may not reflect the performance of our businesses;</w:t>
      </w:r>
    </w:p>
    <w:p>
      <w:pPr>
        <w:spacing w:after="0" w:line="94" w:lineRule="exact"/>
        <w:rPr>
          <w:rFonts w:ascii="Arial" w:cs="Arial" w:eastAsia="Arial" w:hAnsi="Arial"/>
          <w:sz w:val="18"/>
          <w:szCs w:val="18"/>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97" w:lineRule="exact"/>
        <w:rPr>
          <w:rFonts w:ascii="Arial" w:cs="Arial" w:eastAsia="Arial" w:hAnsi="Arial"/>
          <w:sz w:val="18"/>
          <w:szCs w:val="18"/>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1" w:lineRule="exact"/>
        <w:rPr>
          <w:rFonts w:ascii="Arial" w:cs="Arial" w:eastAsia="Arial" w:hAnsi="Arial"/>
          <w:sz w:val="18"/>
          <w:szCs w:val="18"/>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regulations or tax law, including those affecting the holding, transferring or mining of cryptocurrency;</w:t>
      </w:r>
    </w:p>
    <w:p>
      <w:pPr>
        <w:spacing w:after="0" w:line="97" w:lineRule="exact"/>
        <w:rPr>
          <w:rFonts w:ascii="Arial" w:cs="Arial" w:eastAsia="Arial" w:hAnsi="Arial"/>
          <w:sz w:val="18"/>
          <w:szCs w:val="18"/>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 transactions by principal stockholders;</w:t>
      </w:r>
    </w:p>
    <w:p>
      <w:pPr>
        <w:spacing w:after="0" w:line="97" w:lineRule="exact"/>
        <w:rPr>
          <w:rFonts w:ascii="Arial" w:cs="Arial" w:eastAsia="Arial" w:hAnsi="Arial"/>
          <w:sz w:val="18"/>
          <w:szCs w:val="18"/>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continued listing on the Nasdaq;</w:t>
      </w:r>
    </w:p>
    <w:p>
      <w:pPr>
        <w:spacing w:after="0" w:line="111" w:lineRule="exact"/>
        <w:rPr>
          <w:rFonts w:ascii="Arial" w:cs="Arial" w:eastAsia="Arial" w:hAnsi="Arial"/>
          <w:sz w:val="18"/>
          <w:szCs w:val="18"/>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7" w:lineRule="exact"/>
        <w:rPr>
          <w:rFonts w:ascii="Arial" w:cs="Arial" w:eastAsia="Arial" w:hAnsi="Arial"/>
          <w:sz w:val="18"/>
          <w:szCs w:val="18"/>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factors, including Russia’s invasion of Ukraine;</w:t>
      </w:r>
    </w:p>
    <w:p>
      <w:pPr>
        <w:spacing w:after="0" w:line="97" w:lineRule="exact"/>
        <w:rPr>
          <w:rFonts w:ascii="Arial" w:cs="Arial" w:eastAsia="Arial" w:hAnsi="Arial"/>
          <w:sz w:val="18"/>
          <w:szCs w:val="18"/>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including inflation and interest rates;</w:t>
      </w:r>
    </w:p>
    <w:p>
      <w:pPr>
        <w:spacing w:after="0" w:line="97" w:lineRule="exact"/>
        <w:rPr>
          <w:rFonts w:ascii="Arial" w:cs="Arial" w:eastAsia="Arial" w:hAnsi="Arial"/>
          <w:sz w:val="18"/>
          <w:szCs w:val="18"/>
          <w:color w:val="auto"/>
        </w:rPr>
      </w:pPr>
    </w:p>
    <w:p>
      <w:pPr>
        <w:ind w:left="960" w:hanging="636"/>
        <w:spacing w:after="0" w:line="251" w:lineRule="auto"/>
        <w:tabs>
          <w:tab w:leader="none" w:pos="9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scrutiny by governmental authorities or individual actors or community groups regarding our business, our competitors or the industry in which we operate;</w:t>
      </w:r>
    </w:p>
    <w:p>
      <w:pPr>
        <w:spacing w:after="0" w:line="83" w:lineRule="exact"/>
        <w:rPr>
          <w:rFonts w:ascii="Arial" w:cs="Arial" w:eastAsia="Arial" w:hAnsi="Arial"/>
          <w:sz w:val="18"/>
          <w:szCs w:val="18"/>
          <w:color w:val="auto"/>
        </w:rPr>
      </w:pPr>
    </w:p>
    <w:p>
      <w:pPr>
        <w:ind w:left="960" w:right="180" w:hanging="636"/>
        <w:spacing w:after="0" w:line="238" w:lineRule="auto"/>
        <w:tabs>
          <w:tab w:leader="none" w:pos="9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publication of research reports by analysts and others about us or the cryptocurrency mining industry, which may be unfavorable, inaccurate, inconsistent or not disseminated on a regular basis;</w:t>
      </w:r>
    </w:p>
    <w:p>
      <w:pPr>
        <w:spacing w:after="0" w:line="106" w:lineRule="exact"/>
        <w:rPr>
          <w:rFonts w:ascii="Arial" w:cs="Arial" w:eastAsia="Arial" w:hAnsi="Arial"/>
          <w:sz w:val="18"/>
          <w:szCs w:val="18"/>
          <w:color w:val="auto"/>
        </w:rPr>
      </w:pPr>
    </w:p>
    <w:p>
      <w:pPr>
        <w:ind w:left="960" w:right="140" w:hanging="636"/>
        <w:spacing w:after="0" w:line="238" w:lineRule="auto"/>
        <w:tabs>
          <w:tab w:leader="none" w:pos="9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sentiment of retail investors about our class A common stock and business generally (including as may be expressed on financial trading and other social media sites and online forums);</w:t>
      </w:r>
    </w:p>
    <w:p>
      <w:pPr>
        <w:spacing w:after="0" w:line="92" w:lineRule="exact"/>
        <w:rPr>
          <w:rFonts w:ascii="Arial" w:cs="Arial" w:eastAsia="Arial" w:hAnsi="Arial"/>
          <w:sz w:val="18"/>
          <w:szCs w:val="18"/>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media or investment community about us or the cryptocurrency industry more broadly; and</w:t>
      </w:r>
    </w:p>
    <w:p>
      <w:pPr>
        <w:spacing w:after="0" w:line="111" w:lineRule="exact"/>
        <w:rPr>
          <w:rFonts w:ascii="Arial" w:cs="Arial" w:eastAsia="Arial" w:hAnsi="Arial"/>
          <w:sz w:val="18"/>
          <w:szCs w:val="18"/>
          <w:color w:val="auto"/>
        </w:rPr>
      </w:pPr>
    </w:p>
    <w:p>
      <w:pPr>
        <w:ind w:left="920" w:hanging="59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any of the other risk factors included in this Annual Report on Form 10-K.</w:t>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146" w:right="419" w:bottom="1440" w:gutter="0" w:footer="0" w:header="0"/>
        </w:sectPr>
      </w:pPr>
    </w:p>
    <w:bookmarkStart w:id="42" w:name="page43"/>
    <w:bookmarkEnd w:id="42"/>
    <w:p>
      <w:pPr>
        <w:jc w:val="both"/>
        <w:spacing w:after="0" w:line="253" w:lineRule="auto"/>
        <w:rPr>
          <w:sz w:val="20"/>
          <w:szCs w:val="20"/>
          <w:color w:val="auto"/>
        </w:rPr>
      </w:pPr>
      <w:r>
        <w:rPr>
          <w:rFonts w:ascii="Arial" w:cs="Arial" w:eastAsia="Arial" w:hAnsi="Arial"/>
          <w:sz w:val="18"/>
          <w:szCs w:val="18"/>
          <w:b w:val="1"/>
          <w:bCs w:val="1"/>
          <w:i w:val="1"/>
          <w:iCs w:val="1"/>
          <w:color w:val="auto"/>
        </w:rPr>
        <w:t>We are subject to ongoing public reporting requirements that are less rigorous than Exchange Act rules for companies that are not emerging growth companies or smaller reporting companies, and stockholders could receive less information than they might expect to receive from larger or more mature public companies.</w:t>
      </w:r>
    </w:p>
    <w:p>
      <w:pPr>
        <w:spacing w:after="0" w:line="8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qualify to publicly report on an ongoing basis as an "emerging growth company" (as defined in the JOBS Act) and a "smaller reporting company" (as defined in SEC rules)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93" w:lineRule="exact"/>
        <w:rPr>
          <w:sz w:val="20"/>
          <w:szCs w:val="20"/>
          <w:color w:val="auto"/>
        </w:rPr>
      </w:pPr>
    </w:p>
    <w:p>
      <w:pPr>
        <w:ind w:left="620" w:hanging="296"/>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permitted to include two, not three, years of audited financials in our Forms 10-K and other reduced financial disclosures;</w:t>
      </w:r>
    </w:p>
    <w:p>
      <w:pPr>
        <w:spacing w:after="0" w:line="97" w:lineRule="exact"/>
        <w:rPr>
          <w:rFonts w:ascii="Arial" w:cs="Arial" w:eastAsia="Arial" w:hAnsi="Arial"/>
          <w:sz w:val="18"/>
          <w:szCs w:val="18"/>
          <w:color w:val="auto"/>
        </w:rPr>
      </w:pPr>
    </w:p>
    <w:p>
      <w:pPr>
        <w:ind w:left="640" w:right="500" w:hanging="316"/>
        <w:spacing w:after="0" w:line="238" w:lineRule="auto"/>
        <w:tabs>
          <w:tab w:leader="none" w:pos="6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permitted to comply with reduced disclosure obligations regarding executive compensation in our periodic reports and proxy statements; and</w:t>
      </w:r>
    </w:p>
    <w:p>
      <w:pPr>
        <w:spacing w:after="0" w:line="106" w:lineRule="exact"/>
        <w:rPr>
          <w:rFonts w:ascii="Arial" w:cs="Arial" w:eastAsia="Arial" w:hAnsi="Arial"/>
          <w:sz w:val="18"/>
          <w:szCs w:val="18"/>
          <w:color w:val="auto"/>
        </w:rPr>
      </w:pPr>
    </w:p>
    <w:p>
      <w:pPr>
        <w:ind w:left="640" w:right="360" w:hanging="316"/>
        <w:spacing w:after="0" w:line="238" w:lineRule="auto"/>
        <w:tabs>
          <w:tab w:leader="none" w:pos="6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exempt from the requirement to hold a non-binding advisory vote on executive compensation and stockholder approval of any golden parachute payments not previously approved.</w:t>
      </w:r>
    </w:p>
    <w:p>
      <w:pPr>
        <w:spacing w:after="0" w:line="19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have elected to take advantage of the benefits of this extended transition period and so our financial statements may not be comparable to those of companies that comply with such new or revised accounting standards.</w:t>
      </w:r>
    </w:p>
    <w:p>
      <w:pPr>
        <w:spacing w:after="0" w:line="20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expect to take advantage of these reporting exemptions until we are no longer an emerging growth company or smaller reporting company. We can remain an emerging growth company for up to five years, although if the market value of our class A common stock that is held by non-affiliates exceeds $700 million or more as of any June 30 before that time, we would cease to be an emerging growth company as of the following December 31. We will qualify as a smaller reporting company until our public float, as of the last day of our second fiscal quarter, exceeds $250 million; because our common stock held by our directors, executive officers and Atlas and its affiliates are excluded from the calculation of public float, we anticipate qualifying as a smaller reporting company for the near future.</w:t>
      </w:r>
    </w:p>
    <w:p>
      <w:pPr>
        <w:spacing w:after="0" w:line="19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Because we will be subject to ongoing public reporting requirements that are less rigorous than Exchange Act rules for companies that are not emerging growth companies or smaller reporting companies, stockholders could receive less information than they might expect to receive from more mature or larger public companies, and the class A common stock may experience less active trading or more price volatility as a result.</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and limit attempts by stockholders to replace or remove current management.</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Provisions in our restated certificate of incorporation and bylaws may have the effect of delaying or preventing a change of control or changes in our management, including provisions that:</w:t>
      </w:r>
    </w:p>
    <w:p>
      <w:pPr>
        <w:spacing w:after="0" w:line="93" w:lineRule="exact"/>
        <w:rPr>
          <w:sz w:val="20"/>
          <w:szCs w:val="20"/>
          <w:color w:val="auto"/>
        </w:rPr>
      </w:pPr>
    </w:p>
    <w:p>
      <w:pPr>
        <w:ind w:left="620" w:hanging="296"/>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dual-class common stock structure with ten (10) votes per share for the class B common stock;</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vest solely in our board the power to fix the board and fill any vacancies and newly created directorships;</w:t>
      </w:r>
    </w:p>
    <w:p>
      <w:pPr>
        <w:spacing w:after="0" w:line="97" w:lineRule="exact"/>
        <w:rPr>
          <w:rFonts w:ascii="Arial" w:cs="Arial" w:eastAsia="Arial" w:hAnsi="Arial"/>
          <w:sz w:val="18"/>
          <w:szCs w:val="18"/>
          <w:color w:val="auto"/>
        </w:rPr>
      </w:pPr>
    </w:p>
    <w:p>
      <w:pPr>
        <w:ind w:left="640" w:right="180" w:hanging="316"/>
        <w:spacing w:after="0" w:line="238" w:lineRule="auto"/>
        <w:tabs>
          <w:tab w:leader="none" w:pos="6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directors may only be removed by the majority in voting power of the shares of stock then outstanding and entitled to vote thereon;</w:t>
      </w:r>
    </w:p>
    <w:p>
      <w:pPr>
        <w:spacing w:after="0" w:line="92" w:lineRule="exact"/>
        <w:rPr>
          <w:rFonts w:ascii="Arial" w:cs="Arial" w:eastAsia="Arial" w:hAnsi="Arial"/>
          <w:sz w:val="18"/>
          <w:szCs w:val="18"/>
          <w:color w:val="auto"/>
        </w:rPr>
      </w:pPr>
    </w:p>
    <w:p>
      <w:pPr>
        <w:ind w:left="640" w:right="200" w:hanging="316"/>
        <w:spacing w:after="0" w:line="251" w:lineRule="auto"/>
        <w:tabs>
          <w:tab w:leader="none" w:pos="6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our stockholders at annual stockholder meetings; and</w:t>
      </w:r>
    </w:p>
    <w:p>
      <w:pPr>
        <w:spacing w:after="0" w:line="83" w:lineRule="exact"/>
        <w:rPr>
          <w:rFonts w:ascii="Arial" w:cs="Arial" w:eastAsia="Arial" w:hAnsi="Arial"/>
          <w:sz w:val="18"/>
          <w:szCs w:val="18"/>
          <w:color w:val="auto"/>
        </w:rPr>
      </w:pPr>
    </w:p>
    <w:p>
      <w:pPr>
        <w:ind w:left="640" w:right="40" w:hanging="316"/>
        <w:spacing w:after="0" w:line="236" w:lineRule="auto"/>
        <w:tabs>
          <w:tab w:leader="none" w:pos="6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among other things, advance board approval or subsequent approval by the board and holders of 66 2/3% of the outstanding voting stock not owned by the interested stockholder for any business combination with an interested stockholder, which is defined as a person or entity owning 15% or more of our outstanding voting stock or an affiliate or associate of us that owned 15% or more of the voting power of the outstanding voting stock at any time within a period of three years prior to the date of such determination, subject to certain exceptions.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43" w:name="page44"/>
    <w:bookmarkEnd w:id="43"/>
    <w:p>
      <w:pPr>
        <w:jc w:val="both"/>
        <w:ind w:right="220"/>
        <w:spacing w:after="0"/>
        <w:rPr>
          <w:sz w:val="20"/>
          <w:szCs w:val="20"/>
          <w:color w:val="auto"/>
        </w:rPr>
      </w:pPr>
      <w:r>
        <w:rPr>
          <w:rFonts w:ascii="Arial" w:cs="Arial" w:eastAsia="Arial" w:hAnsi="Arial"/>
          <w:sz w:val="18"/>
          <w:szCs w:val="18"/>
          <w:color w:val="auto"/>
        </w:rPr>
        <w:t>These provisions may frustrate or prevent any attempts by our stockholders to effect a change in control, or to replace or remove our current management by making it more difficult for our stockholders to replace members of the board of directors, which is responsible for appointing the members of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indebtedness.</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Despite our current level of indebtedness, we and our subsidiaries may be able to incur significant additional indebtedness. If new indebtedness is added to our and our subsidiaries’ current debt levels, the related risks that we face would be increased, and we may not be able to meet all our debt obligations, including repayment of the Notes, in whole or in part. If we incur any additional debt that is secured, the holders of that debt will be entitled to share in the proceeds distributed in connection with any enforcement against the collateral or an insolvency, liquidation, reorganization, dissolution or other winding-up of the applicable obligor prior to applying any such proceeds to the notes. As of December 31, 2022, we had $157.5 million of indebtedness, $72.2 million of which was unsecured.</w:t>
      </w:r>
    </w:p>
    <w:p>
      <w:pPr>
        <w:spacing w:after="0" w:line="28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designates the Delaware Court of Chancery as the sole and exclusive forum for certain types of actions and proceedings that may be initiated by our stockholders and provides that claims relating to causes of action under U.S. federal securities laws may only be brought in U.S. federal district courts, which could limit the ability of our stockholders to obtain a favorable judicial forum for disputes with us, our directors, officers or employees, if any, and could discourage lawsuits against us and our directors, officers and employees, if any.</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Our second amended and restated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the second amended and restated certificate of incorporation or our amended and restated bylaws or as to which the DGCL confers jurisdiction on the Court of Chancery of the State of Delaware, or (iv) any action asserting a claim governed by the internal affairs doctrine of the laws of the State of Delaware. Our second amended and restated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w:t>
      </w:r>
    </w:p>
    <w:p>
      <w:pPr>
        <w:spacing w:after="0" w:line="20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These exclusive forum provisions may limit the ability of our stockholders to bring a claim in a judicial forum that such stockholders find favorable for disputes with us or our directors, officers, or employees, if any, which may discourage such lawsuits against us and our directors, officers, and employees, if any. Alternatively, if a court were to find the choice of forum provisions contained in our second amended and restated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own the approximately 106 MW nameplate natural gas power generation facility used by our Cryptocurrency Datacenter and Power Generation Segment, which is located on our 162-acre property in the Town of Torrey, New York. Our Town of Torrey mining operations take place at this facility. This property is subject to a lease/leaseback relationship with the Yates County Industrial Development Agency. In consideration for certain incentives provided by the Yates County Industrial Development Agency, we are committed to certain investment and job creation obligations all of which have been fulfilled. The primary obligations are the continuation of employment, including the Yates County Industrial Development Agency as an additional insured on various insurance policies and the completion of annual reporting forms. The payment in lieu of taxes agreement executed by the Yates County Industrial Development Agency and us provides predictability with respect to the increase in the annual real property tax burden on the power plant.</w:t>
      </w:r>
    </w:p>
    <w:p>
      <w:pPr>
        <w:spacing w:after="0" w:line="21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also own an additional 143 acres of land located in the Town of Torrey, New York. Approximately 29 acres are occupied by a landfill used to dispose of coal ash by the power plant’s former owners.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We own the 4.6 mile long natural gas pipeline that runs from our power plant facility, to the connector pipeline in Milo, Yates County, New York.</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We also hold a series of easements and right of way agreements with landowners through whose land the pipeline runs.</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own two parcels of land containing approximately 175 acres of land located in Spartanburg, South Carolina. The property included 750,000 square feet of industrial buildings, a significant portion of which is in the process of being dismantled and sold for scrap metal. We commenced mining operations at the South Carolina Facility in December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lease office space in Fairfield, Connecticut.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From time to time, we may become involved in various lawsuits and legal proceedings that arise in the ordinary course of business. However, litigation is subject to inherent uncertainties, and an adverse result in these, or other matters, may arise and harm our business. Other than set forth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Notes to Consolidated Financial Statements included in Part II, Item 8 of this Annual Report on Form 10-K, which is incorporated herein by reference, we are currently not aware of any such legal proceedings or claims that we believe will have an adverse effect on our business, financial condition or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146" w:right="41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w:t>
      </w:r>
    </w:p>
    <w:p>
      <w:pPr>
        <w:spacing w:after="0" w:line="226" w:lineRule="exact"/>
        <w:rPr>
          <w:sz w:val="20"/>
          <w:szCs w:val="20"/>
          <w:color w:val="auto"/>
        </w:rPr>
      </w:pPr>
    </w:p>
    <w:p>
      <w:pPr>
        <w:ind w:right="660"/>
        <w:spacing w:after="0" w:line="32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for Our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Greenidge’s class A common stock is listed under the ticker symbol "GREE" on the Nasdaq Global Select Market, which is</w:t>
      </w:r>
    </w:p>
    <w:p>
      <w:pPr>
        <w:ind w:right="240"/>
        <w:spacing w:after="0" w:line="238" w:lineRule="auto"/>
        <w:rPr>
          <w:sz w:val="20"/>
          <w:szCs w:val="20"/>
          <w:color w:val="auto"/>
        </w:rPr>
      </w:pPr>
      <w:r>
        <w:rPr>
          <w:rFonts w:ascii="Arial" w:cs="Arial" w:eastAsia="Arial" w:hAnsi="Arial"/>
          <w:sz w:val="18"/>
          <w:szCs w:val="18"/>
          <w:color w:val="auto"/>
        </w:rPr>
        <w:t>the principal market for such stock. As of December 31, 2022, there were 17,726,407 shares of Greenidge class A common stock issued and outstanding. Our class B common stock is not listed or traded on any stock exchange.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33"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As of December 31, 2022, we had 26 registered holders of our class A common stock, including Cede &amp; Co., the nominee for the Depository Trust Company and 10 registered holders of our class B common shares. The class A common stock registered holders' number excludes stockholders whose stock is held in nominee or street name by brokers.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have never declared or paid cash dividends on our capital stock. Our policy is to retain all earnings, if any, to provide funds for the operation and expansion of our business, and we do not anticipate paying any cash dividends in the foreseeable future. The declaration of dividends, if any, will be subject to the discretion of our board, which may consider such factors as our results of operations, financial condition, capital needs and acquisition strategy, among others. Under the Amended and Restated Bridge Promissory Note entered into in August 2022 (the "Promissory Note") that matures on November 20, 2023, the Company cannot pay dividends.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3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Information about the securities authorized for issuance under our equity compensation plan is set forth under "Item 12. Security Ownership of Certain Beneficial Owners and Management and Related Stockholder Matters—Equity Compensation Plan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 and Use of Proceeds</w:t>
      </w:r>
    </w:p>
    <w:p>
      <w:pPr>
        <w:spacing w:after="0" w:line="18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On April 7, 2022, we entered into a common stock purchase agreement, as amended by Amendment No. 1 to Common Stock Purchase Agreement dated as of April 13, 2022 (as amended, the "Equity Purchase Agreement") with B. Riley Principal Capital ("BRPC"), pursuant to which we have the right to sell to BRPC up to $500 million in shares of class A common stock, subject to certain limitations and the satisfaction of specified conditions in the Equity Purchase Agreement, from time to time over the 24-month period commencing on April 28, 2022. From April 28, 2022 to March 30, 2023, we issued 1,599,229 shares of our class A common stock to BRPC under the Equity Purchase Agreement.</w:t>
      </w:r>
    </w:p>
    <w:p>
      <w:pPr>
        <w:spacing w:after="0" w:line="136"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The sales of the above securities were deemed to be exempt from registration under the Securities Act in reliance upon Section 4(a)(2) of the Securities Act. The recipients of the securities in each of these transactions represented their intentions and appropriate legends were placed upon the stock certificates issued in these transactions.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September 19, 2022, Greenidge entered into the ATM Agreement with B. Riley and Northland. Under the ATM Agreement, B. Riley uses commercially reasonable efforts to sell, on Greenidge’s behalf,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shares of the Company’s class A common stock by any method permitted by law deemed to be an "at the market offering" as defined in Rule 415(a)(4) promulgated under the Securities Act. Greenidge will pay B. Riley commissions for its services in acting as sales agent, in an amount equal to up to 5.0% of the gross proceeds of all class A common stock sold by B. Riley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 Under the terms of the Promissory Note Amendment (as defined below), Greenidge is required to make mandatory monthly debt repayments under the Promissory Note of 15% of the net proceeds of sales of equity, including sales under the ATM Agreement and the Equity Purchase Agreement. See "</w:t>
      </w:r>
      <w:r>
        <w:rPr>
          <w:rFonts w:ascii="Arial" w:cs="Arial" w:eastAsia="Arial" w:hAnsi="Arial"/>
          <w:sz w:val="18"/>
          <w:szCs w:val="18"/>
          <w:i w:val="1"/>
          <w:iCs w:val="1"/>
          <w:color w:val="auto"/>
        </w:rPr>
        <w:t>Management’s Discussion and Analysis of Financial Condition And Results of Operations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6" w:name="page47"/>
    <w:bookmarkEnd w:id="46"/>
    <w:p>
      <w:pPr>
        <w:ind w:right="500"/>
        <w:spacing w:after="0" w:line="256"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For Greenidge—Recent Transactions—</w:t>
      </w:r>
      <w:r>
        <w:rPr>
          <w:rFonts w:ascii="Arial" w:cs="Arial" w:eastAsia="Arial" w:hAnsi="Arial"/>
          <w:sz w:val="18"/>
          <w:szCs w:val="18"/>
          <w:i w:val="1"/>
          <w:iCs w:val="1"/>
          <w:u w:val="single" w:color="auto"/>
          <w:color w:val="auto"/>
        </w:rPr>
        <w:t>B. Riley</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Promissory Note"</w:t>
      </w:r>
      <w:r>
        <w:rPr>
          <w:rFonts w:ascii="Arial" w:cs="Arial" w:eastAsia="Arial" w:hAnsi="Arial"/>
          <w:sz w:val="18"/>
          <w:szCs w:val="18"/>
          <w:i w:val="1"/>
          <w:iCs w:val="1"/>
          <w:color w:val="auto"/>
        </w:rPr>
        <w:t xml:space="preserve"> </w:t>
      </w:r>
      <w:r>
        <w:rPr>
          <w:rFonts w:ascii="Arial" w:cs="Arial" w:eastAsia="Arial" w:hAnsi="Arial"/>
          <w:sz w:val="18"/>
          <w:szCs w:val="18"/>
          <w:color w:val="auto"/>
        </w:rPr>
        <w:t>for further details.</w:t>
      </w:r>
    </w:p>
    <w:p>
      <w:pPr>
        <w:spacing w:after="0" w:line="19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From October 1, 2022 through March 30, 2023, Greenidge issued 16,334,133 shares which included 1,333,333 shares issued to B. Riley Commercial Capital, LLC (the "Noteholder") on February 1, 2023, as an amendment fee for an amendment to Greenidge's Promissory Note in favor of the Noteholder. See Note 7,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Consolidated Financial Statements for further details.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sales made pursuant to the ATM Agreement were made pursuant to a registration statement filed with the SEC.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23" w:lineRule="exact"/>
        <w:rPr>
          <w:sz w:val="20"/>
          <w:szCs w:val="20"/>
          <w:color w:val="auto"/>
        </w:rPr>
      </w:pPr>
    </w:p>
    <w:p>
      <w:pPr>
        <w:ind w:right="600"/>
        <w:spacing w:after="0" w:line="307" w:lineRule="auto"/>
        <w:rPr>
          <w:sz w:val="20"/>
          <w:szCs w:val="20"/>
          <w:color w:val="auto"/>
        </w:rPr>
      </w:pPr>
      <w:r>
        <w:rPr>
          <w:rFonts w:ascii="Arial" w:cs="Arial" w:eastAsia="Arial" w:hAnsi="Arial"/>
          <w:sz w:val="17"/>
          <w:szCs w:val="17"/>
          <w:b w:val="1"/>
          <w:bCs w:val="1"/>
          <w:color w:val="auto"/>
        </w:rPr>
        <w:t>ITEM 7. MANAGEMENT’S DISCUSSION AND ANALYSIS OF FINANCIAL CONDITION AND RESULTS OF OPERATIONS MANAGEMENT’S DISCUSSION AND ANALYSIS OF FINANCIAL CONDITION AND RESULTS OF OPERATIONS FOR GREENIDGE</w:t>
      </w:r>
    </w:p>
    <w:p>
      <w:pPr>
        <w:spacing w:after="0" w:line="34" w:lineRule="exact"/>
        <w:rPr>
          <w:sz w:val="20"/>
          <w:szCs w:val="20"/>
          <w:color w:val="auto"/>
        </w:rPr>
      </w:pPr>
    </w:p>
    <w:p>
      <w:pPr>
        <w:spacing w:after="0" w:line="214" w:lineRule="exact"/>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consolidated financial statements and related notes included herein. Among other things, those financial statements include more detailed information regarding the basis of presentation for the following information. The financial statements have been prepared in accordance with accounting principals generally accepeted in the United States of America ("U.S. GAAP") and are presented in U.S. dollars. The following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involve risks and uncertainties. As a result of many factors, such as those set forth under "Item 1A—Risk Factors," "Cautionary Statement Regarding Forward-Looking Statements" and elsewhere in this Annual Report on Form 10-K, our actual results may differ materially from those anticipated in these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You should carefully review the sections titled "Cautionary Statement Regarding Forward-Looking Statements" and "Risk Factors" in this Annual Report on Form 10-K.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 Operations</w:t>
      </w:r>
    </w:p>
    <w:p>
      <w:pPr>
        <w:spacing w:after="0" w:line="133"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During the year ended December 31, 2022 and through the signing of the Hosting Agreements on January 30, 2023, our cryptocurrency datacenter operations generated revenue in the form of bitcoin by earning bitcoin as rewards and transaction fees for supporting the global bitcoin network with application-specific integrated circuit computers ("ASICs" or "miners") owned or leased by us. Following the execution of the Hosting Agreements, our cryptocurrency datacenter operations' primary source of revenue is fees earned, including a gross profit sharing component, from hosting bitcoin miners. See further discussion of the Hosting Agreements under "Recent Transactions" below.</w:t>
      </w:r>
    </w:p>
    <w:p>
      <w:pPr>
        <w:spacing w:after="0" w:line="219"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Following the execution of the Hosting Agreements, we continue to own approximately 10,000 miners with a capacity of approximately 1.1 EH/s. We are evaluating alternatives to deploy these miners at third-party hosted sites.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own cryptocurrency datacenter operations in the Town of Torrey, New York (the "New York Facility") and in Spartanburg, South Carolina (the "South Carolina Facility" and, together with the New York Facility, the "facilities"). The New York Facility is a vertically integrated cryptocurrency datacenter and power generation facility with an approximately 106 megawatt ("MW") nameplate capacity, natural gas power generation facility. We generate all the power we require for our cryptocurrency datacenter operations in the New York Facility, where we enjoy relatively lower market prices for natural gas due to our access to the Millennium Gas Pipeline price hub. At the South Carolina Facility, we purchase power from a supplier of approximately 60% zero-carbon sourced energy, which results in relatively stable energy cost environment. We believe our competitive advantages include relatively low fixed costs, efficiently designed mining infrastructure and in-house operational expertise that we believe is capable of maintaining a higher operational uptime of miners. We are mining bitcoin and contributing to the security and transactability of the bitcoin ecosystem while concurrently supplying power to assist in meeting the power needs of homes and businesses in the region served by our New York Facility.</w:t>
      </w:r>
    </w:p>
    <w:p>
      <w:pPr>
        <w:spacing w:after="0" w:line="210"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As of December 31, 2022, we powered approximately 76 MW of mining capacity capable of producing an estimated aggregate hash rate of 2.4 EH/s at our facilities, substantially all of which is dedicated to bitcoin mining. During 2022, we completed expansions of our mining capabilities at our New York Facility and completed the addition of mining pods at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47" w:name="page48"/>
    <w:bookmarkEnd w:id="47"/>
    <w:p>
      <w:pPr>
        <w:ind w:right="320"/>
        <w:spacing w:after="0" w:line="251" w:lineRule="auto"/>
        <w:rPr>
          <w:sz w:val="20"/>
          <w:szCs w:val="20"/>
          <w:color w:val="auto"/>
        </w:rPr>
      </w:pPr>
      <w:r>
        <w:rPr>
          <w:rFonts w:ascii="Arial" w:cs="Arial" w:eastAsia="Arial" w:hAnsi="Arial"/>
          <w:sz w:val="18"/>
          <w:szCs w:val="18"/>
          <w:color w:val="auto"/>
        </w:rPr>
        <w:t>our South Carolina Facility, which enabled us to increase our mining capacity by approximately 25 MW during the year ended December 31, 2022.</w:t>
      </w:r>
    </w:p>
    <w:p>
      <w:pPr>
        <w:spacing w:after="0" w:line="20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generated revenue (i) through the exchange of bitcoins earned by ("ASICs" or "miners") as rewards and transaction fees for U.S. dollars and, to a much lesser extent in 2022 through revenue earned from third parties for hosting ASICs owned by third parties and providing operations, maintenance and other blockchain related services to third parties and (ii) through the sale of electricity generated by our power plant, and not consumed in cryptocurrency datacenter operations, to New York State’s power grid at prices set on a daily basis through the New York Independent System Operator ("NYISO") wholesale market. We opportunistically increase or decrease the total amount of electricity sold by the power plant based on prevailing prices in the wholesale electricity market.</w:t>
      </w:r>
    </w:p>
    <w:p>
      <w:pPr>
        <w:spacing w:after="0" w:line="21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generated revenue from the sale of our cryptocurrency hash rate, which is the processing speed of a bitcoin miner normally measured by its "hash rate" or "hashes per second," to multiple mining pools and were paid in the form of cryptocurrency. Cryptocurrency datacenter revenue is variable and depends on several factors including but not limited to the price of cryptocurrency, our proportion of global hash rate, transaction volume and the prevailing rewards payouts per new block added to the bitcoin blockchain. For the year ended December 31, 2022, based on our existing fleet, we generated bitcoin revenue at an average rate of approximately $144/MWh.</w:t>
      </w:r>
    </w:p>
    <w:p>
      <w:pPr>
        <w:spacing w:after="0" w:line="20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converted the cryptocurrency we received to cash on a daily basis using third-party platforms and are subject to the platforms' user agreements. For security purposes, we utilized a proprietary auto-liquidation script to automatically complete the conversion and transfer the cash to our operating bank accounts upon receiving cryptocurrency rewards in our wallets for the majority of our rewards in 2022. For one pool utilized in the fourth quarter of 2022, the pool operator performed this function for us, but effectively achieved a similar result. This process was implemented as a risk mitigation tool to limit the amount of time cryptocurrency and cash are stored on third-party platforms. Fees incurred to convert cryptocurrency to cash are subject to standard rates charged by the third parties’ published tiered pricing tables and represent 0.18% of each transaction as of December 31, 2022. Additionally, we held a nominal amount of bitcoin on our balance sheet, the majority of which was held in electronic storage not connected to the internet (also known as "cold storage") with a third-party custodian. This bitcoin that was held in cold storage as of December 31, 2022, was liquidated during the first quarter of 2023.</w:t>
      </w:r>
    </w:p>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We believe that, over the long-term, behind-the-meter power generation capability provides a stable, cost-effective source of power for cryptocurrency datacenter activities. Our behind-the-meter power generation capability provides us with stable delivery due to the absence of any contract negotiation risk with third-party power suppliers, the absence of transmission and distribution cost risk and the firm delivery of natural gas for our New York Facility via our captive pipeline. Furthermore, our New York Facility has operated with minimal downtime for maintenance and repairs over recent years. Notwithstanding the structural stability of our behind-the-meter capabilities, we do however procure natural gas at our New York Facility through a third-party energy manager which schedules delivery of our natural gas needs from the wholesale market which is subject to price volatility. We procure the majority of our natural gas at spot prices and enter into fixed price forward contracts from time to time for the purchase of a portion of anticipated natural gas purchases based on prevailing market conditions to partially mitigate the financial impacts of natural gas price volatility and to manage commodity risk. These forward contracts qualify for the normal purchases and sales exception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it is probable that these contracts will result in physical delivery.</w:t>
      </w:r>
    </w:p>
    <w:p>
      <w:pPr>
        <w:spacing w:after="0" w:line="198" w:lineRule="exact"/>
        <w:rPr>
          <w:sz w:val="20"/>
          <w:szCs w:val="20"/>
          <w:color w:val="auto"/>
        </w:rPr>
      </w:pPr>
    </w:p>
    <w:p>
      <w:pPr>
        <w:jc w:val="both"/>
        <w:ind w:right="340"/>
        <w:spacing w:after="0" w:line="260" w:lineRule="auto"/>
        <w:rPr>
          <w:sz w:val="20"/>
          <w:szCs w:val="20"/>
          <w:color w:val="auto"/>
        </w:rPr>
      </w:pPr>
      <w:r>
        <w:rPr>
          <w:rFonts w:ascii="Arial" w:cs="Arial" w:eastAsia="Arial" w:hAnsi="Arial"/>
          <w:sz w:val="17"/>
          <w:szCs w:val="17"/>
          <w:color w:val="auto"/>
        </w:rPr>
        <w:t>Volatility in the natural gas market has impacted and will continue to impact our results of operations and financial performance. Natural gas prices have been on an upward trajectory since June of 2021 and continued at elevated levels during 2022. During 2022, the volatility in the cost of natural gas resulted in an approximate 83% increase in the weighted average cost of natural gas, as compared to the prior year.</w:t>
      </w:r>
    </w:p>
    <w:p>
      <w:pPr>
        <w:spacing w:after="0" w:line="1" w:lineRule="exact"/>
        <w:rPr>
          <w:sz w:val="20"/>
          <w:szCs w:val="20"/>
          <w:color w:val="auto"/>
        </w:rPr>
      </w:pPr>
    </w:p>
    <w:p>
      <w:pPr>
        <w:ind w:right="640"/>
        <w:spacing w:after="0" w:line="247" w:lineRule="auto"/>
        <w:rPr>
          <w:sz w:val="20"/>
          <w:szCs w:val="20"/>
          <w:color w:val="auto"/>
        </w:rPr>
      </w:pPr>
      <w:r>
        <w:rPr>
          <w:rFonts w:ascii="Arial" w:cs="Arial" w:eastAsia="Arial" w:hAnsi="Arial"/>
          <w:sz w:val="18"/>
          <w:szCs w:val="18"/>
          <w:color w:val="auto"/>
        </w:rPr>
        <w:t>Volatility in the natural gas market may be caused by disruption in the delivery of fuel, including disruptions as a result of the outbreak or escalation of military hostilities, weather, transportation difficulties, global demand and supply dynamics, labor relations, environmental regulations or the financial viability of fuel suppliers. See "</w:t>
      </w:r>
      <w:r>
        <w:rPr>
          <w:rFonts w:ascii="Arial" w:cs="Arial" w:eastAsia="Arial" w:hAnsi="Arial"/>
          <w:sz w:val="18"/>
          <w:szCs w:val="18"/>
          <w:i w:val="1"/>
          <w:iCs w:val="1"/>
          <w:color w:val="auto"/>
        </w:rPr>
        <w:t>Risk Factors—Risks Related to Our Business—Risks Related to our Power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Generation Operations" </w:t>
      </w:r>
      <w:r>
        <w:rPr>
          <w:rFonts w:ascii="Arial" w:cs="Arial" w:eastAsia="Arial" w:hAnsi="Arial"/>
          <w:sz w:val="18"/>
          <w:szCs w:val="18"/>
          <w:color w:val="auto"/>
        </w:rPr>
        <w:t>for further details.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8" w:name="page49"/>
    <w:bookmarkEnd w:id="48"/>
    <w:p>
      <w:pPr>
        <w:ind w:right="80"/>
        <w:spacing w:after="0" w:line="247" w:lineRule="auto"/>
        <w:rPr>
          <w:sz w:val="20"/>
          <w:szCs w:val="20"/>
          <w:color w:val="auto"/>
        </w:rPr>
      </w:pPr>
      <w:r>
        <w:rPr>
          <w:rFonts w:ascii="Arial" w:cs="Arial" w:eastAsia="Arial" w:hAnsi="Arial"/>
          <w:sz w:val="18"/>
          <w:szCs w:val="18"/>
          <w:color w:val="auto"/>
        </w:rPr>
        <w:t>On January 30, 2023, we entered into Hosting Agreements with NYDIG affiliates, which will result in a material change to our current business strategy with us largely operating miners owned by NYDIG affiliates. The terms of the Hosting Agreements require NYDIG affiliates to pay a hosting fee that covers the cost of power and direct costs associated with management of the mining facilities, as well as a gross profit-sharing arrangement. We believe this reduces our downside risk of bitcoin price deterioration and cost increases related to natural gas. See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for further details.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3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On September 14, 2021, we consummated the transactions contemplated by the Merger Agreement, by and among Greenidge, Support.com and Merger Sub. As contemplated by the Merger Agreement, Merger Sub merged with and into Support.com, the separate corporate existence of Merger Sub ceased and Support.com survived as a wholly-owned subsidiary of Greenidge. At the effective time of the Merger, we issued 2,960,731 shares of class A common stock in exchange for all shares of common stock, par value $0.0001, of Support.com and all outstanding stock option and restricted stock units of Support.com. Support.com’s results of operations and balance sheet have been consolidated effective with the Merger. See Note 3, "</w:t>
      </w:r>
      <w:r>
        <w:rPr>
          <w:rFonts w:ascii="Arial" w:cs="Arial" w:eastAsia="Arial" w:hAnsi="Arial"/>
          <w:sz w:val="18"/>
          <w:szCs w:val="18"/>
          <w:i w:val="1"/>
          <w:iCs w:val="1"/>
          <w:color w:val="auto"/>
        </w:rPr>
        <w:t>Merger with Support.com</w:t>
      </w:r>
      <w:r>
        <w:rPr>
          <w:rFonts w:ascii="Arial" w:cs="Arial" w:eastAsia="Arial" w:hAnsi="Arial"/>
          <w:sz w:val="18"/>
          <w:szCs w:val="18"/>
          <w:color w:val="auto"/>
        </w:rPr>
        <w:t>", in the Notes to Consolidated Financial Statements for a further discussion of the Merger.</w:t>
      </w:r>
    </w:p>
    <w:p>
      <w:pPr>
        <w:spacing w:after="0" w:line="211"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Effective September 14, 2021, following the completion of the Merger, Support.com began operating as a separate operating and reporting segment. Support.com provides solutions and technical programs to customers delivered by home-based employees. Support.com provides customer service, sales support, and technical support primarily to large corporations, businesses and professional services organizations. Support.com also earns revenues for end-user software products provided through direct customer downloads and sale via partners. Support.com operates primarily in the United States, but had international operations that included staff providing support services.</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contract for Support.com's largest customer was not renewed upon expiration on December 31, 2022. As a result of this material change in the business, management and the Board of Directors made the determination to consider various alternatives for Support.com, including the disposition of assets. We have classified the Support.com business as held for sale and discontinued operations in these consolidated financial statements as a result of a strategic shift to strictly focus on our cryptocurrency datacenter and power generation operations. In January 2023, Greenidge completed the sale of a portion of the assets of Support.com for net proceeds of approximately $2.6 million, and is continuing to evaluate alternatives for the remainder of the Support.com assets.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Throughout this Annual Report on Form 10-K, unless otherwise indicated, amounts and activity are presented on a continuing operations basis.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See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in the Notes to Consolidated Financial Statements for additional details.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NYDIG Agreement</w:t>
      </w:r>
    </w:p>
    <w:p>
      <w:pPr>
        <w:spacing w:after="0" w:line="11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On January 30, 2023, we entered into a number of agreements associated with our secured debt with NYDIG, including a Membership Interest and Asset Purchase Agreement (the "Purchase Agreement"), a Senior Secured Loan Agreement (the "Senior Secured Loan") and a Debt Settlement Agreement (the "Debt Settlement Agreement") regarding our 2021 and 2022 Master Equipment Finance Agreements (the "MEFAs") with NYDIG. The effect of these agreements was to transfer to NYDIG ownership of bitcoin mining equipment that was secured by the MEFAs along with certain credits and coupons that had accrued to Greenidge for previous purchases of mining equipment with a bitcoin miner manufacturer. The transfer of these assets reduced the principal and accrued interest balance of the secured debt with NYDIG from approximately $75.8 million to approximately $17.3 million, for an aggregate debt reduction of $58.5 million (the "Refinancing"). The Senior Secured Loan allows for a voluntary prepayment of the loan in kind of approximately $10 million by transferring ownership of certain mining infrastructure assets to NYDIG if NYDIG enters into a binding agreement, facilitated by Greenidge, securing rights to a site for a future mining facility by April 30, 2023 (the "Post-Closing Covenant"), which may further reduce the principal balance of the debt to approximately $7 million.</w:t>
      </w:r>
    </w:p>
    <w:p>
      <w:pPr>
        <w:spacing w:after="0" w:line="23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restructuring of the NYDIG debt is expected to significantly improve Greenidge’s liquidity during 2023 as annual interest payments on the remaining $17.3 million principal balance will be $2.5 million and may be reduced to approximately $1.1 million annually if the Post-Closing Covenant is satisfied. This reduced debt service is substantially lower than the $62.7 million of principal and interest payments which would have been required in 2023 pursuant to the 2021 and 2022 MEFAs, both of which have now been refinanced.</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46" w:right="379" w:bottom="1440" w:gutter="0" w:footer="0" w:header="0"/>
        </w:sectPr>
      </w:pPr>
    </w:p>
    <w:bookmarkStart w:id="49" w:name="page50"/>
    <w:bookmarkEnd w:id="49"/>
    <w:p>
      <w:pPr>
        <w:jc w:val="both"/>
        <w:ind w:right="220"/>
        <w:spacing w:after="0" w:line="262" w:lineRule="auto"/>
        <w:rPr>
          <w:sz w:val="20"/>
          <w:szCs w:val="20"/>
          <w:color w:val="auto"/>
        </w:rPr>
      </w:pPr>
      <w:r>
        <w:rPr>
          <w:rFonts w:ascii="Arial" w:cs="Arial" w:eastAsia="Arial" w:hAnsi="Arial"/>
          <w:sz w:val="17"/>
          <w:szCs w:val="17"/>
          <w:color w:val="auto"/>
        </w:rPr>
        <w:t>Greenidge provided additional collateral to NYDIG on its remaining mining-related assets, infrastructure assets, equity of its subsidiaries and certain cash balances to secure the remaining debt balance with NYDIG. The Senior Secured Loan contains certain affirmative, negative and financial covenants, including the maintenance of a minimum cash balance of $10 million, early amortization events, and events of default.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NYDIG Hosting Arrangement</w:t>
      </w:r>
    </w:p>
    <w:p>
      <w:pPr>
        <w:spacing w:after="0" w:line="1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January 30, 2023, we entered into the Hosting Agreements with NYDIG affiliates, which will result in a material change to our current business strategy with us largely operating as a hosting facility and service provider for miners acquired from us by NYDIG affiliates pursuant to the Purchase Agreement. Under these agreements, we agreed to host, power and provide technical support services, and other related services, to NYDIG affiliates’ mining equipment at our facilities for a term of five years. The terms of such arrangements require NYDIG affiliates to pay a hosting fee that covers the cost of power and direct costs associated with management of the mining facilities, a hosting fee, as well as a gross profit-sharing arrangement. This allows us to participate in the upside as bitcoin prices rise, but reduces our downside risk of bitcoin price deterioration and cost increases related to natural gas. The arrangement covers all of our current mining capacity at the New York Facility and South Carolina Facility, and may also cover capacity at a potential third site pursuant to satisfaction of certain post-closing covenants. Our liquidity is also improved by NYDIG’s payment of a security deposit and prepayment of certain amounts.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 Riley Promissory Note</w:t>
      </w:r>
    </w:p>
    <w:p>
      <w:pPr>
        <w:spacing w:after="0" w:line="12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On January 30, 2023, we also entered into the Consent and Amendment No. 1 to the Promissory Note in favor of B. Riley ("Promissory Note Amendment") regarding $10.5 million of debt, including accrued interest, which included the following terms:</w:t>
      </w:r>
    </w:p>
    <w:p>
      <w:pPr>
        <w:spacing w:after="0" w:line="93" w:lineRule="exact"/>
        <w:rPr>
          <w:sz w:val="20"/>
          <w:szCs w:val="20"/>
          <w:color w:val="auto"/>
        </w:rPr>
      </w:pPr>
    </w:p>
    <w:p>
      <w:pPr>
        <w:ind w:left="320" w:right="880" w:hanging="314"/>
        <w:spacing w:after="0" w:line="251" w:lineRule="auto"/>
        <w:tabs>
          <w:tab w:leader="none" w:pos="2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 Riley purchased $1 million of our class A common stock on a principal basis at a price of $0.75 per share pursuant to the ATM Agreement;</w:t>
      </w:r>
    </w:p>
    <w:p>
      <w:pPr>
        <w:spacing w:after="0" w:line="83" w:lineRule="exact"/>
        <w:rPr>
          <w:rFonts w:ascii="Arial" w:cs="Arial" w:eastAsia="Arial" w:hAnsi="Arial"/>
          <w:sz w:val="18"/>
          <w:szCs w:val="18"/>
          <w:color w:val="auto"/>
        </w:rPr>
      </w:pPr>
    </w:p>
    <w:p>
      <w:pPr>
        <w:ind w:left="320" w:right="20" w:hanging="314"/>
        <w:spacing w:after="0" w:line="238" w:lineRule="auto"/>
        <w:tabs>
          <w:tab w:leader="none" w:pos="2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Atlas Holdings LLC purchased $1 million of our class A common stock at market prices through B. Riley acting in its capacity as sales agent pursuant to the ATM Agreement;</w:t>
      </w:r>
    </w:p>
    <w:p>
      <w:pPr>
        <w:spacing w:after="0" w:line="106" w:lineRule="exact"/>
        <w:rPr>
          <w:rFonts w:ascii="Arial" w:cs="Arial" w:eastAsia="Arial" w:hAnsi="Arial"/>
          <w:sz w:val="18"/>
          <w:szCs w:val="18"/>
          <w:color w:val="auto"/>
        </w:rPr>
      </w:pPr>
    </w:p>
    <w:p>
      <w:pPr>
        <w:ind w:left="300" w:hanging="294"/>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Greenidge made a principal payment of $1.9 million to B. Riley in February 2023;</w:t>
      </w:r>
    </w:p>
    <w:p>
      <w:pPr>
        <w:spacing w:after="0" w:line="97" w:lineRule="exact"/>
        <w:rPr>
          <w:rFonts w:ascii="Arial" w:cs="Arial" w:eastAsia="Arial" w:hAnsi="Arial"/>
          <w:sz w:val="18"/>
          <w:szCs w:val="18"/>
          <w:color w:val="auto"/>
        </w:rPr>
      </w:pPr>
    </w:p>
    <w:p>
      <w:pPr>
        <w:ind w:left="300" w:hanging="294"/>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further principal or interest payments are required to be made on the Promissory Note until June 2023;</w:t>
      </w:r>
    </w:p>
    <w:p>
      <w:pPr>
        <w:spacing w:after="0" w:line="97" w:lineRule="exact"/>
        <w:rPr>
          <w:rFonts w:ascii="Arial" w:cs="Arial" w:eastAsia="Arial" w:hAnsi="Arial"/>
          <w:sz w:val="18"/>
          <w:szCs w:val="18"/>
          <w:color w:val="auto"/>
        </w:rPr>
      </w:pPr>
    </w:p>
    <w:p>
      <w:pPr>
        <w:ind w:left="320" w:right="60" w:hanging="314"/>
        <w:spacing w:after="0"/>
        <w:tabs>
          <w:tab w:leader="none" w:pos="2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actively pursuing the sale of excess real estate that would be subdivided from the property currently housing mining equipment at the South Carolina Facility in order to apply such net proceeds to repay a portion of the Promissory Note. We estimate that we would repay approximately $6 to $7 million of the Promissory Note, if we were to complete a sale of the excess real estate;</w:t>
      </w:r>
    </w:p>
    <w:p>
      <w:pPr>
        <w:spacing w:after="0" w:line="94" w:lineRule="exact"/>
        <w:rPr>
          <w:rFonts w:ascii="Arial" w:cs="Arial" w:eastAsia="Arial" w:hAnsi="Arial"/>
          <w:sz w:val="18"/>
          <w:szCs w:val="18"/>
          <w:color w:val="auto"/>
        </w:rPr>
      </w:pPr>
    </w:p>
    <w:p>
      <w:pPr>
        <w:ind w:left="320" w:right="420" w:hanging="314"/>
        <w:spacing w:after="0" w:line="251" w:lineRule="auto"/>
        <w:tabs>
          <w:tab w:leader="none" w:pos="2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we repay a principal amount in excess of $6 million prior to June 20, 2023, the monthly loan payment commencing in June 2023 would be approximately $400,000 instead of the currently scheduled monthly amortization payments of $1.5 million;</w:t>
      </w:r>
    </w:p>
    <w:p>
      <w:pPr>
        <w:spacing w:after="0" w:line="83" w:lineRule="exact"/>
        <w:rPr>
          <w:rFonts w:ascii="Arial" w:cs="Arial" w:eastAsia="Arial" w:hAnsi="Arial"/>
          <w:sz w:val="18"/>
          <w:szCs w:val="18"/>
          <w:color w:val="auto"/>
        </w:rPr>
      </w:pPr>
    </w:p>
    <w:p>
      <w:pPr>
        <w:ind w:left="320" w:right="280" w:hanging="314"/>
        <w:spacing w:after="0"/>
        <w:tabs>
          <w:tab w:leader="none" w:pos="2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proceeds required to prepay the Promissory Note from sales of equity by us under the common stock purchase agreement (the "Equity Purchase Agreement") with B. Riley and the ATM Agreement have been reduced to 15%, improving our liquidity; and</w:t>
      </w:r>
    </w:p>
    <w:p>
      <w:pPr>
        <w:spacing w:after="0" w:line="94" w:lineRule="exact"/>
        <w:rPr>
          <w:rFonts w:ascii="Arial" w:cs="Arial" w:eastAsia="Arial" w:hAnsi="Arial"/>
          <w:sz w:val="18"/>
          <w:szCs w:val="18"/>
          <w:color w:val="auto"/>
        </w:rPr>
      </w:pPr>
    </w:p>
    <w:p>
      <w:pPr>
        <w:ind w:left="320" w:right="120" w:hanging="314"/>
        <w:spacing w:after="0" w:line="238" w:lineRule="auto"/>
        <w:tabs>
          <w:tab w:leader="none" w:pos="2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paid B. Riley a $1 million amendment fee payable by the delivery of our class A common stock to B. Riley, issuable at $0.75 per share, acquired on a principal basis under the ATM Agreement.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Opportunities</w:t>
      </w:r>
    </w:p>
    <w:p>
      <w:pPr>
        <w:spacing w:after="0" w:line="120" w:lineRule="exact"/>
        <w:rPr>
          <w:sz w:val="20"/>
          <w:szCs w:val="20"/>
          <w:color w:val="auto"/>
        </w:rPr>
      </w:pPr>
    </w:p>
    <w:p>
      <w:pPr>
        <w:jc w:val="both"/>
        <w:ind w:right="340"/>
        <w:spacing w:after="0" w:line="235" w:lineRule="auto"/>
        <w:rPr>
          <w:sz w:val="20"/>
          <w:szCs w:val="20"/>
          <w:color w:val="auto"/>
        </w:rPr>
      </w:pPr>
      <w:r>
        <w:rPr>
          <w:rFonts w:ascii="Arial" w:cs="Arial" w:eastAsia="Arial" w:hAnsi="Arial"/>
          <w:sz w:val="18"/>
          <w:szCs w:val="18"/>
          <w:color w:val="auto"/>
        </w:rPr>
        <w:t>Following the Refinancing, we own approximately 1.1 EH/s of mining capacity not being utilized at Greenidge's facilities, as substantially all datacenter capacity is dedicated to hosting as of February 2023. We are evaluating alternatives to deploy these miners at third-party hosted sites.</w:t>
      </w:r>
    </w:p>
    <w:p>
      <w:pPr>
        <w:spacing w:after="0" w:line="107"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As part of the agreements with NYDIG, we are proposing on further build outs in partnership with NYDIG in which we will serve as the primary contractor and engineer of the development of the site. We would then serve as the operator of the site under a separately negotiated hosting service agreement.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Results from Continuing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key components of our results from continuing operations during the years ended December 31, 2022 and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6"/>
                <w:szCs w:val="16"/>
                <w:color w:val="auto"/>
              </w:rPr>
            </w:pP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6"/>
                <w:szCs w:val="16"/>
                <w:color w:val="auto"/>
              </w:rPr>
            </w:pPr>
          </w:p>
        </w:tc>
      </w:tr>
      <w:tr>
        <w:trPr>
          <w:trHeight w:val="236"/>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89,979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97,325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185"/>
        </w:trPr>
        <w:tc>
          <w:tcPr>
            <w:tcW w:w="4840" w:type="dxa"/>
            <w:vAlign w:val="bottom"/>
          </w:tcPr>
          <w:p>
            <w:pPr>
              <w:ind w:left="20"/>
              <w:spacing w:after="0" w:line="185" w:lineRule="exact"/>
              <w:rPr>
                <w:sz w:val="20"/>
                <w:szCs w:val="20"/>
                <w:color w:val="auto"/>
              </w:rPr>
            </w:pPr>
            <w:r>
              <w:rPr>
                <w:rFonts w:ascii="Arial" w:cs="Arial" w:eastAsia="Arial" w:hAnsi="Arial"/>
                <w:sz w:val="18"/>
                <w:szCs w:val="18"/>
                <w:color w:val="auto"/>
              </w:rPr>
              <w:t>Cost of revenue (exclusive of depreciation and amortization</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6"/>
        </w:trPr>
        <w:tc>
          <w:tcPr>
            <w:tcW w:w="4840" w:type="dxa"/>
            <w:vAlign w:val="bottom"/>
          </w:tcPr>
          <w:p>
            <w:pPr>
              <w:ind w:left="20"/>
              <w:spacing w:after="0"/>
              <w:rPr>
                <w:sz w:val="20"/>
                <w:szCs w:val="20"/>
                <w:color w:val="auto"/>
              </w:rPr>
            </w:pPr>
            <w:r>
              <w:rPr>
                <w:rFonts w:ascii="Arial" w:cs="Arial" w:eastAsia="Arial" w:hAnsi="Arial"/>
                <w:sz w:val="18"/>
                <w:szCs w:val="18"/>
                <w:color w:val="auto"/>
              </w:rPr>
              <w:t>shown below)</w:t>
            </w: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59,839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28,390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23,989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35,136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8,474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315 %</w:t>
            </w: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380" w:type="dxa"/>
            <w:vAlign w:val="bottom"/>
          </w:tcPr>
          <w:p>
            <w:pPr>
              <w:spacing w:after="0"/>
              <w:rPr>
                <w:sz w:val="19"/>
                <w:szCs w:val="19"/>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176,307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176,307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16,694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3,688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353 %</w:t>
            </w: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38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(233,163)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32,784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(265,947)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484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(21,575)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(3,689)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6"/>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 related party</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4840" w:type="dxa"/>
            <w:vAlign w:val="bottom"/>
          </w:tcPr>
          <w:p>
            <w:pPr>
              <w:ind w:left="240"/>
              <w:spacing w:after="0"/>
              <w:rPr>
                <w:sz w:val="20"/>
                <w:szCs w:val="20"/>
                <w:color w:val="auto"/>
              </w:rPr>
            </w:pPr>
            <w:r>
              <w:rPr>
                <w:rFonts w:ascii="Arial" w:cs="Arial" w:eastAsia="Arial" w:hAnsi="Arial"/>
                <w:sz w:val="18"/>
                <w:szCs w:val="18"/>
                <w:color w:val="auto"/>
              </w:rPr>
              <w:t>(Loss) gain on sale of digital assets</w:t>
            </w:r>
          </w:p>
        </w:tc>
        <w:tc>
          <w:tcPr>
            <w:tcW w:w="38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5"/>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(21,576)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(3,283)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continuing operations before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(254,739)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29,501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15,002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7,901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90 %</w:t>
            </w: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(269,741)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21,600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(291,341)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4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Amounts (a)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Adjusted operating (loss) income from continuing operations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(38,898)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38,834</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(77,732)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margin from continuing operations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Adjusted net (loss) income from continuing operations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(60,421)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26,034</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(86,455)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Financial Data (a)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EBITDA (loss) from continuing operations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(198,028)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41,686</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(239,714)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42.8 %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4840" w:type="dxa"/>
            <w:vAlign w:val="bottom"/>
          </w:tcPr>
          <w:p>
            <w:pPr>
              <w:ind w:left="20"/>
              <w:spacing w:after="0"/>
              <w:rPr>
                <w:sz w:val="20"/>
                <w:szCs w:val="20"/>
                <w:color w:val="auto"/>
              </w:rPr>
            </w:pPr>
            <w:r>
              <w:rPr>
                <w:rFonts w:ascii="Arial" w:cs="Arial" w:eastAsia="Arial" w:hAnsi="Arial"/>
                <w:sz w:val="18"/>
                <w:szCs w:val="18"/>
                <w:color w:val="auto"/>
              </w:rPr>
              <w:t>Adjusted EBITDA (loss) from continuing operations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51,506</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(52,633)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52.9 %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left="640" w:right="240" w:hanging="316"/>
        <w:spacing w:after="0" w:line="248" w:lineRule="auto"/>
        <w:tabs>
          <w:tab w:leader="none" w:pos="6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Amounts and Other Financial Data are non-GAAP performance measures. A reconciliation of reported amounts to adjusted amounts can be found in the "Non-GAAP Measures and Reconciliations" section of this management discussion and analysis ("MD&amp;A").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Key Metrics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key metrics related to the years ended December 31,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8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3"/>
          </w:tcPr>
          <w:p>
            <w:pPr>
              <w:ind w:left="840"/>
              <w:spacing w:after="0"/>
              <w:rPr>
                <w:sz w:val="20"/>
                <w:szCs w:val="20"/>
                <w:color w:val="auto"/>
              </w:rPr>
            </w:pPr>
            <w:r>
              <w:rPr>
                <w:rFonts w:ascii="Arial" w:cs="Arial" w:eastAsia="Arial" w:hAnsi="Arial"/>
                <w:sz w:val="14"/>
                <w:szCs w:val="14"/>
                <w:b w:val="1"/>
                <w:bCs w:val="1"/>
                <w:color w:val="auto"/>
              </w:rPr>
              <w:t>Variance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46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 in thousands, except $ per MWh and average bitcoin price</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datacenter</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73,809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87,897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Power and capacity</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16,170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9,428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89,979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97,325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Components of revenue as % of total</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64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datacenter</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Power and capacity</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40" w:type="dxa"/>
            <w:vAlign w:val="bottom"/>
            <w:tcBorders>
              <w:top w:val="single" w:sz="8" w:color="CCEEFF"/>
              <w:bottom w:val="single" w:sz="8" w:color="CCEEFF"/>
            </w:tcBorders>
            <w:gridSpan w:val="3"/>
            <w:vMerge w:val="restart"/>
          </w:tcPr>
          <w:p>
            <w:pPr>
              <w:spacing w:after="0" w:line="172" w:lineRule="exact"/>
              <w:rPr>
                <w:sz w:val="20"/>
                <w:szCs w:val="20"/>
                <w:color w:val="auto"/>
              </w:rPr>
            </w:pPr>
            <w:r>
              <w:rPr>
                <w:rFonts w:ascii="Arial" w:cs="Arial" w:eastAsia="Arial" w:hAnsi="Arial"/>
                <w:sz w:val="18"/>
                <w:szCs w:val="18"/>
                <w:b w:val="1"/>
                <w:bCs w:val="1"/>
                <w:color w:val="auto"/>
              </w:rPr>
              <w:t>MWh</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464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datacenter</w:t>
            </w: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514,332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290,999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223,333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540" w:type="dxa"/>
            <w:vAlign w:val="bottom"/>
          </w:tcPr>
          <w:p>
            <w:pPr>
              <w:spacing w:after="0"/>
              <w:rPr>
                <w:sz w:val="19"/>
                <w:szCs w:val="19"/>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143,919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157,578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 per MWh</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Cryptocurrency datacenter</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302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4"/>
          </w:tcPr>
          <w:p>
            <w:pPr>
              <w:spacing w:after="0"/>
              <w:rPr>
                <w:sz w:val="20"/>
                <w:szCs w:val="20"/>
                <w:color w:val="auto"/>
              </w:rPr>
            </w:pPr>
            <w:r>
              <w:rPr>
                <w:rFonts w:ascii="Arial" w:cs="Arial" w:eastAsia="Arial" w:hAnsi="Arial"/>
                <w:sz w:val="18"/>
                <w:szCs w:val="18"/>
                <w:b w:val="1"/>
                <w:bCs w:val="1"/>
                <w:color w:val="auto"/>
                <w:w w:val="99"/>
              </w:rPr>
              <w:t>Cost of revenue (exclusive of depreciation and amortization)</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datacenter</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45,933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19,159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13,906</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9,231</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3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Cost of revenue per MWh (exclusive of depreciation and amortization)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Cryptocurrency datacenter</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gridSpan w:val="3"/>
          </w:tcPr>
          <w:p>
            <w:pPr>
              <w:spacing w:after="0" w:line="186" w:lineRule="exact"/>
              <w:rPr>
                <w:sz w:val="20"/>
                <w:szCs w:val="20"/>
                <w:color w:val="auto"/>
              </w:rPr>
            </w:pPr>
            <w:r>
              <w:rPr>
                <w:rFonts w:ascii="Arial" w:cs="Arial" w:eastAsia="Arial" w:hAnsi="Arial"/>
                <w:sz w:val="18"/>
                <w:szCs w:val="18"/>
                <w:b w:val="1"/>
                <w:bCs w:val="1"/>
                <w:color w:val="auto"/>
              </w:rPr>
              <w:t>Cryptocurrency Mining Metrics</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Bitcoins produced</w:t>
            </w:r>
          </w:p>
        </w:tc>
        <w:tc>
          <w:tcPr>
            <w:tcW w:w="20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Average bitcoin price</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hash rate (EH/s)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Average difficulty</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datacenter revenue</w:t>
      </w:r>
    </w:p>
    <w:p>
      <w:pPr>
        <w:spacing w:after="0" w:line="12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our cryptocurrency datacenter revenue, we generate electricity on-site from our power plants and use that electricity to power ASIC miners, generating bitcoin that we then exchange for U.S. dollars or hold in our wallet. Our cryptocurrency datacenter revenue decreased by $14.1 million, or 16%, to $73.8 million during the year ended December 31, 2022. The decrease was primarily attributable to 40% decrease in the average bitcoin price and a 49% increase in mining difficulty. Partially offsetting these items that decreased revenue was the expansion of our increased mining fleet resulting in a 132% increase in the average hash rate during the year ended December 31, 2022. We estimate that the change in average bitcoin price and the increase in the network difficulty reduced cryptocurrency datacenter revenue by approximately 62% and 33%, respectively, while the increase in the average hash rate benefited the cryptocurrency datacenter revenue by approximately 80%.</w:t>
      </w:r>
    </w:p>
    <w:p>
      <w:pPr>
        <w:spacing w:after="0" w:line="91"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increased average hash rate, partially offset by a higher average mining difficulty, led to us producing 2,731 bitcoins in 2022 as compared to 1,866 bitcoins in 2021.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Power and capacity revenue</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Power and capacity revenue at our New York Facility is earned when we sell capacity and energy and ancillary services to the wholesale power grid managed by the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Our power and capacity revenue increased $6.7 million, or 72%, to $16.2 million in 2022. This was a result of 87% higher price per MWh sold to the power grid in 2022, as compared to the prior period, partially offset by a 9% decline in volume. We estimate that the higher prices benefited the power and capacity revenues by approximately 75%, while the lower volume reduced revenues by approximately 9%. The power revenue in 2022 benefited from more severe weather in 2022. Additionally, power prices for energy provided to the wholesale power grid were higher in 2022 due to the pricing methodology that is based off of the cost of power, which increased in 2022 due to the higher cost of natural gas.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Pr>
          <w:p>
            <w:pPr>
              <w:spacing w:after="0"/>
              <w:rPr>
                <w:sz w:val="16"/>
                <w:szCs w:val="16"/>
                <w:color w:val="auto"/>
              </w:rPr>
            </w:pPr>
          </w:p>
        </w:tc>
        <w:tc>
          <w:tcPr>
            <w:tcW w:w="1620" w:type="dxa"/>
            <w:vAlign w:val="bottom"/>
            <w:gridSpan w:val="3"/>
          </w:tcPr>
          <w:p>
            <w:pPr>
              <w:ind w:left="84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Cryptocurrency datacenter</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45,933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19,159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Power and capacity</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13,906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9,231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165"/>
        </w:trPr>
        <w:tc>
          <w:tcPr>
            <w:tcW w:w="4860" w:type="dxa"/>
            <w:vAlign w:val="bottom"/>
            <w:shd w:val="clear" w:color="auto" w:fill="CCEEFF"/>
          </w:tcPr>
          <w:p>
            <w:pPr>
              <w:ind w:left="80"/>
              <w:spacing w:after="0" w:line="165" w:lineRule="exact"/>
              <w:rPr>
                <w:sz w:val="20"/>
                <w:szCs w:val="20"/>
                <w:color w:val="auto"/>
              </w:rPr>
            </w:pPr>
            <w:r>
              <w:rPr>
                <w:rFonts w:ascii="Arial" w:cs="Arial" w:eastAsia="Arial" w:hAnsi="Arial"/>
                <w:sz w:val="18"/>
                <w:szCs w:val="18"/>
                <w:color w:val="auto"/>
              </w:rPr>
              <w:t>Total cost of revenue (exclusive of depreciation and</w:t>
            </w:r>
          </w:p>
        </w:tc>
        <w:tc>
          <w:tcPr>
            <w:tcW w:w="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58"/>
              <w:spacing w:after="0"/>
              <w:rPr>
                <w:sz w:val="20"/>
                <w:szCs w:val="20"/>
                <w:color w:val="auto"/>
              </w:rPr>
            </w:pPr>
            <w:r>
              <w:rPr>
                <w:rFonts w:ascii="Arial" w:cs="Arial" w:eastAsia="Arial" w:hAnsi="Arial"/>
                <w:sz w:val="18"/>
                <w:szCs w:val="18"/>
                <w:color w:val="auto"/>
              </w:rPr>
              <w:t>59,839</w:t>
            </w:r>
          </w:p>
        </w:tc>
        <w:tc>
          <w:tcPr>
            <w:tcW w:w="8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28,390</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31,449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shd w:val="clear" w:color="auto" w:fill="CCEEFF"/>
          </w:tcPr>
          <w:p>
            <w:pPr>
              <w:ind w:left="80"/>
              <w:spacing w:after="0" w:line="200" w:lineRule="exact"/>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i w:val="1"/>
                <w:iCs w:val="1"/>
                <w:color w:val="auto"/>
              </w:rPr>
              <w:t>As a percentage of total revenue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66.5 %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29.2 %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Total cost of revenue, exclusive of depreciation and amortization, increased $31.4 million, or 111%, to $59.8 million during the year ended December 31, 2022 as compared to the prior year period. The cost of revenue per MWh (exclusive of depreciation and amortization) increased 35% for our cryptocurrency datacenter operations and 64% for our power and capacity operations due to a significant increase in the natural gas cost per dekatherm, which increased 83% during the year ended December 31, 2022 as compared to the same period in 2021. Cryptocurrency datacenter cost of sales also increased as a result of a 77% increase in overall MWh usage due to the expansion of our mining fleet, including the South Carolina expansion which began in December 2021.</w:t>
      </w:r>
    </w:p>
    <w:p>
      <w:pPr>
        <w:spacing w:after="0" w:line="21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Total cost of revenue as a percentage of total revenue increased primarily due to the impact of the higher cost of natural gas combined with the lower price of bitcoin.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9"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Selling, general and administrative expenses increased $13.0 million, or 54%, to $36.9 million during the year ended December 31, 2022 as compared to the prior year period. The main drivers of the increase in selling, general and administrative expenses were:</w:t>
      </w:r>
    </w:p>
    <w:p>
      <w:pPr>
        <w:spacing w:after="0" w:line="150" w:lineRule="exact"/>
        <w:rPr>
          <w:sz w:val="20"/>
          <w:szCs w:val="20"/>
          <w:color w:val="auto"/>
        </w:rPr>
      </w:pPr>
    </w:p>
    <w:p>
      <w:pPr>
        <w:ind w:left="640" w:right="260" w:hanging="316"/>
        <w:spacing w:after="0" w:line="248" w:lineRule="auto"/>
        <w:tabs>
          <w:tab w:leader="none" w:pos="6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legal and professional fees of $6.5 million due to increased legal and regulatory costs associated with permit renewals and environmental matters at the New York plant, legal and consulting costs associated with potential expansion opportunities and other accounting and consulting fees associated with being a public company.</w:t>
      </w:r>
    </w:p>
    <w:p>
      <w:pPr>
        <w:spacing w:after="0" w:line="100" w:lineRule="exact"/>
        <w:rPr>
          <w:rFonts w:ascii="Arial" w:cs="Arial" w:eastAsia="Arial" w:hAnsi="Arial"/>
          <w:sz w:val="18"/>
          <w:szCs w:val="18"/>
          <w:color w:val="auto"/>
        </w:rPr>
      </w:pPr>
    </w:p>
    <w:p>
      <w:pPr>
        <w:ind w:left="640" w:right="220" w:hanging="316"/>
        <w:spacing w:after="0" w:line="248" w:lineRule="auto"/>
        <w:tabs>
          <w:tab w:leader="none" w:pos="6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employee-related costs increased $4.2 million as a result of increased headcount, including the addition and expansion of executive level positions required to operate as a public company as well as increases in order to match the growth in the operational footprint of the business.</w:t>
      </w:r>
    </w:p>
    <w:p>
      <w:pPr>
        <w:spacing w:after="0" w:line="100" w:lineRule="exact"/>
        <w:rPr>
          <w:rFonts w:ascii="Arial" w:cs="Arial" w:eastAsia="Arial" w:hAnsi="Arial"/>
          <w:sz w:val="18"/>
          <w:szCs w:val="18"/>
          <w:color w:val="auto"/>
        </w:rPr>
      </w:pPr>
    </w:p>
    <w:p>
      <w:pPr>
        <w:ind w:left="640" w:right="60" w:hanging="316"/>
        <w:spacing w:after="0" w:line="248" w:lineRule="auto"/>
        <w:tabs>
          <w:tab w:leader="none" w:pos="6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insurance costs of $3.9 million due to increased premiums for new policies entered into at the time of the merger for directors and officers insurance, as well as increased premiums on property insurance as a result of 2022 capital expenditures and the addition of the South Carolina Facility in December 2021, increasing the asset base.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 lower share-based compensation of $1.1 million.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9"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Depreciation and amortization increased $26.7 million, or 315%, to $35.1 million for the year ended December 31, 2022 as compared to the prior year period due to the purchase and deployment of additional miners and associated infrastructure. Additionally, in conjunction with the recognition of an impairment of long-lived assets as of June 30, 2022, we changed our depreciable lives effective July 1, 2022, resulting in higher depreciation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As a result of the significant reduction in the price of bitcoin and increased energy prices during the year ended December 31, 2022, we recognized impairment charges of $176.3 million associated with long-lived assets to reduce the net book value of the Company to fair value. See Note 5,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in the Notes to Consolidated Financial Statements for a further discussion of the impairment.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Remeasurement of environmental liabilities</w:t>
      </w:r>
    </w:p>
    <w:p>
      <w:pPr>
        <w:spacing w:after="0" w:line="23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During the year ended December 31, 2022, we recognized a charge of $16.7 million for the remeasurement of environmental liabilities. The charge consisted of a $14.8 million increase to the coal ash pond liability at our New York facility due to a change in the planned approach as a result of new regulations and new information that became available regarding the site, as well as due to inflationary increases due to higher projected construction costs. The remaining $1.9 million of the charge was associated with an update in the cost estimates associated with our landfill primarily due to inflation driven increases to the remediation cost estimates.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Consolidated Financial Statements under the "</w:t>
      </w:r>
      <w:r>
        <w:rPr>
          <w:rFonts w:ascii="Arial" w:cs="Arial" w:eastAsia="Arial" w:hAnsi="Arial"/>
          <w:sz w:val="18"/>
          <w:szCs w:val="18"/>
          <w:i w:val="1"/>
          <w:iCs w:val="1"/>
          <w:color w:val="auto"/>
        </w:rPr>
        <w:t>Environmental Liabilities"</w:t>
      </w:r>
      <w:r>
        <w:rPr>
          <w:rFonts w:ascii="Arial" w:cs="Arial" w:eastAsia="Arial" w:hAnsi="Arial"/>
          <w:sz w:val="18"/>
          <w:szCs w:val="18"/>
          <w:color w:val="auto"/>
        </w:rPr>
        <w:t xml:space="preserve"> section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income from continuing operations</w:t>
      </w:r>
    </w:p>
    <w:p>
      <w:pPr>
        <w:spacing w:after="0" w:line="133" w:lineRule="exact"/>
        <w:rPr>
          <w:sz w:val="20"/>
          <w:szCs w:val="20"/>
          <w:color w:val="auto"/>
        </w:rPr>
      </w:pPr>
    </w:p>
    <w:p>
      <w:pPr>
        <w:ind w:right="760"/>
        <w:spacing w:after="0" w:line="251" w:lineRule="auto"/>
        <w:rPr>
          <w:sz w:val="20"/>
          <w:szCs w:val="20"/>
          <w:color w:val="auto"/>
        </w:rPr>
      </w:pPr>
      <w:r>
        <w:rPr>
          <w:rFonts w:ascii="Arial" w:cs="Arial" w:eastAsia="Arial" w:hAnsi="Arial"/>
          <w:sz w:val="18"/>
          <w:szCs w:val="18"/>
          <w:color w:val="auto"/>
        </w:rPr>
        <w:t>As a result of the factors described above, operating (loss) income from continuing operations was $(233.2) million for the year ended December 31, 2022 as compared to $32.8 million for the year ended December 31, 2021.</w:t>
      </w:r>
    </w:p>
    <w:p>
      <w:pPr>
        <w:spacing w:after="0" w:line="20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Adjusted operating loss from continuing operations was $38.9 million for the year ended December 31, 2022, compared to adjusted income from continuing operations of $38.8 million for same period in 2021. Adjusted income from continuing operations is a non-GAAP performance measure. A reconciliation of reported amounts to adjusted amounts can be found in the "Non-GAAP Measures and Reconciliations" section of this MD&amp;A.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33"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auto"/>
        </w:rPr>
        <w:t>During the year ended December 31, 2022, other expense, net increased $18.3 million, or 557%, to $21.6 million primarily due to increased interest expense associated with the incurrence of debt to finance the expansion of the mining fleet.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2022, we recognized an income tax provision of $15.0 million, or an effective tax rate of (5.9)% due to the recording of a $15.0 million charge for a valuation allowance for the deferred tax assets.</w:t>
      </w:r>
    </w:p>
    <w:p>
      <w:pPr>
        <w:spacing w:after="0" w:line="97"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In 2021, we recognized an income tax provision of $7.9 million, or an effective tax rate of 26.8%, which is not significantly different from the blended federal and state statutory tax rates.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from Continuing Operations</w:t>
      </w:r>
    </w:p>
    <w:p>
      <w:pPr>
        <w:spacing w:after="0" w:line="133" w:lineRule="exact"/>
        <w:rPr>
          <w:sz w:val="20"/>
          <w:szCs w:val="20"/>
          <w:color w:val="auto"/>
        </w:rPr>
      </w:pPr>
    </w:p>
    <w:p>
      <w:pPr>
        <w:ind w:right="600"/>
        <w:spacing w:after="0" w:line="251" w:lineRule="auto"/>
        <w:rPr>
          <w:sz w:val="20"/>
          <w:szCs w:val="20"/>
          <w:color w:val="auto"/>
        </w:rPr>
      </w:pPr>
      <w:r>
        <w:rPr>
          <w:rFonts w:ascii="Arial" w:cs="Arial" w:eastAsia="Arial" w:hAnsi="Arial"/>
          <w:sz w:val="18"/>
          <w:szCs w:val="18"/>
          <w:color w:val="auto"/>
        </w:rPr>
        <w:t>As a result of the factors described above, net (loss) income from continuing operations increased to $(269.7) million for the year ended December 31, 2022 as compared to $21.6 million for the year ended December 31, 2021.</w:t>
      </w:r>
    </w:p>
    <w:p>
      <w:pPr>
        <w:spacing w:after="0" w:line="20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an adjusted basis, excluding the after-tax impact of the impairment of long-lived assets, the remeasurement of environmental liabilities and the tax charge for the recognition of a valuation allowance on deferred tax assets, adjusted net (loss) income from continuing operations during 2022 would have been $(60.4) million as compared to $26.0 million in the same period in 2021. Adjusted net (loss) income is a non-GAAP performance measure. A reconciliation of reported amounts to adjusted amounts can be found in the "</w:t>
      </w:r>
      <w:r>
        <w:rPr>
          <w:rFonts w:ascii="Arial" w:cs="Arial" w:eastAsia="Arial" w:hAnsi="Arial"/>
          <w:sz w:val="18"/>
          <w:szCs w:val="18"/>
          <w:i w:val="1"/>
          <w:iCs w:val="1"/>
          <w:color w:val="auto"/>
        </w:rPr>
        <w:t>Non-GAAP Measures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Reconciliations</w:t>
      </w:r>
      <w:r>
        <w:rPr>
          <w:rFonts w:ascii="Arial" w:cs="Arial" w:eastAsia="Arial" w:hAnsi="Arial"/>
          <w:sz w:val="18"/>
          <w:szCs w:val="18"/>
          <w:color w:val="auto"/>
        </w:rPr>
        <w:t>" section of this MD&amp;A.</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30" w:right="3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18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conjunction with the Company's decision to pursue alternatives, including a sale of Support.com, we have reported the Support.com business as discontinued operations in the consolidated financial statements. Loss from discontinued operations, net of tax was $1.3 million for the year ended December 31, 2022, as compared to a loss of $66.1 million for the year ended December 31, 2021. The loss from discontinued operations during 2021 was driven by a $42.3 million noncash charge for the impairment of goodwill and $32.3 million of merger and other costs, $26.6 million of which was associated with noncash charges for the issuance of common stock and warrants for investor and advisor fees.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and Reconciliations</w:t>
      </w:r>
    </w:p>
    <w:p>
      <w:pPr>
        <w:spacing w:after="0" w:line="133"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U.S. GAAP.</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(loss) from continuing operations and Adjusted EBITDA (loss) from continuing operations</w:t>
      </w:r>
    </w:p>
    <w:p>
      <w:pPr>
        <w:spacing w:after="0" w:line="13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"EBITDA from continuing operations" is defined as earnings from continuing operations before taxes, interest, and depreciation and amortization. "Adjusted EBITDA from continuing operations" is defined as EBITDA from continuing operations adjusted for stock-based compensation and other special items determined by management, including, but not limited to business expansion costs, impairments of long-lived assets, remeasurement of environmental liabilities and restructuring as they are not indicative of business operations. Adjusted EBITDA is intended as a supplemental measure of our performance that is neither required by, nor presented in accordance with, U.S.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 of net loss (income) to EBITDA (loss) and Adjusted EBITDA below and not rely on any single financial measure to evaluate our business. The reported amounts in the table below are from our Consolidated Statements of Operations in our Consolidated Financial Statements included in this Annual Report on Form 10-K.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0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Pr>
          <w:p>
            <w:pPr>
              <w:spacing w:after="0"/>
              <w:rPr>
                <w:sz w:val="16"/>
                <w:szCs w:val="16"/>
                <w:color w:val="auto"/>
              </w:rPr>
            </w:pPr>
          </w:p>
        </w:tc>
        <w:tc>
          <w:tcPr>
            <w:tcW w:w="1620" w:type="dxa"/>
            <w:vAlign w:val="bottom"/>
            <w:gridSpan w:val="3"/>
          </w:tcPr>
          <w:p>
            <w:pPr>
              <w:ind w:left="84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6"/>
                <w:szCs w:val="16"/>
                <w:color w:val="auto"/>
              </w:rPr>
            </w:pPr>
          </w:p>
        </w:tc>
      </w:tr>
      <w:tr>
        <w:trPr>
          <w:trHeight w:val="204"/>
        </w:trPr>
        <w:tc>
          <w:tcPr>
            <w:tcW w:w="48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r>
      <w:tr>
        <w:trPr>
          <w:trHeight w:val="211"/>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 (loss) from continuing operations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Operating (loss) income from continuing operations</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(233,163)</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32,784</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(265,947)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long-lived assets</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176,307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480" w:type="dxa"/>
            <w:vAlign w:val="bottom"/>
          </w:tcPr>
          <w:p>
            <w:pPr>
              <w:spacing w:after="0"/>
              <w:rPr>
                <w:sz w:val="19"/>
                <w:szCs w:val="19"/>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16,694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353 %</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Expansion costs</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480" w:type="dxa"/>
            <w:vAlign w:val="bottom"/>
          </w:tcPr>
          <w:p>
            <w:pPr>
              <w:spacing w:after="0"/>
              <w:rPr>
                <w:sz w:val="19"/>
                <w:szCs w:val="19"/>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9"/>
        </w:trPr>
        <w:tc>
          <w:tcPr>
            <w:tcW w:w="4820" w:type="dxa"/>
            <w:vAlign w:val="bottom"/>
          </w:tcPr>
          <w:p>
            <w:pPr>
              <w:ind w:left="20"/>
              <w:spacing w:after="0"/>
              <w:rPr>
                <w:sz w:val="20"/>
                <w:szCs w:val="20"/>
                <w:color w:val="auto"/>
              </w:rPr>
            </w:pPr>
            <w:r>
              <w:rPr>
                <w:rFonts w:ascii="Arial" w:cs="Arial" w:eastAsia="Arial" w:hAnsi="Arial"/>
                <w:sz w:val="18"/>
                <w:szCs w:val="18"/>
                <w:color w:val="auto"/>
                <w:w w:val="99"/>
              </w:rPr>
              <w:t>Adjusted operating (loss) income from continuing operations</w:t>
            </w: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(38,898)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38,834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218"/>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Adjusted operating margin</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39.9 %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65"/>
        </w:trPr>
        <w:tc>
          <w:tcPr>
            <w:tcW w:w="4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(loss) income from continuing operations</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(269,741)</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21,600</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(291,341)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long-lived assets, after tax</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176,307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Remeasurement of environmental liability, after tax</w:t>
            </w:r>
          </w:p>
        </w:tc>
        <w:tc>
          <w:tcPr>
            <w:tcW w:w="480" w:type="dxa"/>
            <w:vAlign w:val="bottom"/>
          </w:tcPr>
          <w:p>
            <w:pPr>
              <w:spacing w:after="0"/>
              <w:rPr>
                <w:sz w:val="19"/>
                <w:szCs w:val="19"/>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16,694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13,991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518 %</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Expansion costs, after tax</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Restructuring, after tax</w:t>
            </w:r>
          </w:p>
        </w:tc>
        <w:tc>
          <w:tcPr>
            <w:tcW w:w="480" w:type="dxa"/>
            <w:vAlign w:val="bottom"/>
          </w:tcPr>
          <w:p>
            <w:pPr>
              <w:spacing w:after="0"/>
              <w:rPr>
                <w:sz w:val="19"/>
                <w:szCs w:val="19"/>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 after tax</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Tax charge for valuation allowance</w:t>
            </w:r>
          </w:p>
        </w:tc>
        <w:tc>
          <w:tcPr>
            <w:tcW w:w="480" w:type="dxa"/>
            <w:vAlign w:val="bottom"/>
          </w:tcPr>
          <w:p>
            <w:pPr>
              <w:spacing w:after="0"/>
              <w:rPr>
                <w:sz w:val="19"/>
                <w:szCs w:val="19"/>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15,055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4"/>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(loss) income from continuing operations</w:t>
            </w: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(60,421)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26,034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0"/>
        </w:trPr>
        <w:tc>
          <w:tcPr>
            <w:tcW w:w="64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12"/>
        </w:trPr>
        <w:tc>
          <w:tcPr>
            <w:tcW w:w="48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65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EBITDA (loss) and Adjusted EBITDA (loss)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(269,741)</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21,600</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(291,341)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7,901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spacing w:after="0"/>
              <w:rPr>
                <w:sz w:val="19"/>
                <w:szCs w:val="19"/>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21,575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17,864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481 %</w:t>
            </w: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35,136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8,474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r>
      <w:tr>
        <w:trPr>
          <w:trHeight w:val="219"/>
        </w:trPr>
        <w:tc>
          <w:tcPr>
            <w:tcW w:w="4820" w:type="dxa"/>
            <w:vAlign w:val="bottom"/>
          </w:tcPr>
          <w:p>
            <w:pPr>
              <w:ind w:left="240"/>
              <w:spacing w:after="0"/>
              <w:rPr>
                <w:sz w:val="20"/>
                <w:szCs w:val="20"/>
                <w:color w:val="auto"/>
              </w:rPr>
            </w:pPr>
            <w:r>
              <w:rPr>
                <w:rFonts w:ascii="Arial" w:cs="Arial" w:eastAsia="Arial" w:hAnsi="Arial"/>
                <w:sz w:val="18"/>
                <w:szCs w:val="18"/>
                <w:color w:val="auto"/>
              </w:rPr>
              <w:t>EBITDA (loss) from continuing operations</w:t>
            </w:r>
          </w:p>
        </w:tc>
        <w:tc>
          <w:tcPr>
            <w:tcW w:w="48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(198,028)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41,686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(239,714)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480" w:type="dxa"/>
            <w:vAlign w:val="bottom"/>
          </w:tcPr>
          <w:p>
            <w:pPr>
              <w:spacing w:after="0"/>
              <w:rPr>
                <w:sz w:val="19"/>
                <w:szCs w:val="19"/>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176,307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176,307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environmental liability</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Expansion costs</w:t>
            </w:r>
          </w:p>
        </w:tc>
        <w:tc>
          <w:tcPr>
            <w:tcW w:w="480" w:type="dxa"/>
            <w:vAlign w:val="bottom"/>
          </w:tcPr>
          <w:p>
            <w:pPr>
              <w:spacing w:after="0"/>
              <w:rPr>
                <w:sz w:val="19"/>
                <w:szCs w:val="19"/>
                <w:color w:val="auto"/>
              </w:rPr>
            </w:pPr>
          </w:p>
        </w:tc>
        <w:tc>
          <w:tcPr>
            <w:tcW w:w="1140" w:type="dxa"/>
            <w:vAlign w:val="bottom"/>
          </w:tcPr>
          <w:p>
            <w:pPr>
              <w:jc w:val="right"/>
              <w:ind w:right="193"/>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48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4"/>
        </w:trPr>
        <w:tc>
          <w:tcPr>
            <w:tcW w:w="48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 (loss) from continuing operations</w:t>
            </w: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(1,127)</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51,506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30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Cryptocurrency datacenter revenue per MWh and power and capacity revenue per MWh are used by management to consider the extent to which we may generate electricity to either produce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 Depreciation and amortization costs are excluded from the cost of revenue (exclusive of depreciation and amortization) per MWh metric; therefore, not all cost of revenues for cryptocurrency datacenter and power and capacity are fully reflected. To the extent any other cryptocurrency datacenters are public or may go public, the cost of revenue (exclusive of depreciation and amortization) per MWh metric may not be comparable because some competitors may include depreciation in their cost of revenue figures.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3"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On December 31, 2022, we had cash and cash equivalents of $15.2 million. To date, we have primarily relied on debt and equity financing to fund our operations, including meeting ongoing working capital needs. During 2022, we obtained approximately $107.1 million of additional financings, net of debt issuance costs, through two different agreements described in Note 6, "Debt", in the Notes to Consolidated Financial Statements.</w:t>
      </w:r>
    </w:p>
    <w:p>
      <w:pPr>
        <w:spacing w:after="0" w:line="20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Despite the additional financings obtained during 2022, our ability to continue as a going concern is dependent upon generating profitable operations in the future and/or obtaining the necessary financing to meet our obligations and repay our liabilities arising from normal business operations when they come due.</w:t>
      </w:r>
    </w:p>
    <w:p>
      <w:pPr>
        <w:spacing w:after="0" w:line="20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Our operating cash flows are affected by several factors including the price of bitcoin, cost of electricity, natural gas and emissions credits. During the year ended December 31, 2022, our profit and cash flows were impacted significantly by volatility in the prices of bitcoin and natural gas. As a result, management took certain actions during the second half of 2022 and during the first quarter of 2023 to improve the Company's liquidity.</w:t>
      </w: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our efforts to improve liquidity, on January 30, 2023, we entered into debt restructuring agreements with NYDIG and B. Riley. We also raised equity through issuances of our class A common stock under the ATM Agreement. See "</w:t>
      </w:r>
      <w:r>
        <w:rPr>
          <w:rFonts w:ascii="Arial" w:cs="Arial" w:eastAsia="Arial" w:hAnsi="Arial"/>
          <w:sz w:val="18"/>
          <w:szCs w:val="18"/>
          <w:i w:val="1"/>
          <w:iCs w:val="1"/>
          <w:color w:val="auto"/>
        </w:rPr>
        <w:t>Recent Transactions</w:t>
      </w:r>
      <w:r>
        <w:rPr>
          <w:rFonts w:ascii="Arial" w:cs="Arial" w:eastAsia="Arial" w:hAnsi="Arial"/>
          <w:sz w:val="18"/>
          <w:szCs w:val="18"/>
          <w:color w:val="auto"/>
        </w:rPr>
        <w:t>" for further details.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January 30, 2023, we entered into the Purchase Agreement, the Senior Secured Loan and the Debt Settlement Agreement regarding our MEFAs with NYDIG. The effect of these agreements was to transfer ownership of bitcoin mining equipment that was secured by the MEFAs and certain credits and coupons that had accrued to Greenidge for previous purchases of mining equipment with a bitcoin miner manufacturer. The transfer of these assets reduced the principal and accrued interest balance of the secured debt with NYDIG from approximately $75.8 million to approximately $17.3 million, for an aggregate debt reduction of $58.5 million. The Senior Secured Loan allows for a voluntary prepayment of the loan in kind of approximately $10 million by completing the Post-Closing Covenant, which may further reduce the principal balance of the debt to approximately $7 million.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restructuring of the NYDIG debt is expected to significantly improve Greenidge’s liquidity during 2023 as annual interest payments on the remaining approximately $17.3 million principal balance will be approximately $2.5 million and may be reduced to approximately $1.1 million annually if the Post-Closing Covenant is satisfied. This reduced debt service is substantially lower than the $62.7 million of principal and interest payments which would have been required in 2023 pursuant to the 2021 and 2022 MEFAs, both of which have now been refinanced.</w:t>
      </w:r>
    </w:p>
    <w:p>
      <w:pPr>
        <w:spacing w:after="0" w:line="186"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On January 30, 2023, we also entered into the Promissory Note Amendment with B. Riley regarding $10.6 million of debt, including accrued interest, which included the following terms:</w:t>
      </w:r>
    </w:p>
    <w:p>
      <w:pPr>
        <w:spacing w:after="0" w:line="71" w:lineRule="exact"/>
        <w:rPr>
          <w:sz w:val="20"/>
          <w:szCs w:val="20"/>
          <w:color w:val="auto"/>
        </w:rPr>
      </w:pPr>
    </w:p>
    <w:p>
      <w:pPr>
        <w:ind w:left="320" w:right="900" w:hanging="314"/>
        <w:spacing w:after="0" w:line="222" w:lineRule="auto"/>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 Riley purchased $1 million of our class A common stock on a principal basis at a price of $0.75 per share pursuant to the ATM Agreement;</w:t>
      </w:r>
    </w:p>
    <w:p>
      <w:pPr>
        <w:spacing w:after="0" w:line="80" w:lineRule="exact"/>
        <w:rPr>
          <w:rFonts w:ascii="Arial" w:cs="Arial" w:eastAsia="Arial" w:hAnsi="Arial"/>
          <w:sz w:val="18"/>
          <w:szCs w:val="18"/>
          <w:color w:val="auto"/>
        </w:rPr>
      </w:pPr>
    </w:p>
    <w:p>
      <w:pPr>
        <w:ind w:left="320" w:right="40" w:hanging="314"/>
        <w:spacing w:after="0" w:line="222" w:lineRule="auto"/>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Atlas Holdings LLC purchased $1 million of our class A common stock at market prices through B. Riley acting in its capacity as sales agent pursuant to the ATM Agreement;</w:t>
      </w:r>
    </w:p>
    <w:p>
      <w:pPr>
        <w:spacing w:after="0" w:line="67" w:lineRule="exact"/>
        <w:rPr>
          <w:rFonts w:ascii="Arial" w:cs="Arial" w:eastAsia="Arial" w:hAnsi="Arial"/>
          <w:sz w:val="18"/>
          <w:szCs w:val="18"/>
          <w:color w:val="auto"/>
        </w:rPr>
      </w:pPr>
    </w:p>
    <w:p>
      <w:pPr>
        <w:ind w:left="300" w:hanging="294"/>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Greenidge made a principal payment of $1.9 million to B. Riley in February 2023;</w:t>
      </w:r>
    </w:p>
    <w:p>
      <w:pPr>
        <w:spacing w:after="0" w:line="84" w:lineRule="exact"/>
        <w:rPr>
          <w:rFonts w:ascii="Arial" w:cs="Arial" w:eastAsia="Arial" w:hAnsi="Arial"/>
          <w:sz w:val="18"/>
          <w:szCs w:val="18"/>
          <w:color w:val="auto"/>
        </w:rPr>
      </w:pPr>
    </w:p>
    <w:p>
      <w:pPr>
        <w:ind w:left="300" w:hanging="294"/>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further principal or interest payments are required to be made on the Promissory Note until June 2023;</w:t>
      </w:r>
    </w:p>
    <w:p>
      <w:pPr>
        <w:spacing w:after="0" w:line="71" w:lineRule="exact"/>
        <w:rPr>
          <w:rFonts w:ascii="Arial" w:cs="Arial" w:eastAsia="Arial" w:hAnsi="Arial"/>
          <w:sz w:val="18"/>
          <w:szCs w:val="18"/>
          <w:color w:val="auto"/>
        </w:rPr>
      </w:pPr>
    </w:p>
    <w:p>
      <w:pPr>
        <w:ind w:left="320" w:right="80" w:hanging="314"/>
        <w:spacing w:after="0" w:line="220" w:lineRule="auto"/>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actively pursuing the sale of excess real estate that would be subdivided from the property currently housing mining equipment at the South Carolina Facility in order to apply such net proceeds to repay a portion of the Promissory Note. We estimate that we would repay approximately $6 to $7 million of the Promissory Note if we were to complete a sale of the excess real estate;</w:t>
      </w:r>
    </w:p>
    <w:p>
      <w:pPr>
        <w:spacing w:after="0" w:line="66" w:lineRule="exact"/>
        <w:rPr>
          <w:rFonts w:ascii="Arial" w:cs="Arial" w:eastAsia="Arial" w:hAnsi="Arial"/>
          <w:sz w:val="18"/>
          <w:szCs w:val="18"/>
          <w:color w:val="auto"/>
        </w:rPr>
      </w:pPr>
    </w:p>
    <w:p>
      <w:pPr>
        <w:ind w:left="320" w:right="440" w:hanging="314"/>
        <w:spacing w:after="0" w:line="222" w:lineRule="auto"/>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we repay a principal amount in excess of $6 million prior to June 20, 2023, the monthly loan payment commencing in June 2023 would be approximately $400,000 instead of the currently scheduled monthly amortization payments of $1.5 million;</w:t>
      </w:r>
    </w:p>
    <w:p>
      <w:pPr>
        <w:spacing w:after="0" w:line="80" w:lineRule="exact"/>
        <w:rPr>
          <w:rFonts w:ascii="Arial" w:cs="Arial" w:eastAsia="Arial" w:hAnsi="Arial"/>
          <w:sz w:val="18"/>
          <w:szCs w:val="18"/>
          <w:color w:val="auto"/>
        </w:rPr>
      </w:pPr>
    </w:p>
    <w:p>
      <w:pPr>
        <w:ind w:left="320" w:right="160" w:hanging="314"/>
        <w:spacing w:after="0" w:line="222" w:lineRule="auto"/>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proceeds required to prepay the Promissory Note from sales of equity by us under the Equity Purchase Agreement and the ATM Agreement have been reduced to 15%, improving our liquidity; and</w:t>
      </w:r>
    </w:p>
    <w:p>
      <w:pPr>
        <w:spacing w:after="0" w:line="67" w:lineRule="exact"/>
        <w:rPr>
          <w:rFonts w:ascii="Arial" w:cs="Arial" w:eastAsia="Arial" w:hAnsi="Arial"/>
          <w:sz w:val="18"/>
          <w:szCs w:val="18"/>
          <w:color w:val="auto"/>
        </w:rPr>
      </w:pPr>
    </w:p>
    <w:p>
      <w:pPr>
        <w:ind w:left="320" w:right="240" w:hanging="314"/>
        <w:spacing w:after="0" w:line="230" w:lineRule="auto"/>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paid B. Riley a $1 million amendment fee payable by the delivery of our class A common stock to B. Riley issuable at $0.75 per share acquired on a principal basis under the ATM Agreement.</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See "Recent Transactions" and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Consolidated Financial Statements for further details.</w:t>
      </w:r>
    </w:p>
    <w:p>
      <w:pPr>
        <w:spacing w:after="0" w:line="22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Since October 2021 and through September 2022, we received proceeds of $59.8 million from sales of class A common stock under the 2021 Purchase Agreement and the Equity Purchase Agreement, of which $8.9 million proceeds, net of discounts, was received in 2022. Since September 30, 2022 through March 30, 2023, we received net proceeds of $10.2 million from sales of class A common stock under the ATM Agreement, of which $2.1 million proceeds, net of commissions, was received in 2022. See Note 7,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Consolidated Financial Statements for further details. During the first quarter of 2023, we repaid $2.8 million of the Promissory Note, including the $1.9 million repayment mentioned previously, as a result of the net proceeds received from sales of class A common stock under the ATM Agreement.</w:t>
      </w:r>
    </w:p>
    <w:p>
      <w:pPr>
        <w:spacing w:after="0" w:line="21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In addition, we sold equipment, coupons and certain environmental credits for total proceeds of $11.7 million from the second quarter of 2022 through the first quarter of 2023 to raise additional funds.</w:t>
      </w:r>
    </w:p>
    <w:p>
      <w:pPr>
        <w:spacing w:after="0" w:line="203"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In conjunction with the Refinancing, we also entered into Hosting Agreements with NYDIG affiliates on January 30, 2023, which is expected to improve our liquidity position, as it provided for cost reimbursements for key input costs, while allowing us to participate in the upside as bitcoin prices rise.</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Despite these improvements to our financial condition, we expect we will require additional capital in order to meet the commitments in the table below. Management continues to assess different options to improve liquidity including, but not limited to:</w:t>
      </w:r>
    </w:p>
    <w:p>
      <w:pPr>
        <w:spacing w:after="0" w:line="97" w:lineRule="exact"/>
        <w:rPr>
          <w:sz w:val="20"/>
          <w:szCs w:val="20"/>
          <w:color w:val="auto"/>
        </w:rPr>
      </w:pPr>
    </w:p>
    <w:p>
      <w:pPr>
        <w:ind w:left="620" w:hanging="296"/>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issuances of equity, including but not limited to issuances under the Equity Purchase Agreement and/or the ATM Agreement;</w:t>
      </w:r>
    </w:p>
    <w:p>
      <w:pPr>
        <w:spacing w:after="0" w:line="111" w:lineRule="exact"/>
        <w:rPr>
          <w:rFonts w:ascii="Arial" w:cs="Arial" w:eastAsia="Arial" w:hAnsi="Arial"/>
          <w:sz w:val="18"/>
          <w:szCs w:val="18"/>
          <w:color w:val="auto"/>
        </w:rPr>
      </w:pPr>
    </w:p>
    <w:p>
      <w:pPr>
        <w:ind w:left="640" w:right="40" w:hanging="316"/>
        <w:spacing w:after="0" w:line="251" w:lineRule="auto"/>
        <w:tabs>
          <w:tab w:leader="none" w:pos="6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entering into new third-party hosting agreements to house the approximately 1.1 EH/s of owned miners not currently operating since the Hosting Agreements went into effect in February 2023; and</w:t>
      </w:r>
    </w:p>
    <w:p>
      <w:pPr>
        <w:spacing w:after="0" w:line="97" w:lineRule="exact"/>
        <w:rPr>
          <w:rFonts w:ascii="Arial" w:cs="Arial" w:eastAsia="Arial" w:hAnsi="Arial"/>
          <w:sz w:val="18"/>
          <w:szCs w:val="18"/>
          <w:color w:val="auto"/>
        </w:rPr>
      </w:pPr>
    </w:p>
    <w:p>
      <w:pPr>
        <w:ind w:left="620" w:hanging="296"/>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the Company's excess real estate at its South Carolina Facility that is not used in its datacenter operations.</w:t>
      </w:r>
    </w:p>
    <w:p>
      <w:pPr>
        <w:spacing w:after="0" w:line="21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The Company estimates that its cash resources will fall below $10 million by the end of the first quarter of 2024, which would be considered an Event of Default under the Senior Secured Loan that would require the repayment of the loan balance, unless a waiver is obtained from the lender. The Company's estimate of cash resources available to the Company through 2023 and through the first quarter of 2024 is dependent on completion of certain actions, including our ability to sell excess real estate in South Carolina, as mentioned above, as well as the completion of the Post Closing Covenant and bitcoin prices, blockchain difficulty levels and energy prices similar to the those experienced in the first two months of 2023. While bitcoin prices have begun to recover in the first quarter of 2023, management cannot predict when or if bitcoin prices will recover to prior levels, or volatility in energy costs. While the Company continues to work to implement options to improve liquidity, there can be no assurance that these efforts will be successful and the Company's liquidity could be negatively impacted by items outside of its control, in particular, significant decreases in the price of bitcoin, regulatory changes concerning cryptocurrency, increases in energy costs or other macroeconomic conditions and other matters identified in </w:t>
      </w:r>
      <w:r>
        <w:rPr>
          <w:rFonts w:ascii="Arial" w:cs="Arial" w:eastAsia="Arial" w:hAnsi="Arial"/>
          <w:sz w:val="18"/>
          <w:szCs w:val="18"/>
          <w:i w:val="1"/>
          <w:iCs w:val="1"/>
          <w:color w:val="auto"/>
        </w:rPr>
        <w:t>"Risk Factors"</w:t>
      </w:r>
      <w:r>
        <w:rPr>
          <w:rFonts w:ascii="Arial" w:cs="Arial" w:eastAsia="Arial" w:hAnsi="Arial"/>
          <w:sz w:val="18"/>
          <w:szCs w:val="18"/>
          <w:color w:val="auto"/>
        </w:rPr>
        <w:t>. Given this uncertainty regarding the Company's financial condition over the next 12 months, the Company has concluded that there is substantial doubt about its ability to continue as a going concern for a reasonable period of time.</w:t>
      </w:r>
    </w:p>
    <w:p>
      <w:pPr>
        <w:spacing w:after="0" w:line="21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While we held a relatively small amount of digital assets for an extended period as of December 31, 2022, our current business strategy is to sell digital assets within a short period after earning such assets. We may choose to change this strategy in the future. Bitcoin mined each day is liquidated the same day it is mined. Our liquidity is subject to volatility in both number of bitcoins mined and the underlying price of bitcoin.</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33"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The following table summarizes our contractual obligations and other commitments as of December 31, 2022, and the years in which these obligations are due:</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2026-2027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payments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Environmental obligations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r>
      <w:tr>
        <w:trPr>
          <w:trHeight w:val="225"/>
        </w:trPr>
        <w:tc>
          <w:tcPr>
            <w:tcW w:w="4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Natural gas transportation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w:t>
            </w:r>
          </w:p>
        </w:tc>
      </w:tr>
      <w:tr>
        <w:trPr>
          <w:trHeight w:val="244"/>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The debt payments included in the table above include the principal and interest amounts due. The lease payments include fixed monthly rental payments and exclude any variable payments. Environmental obligations are based on estimates subject to various assumptions including, but not limited to, closure and post-closure cost estimates, timing of expenditures, escalation factors, and requirements of granted permits.</w:t>
      </w:r>
    </w:p>
    <w:p>
      <w:pPr>
        <w:spacing w:after="0" w:line="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Additional adjustments to the environment liability may occur periodically due to potential changes in remediation requirements regarding coal combustion residuals which may lead to material changes in estimates and assumptions.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net cash flow for the years ended December 31,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Years Ended December 31,</w:t>
            </w:r>
          </w:p>
        </w:tc>
      </w:tr>
      <w:tr>
        <w:trPr>
          <w:trHeight w:val="221"/>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provided by operating activities from continuing operations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45,256</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Net cash used for investing activities from continuing operations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(121,354)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(163,571)</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174,065</w:t>
            </w:r>
          </w:p>
        </w:tc>
      </w:tr>
      <w:tr>
        <w:trPr>
          <w:trHeight w:val="22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cash and cash equivalents from discontinued operations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21,797</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77,547</w:t>
            </w:r>
          </w:p>
        </w:tc>
      </w:tr>
      <w:tr>
        <w:trPr>
          <w:trHeight w:val="22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82,599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w:t>
            </w: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82,599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3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Net cash used for operating activities from continuing operations was $14.5 million for the year ended December 31, 2022, as compared to cash provided by operating activities from continuing operations of $45.3 million for the year ended December 31, 2021. The variance in the operating cash flow during 2022 as compared to the prior year was driven by lower cash-related income from continuing operations, which primarily resulted from lower revenue caused by a decrease in the price of bitcoin, the higher costs related to the cost of natural gas and higher interest cost on the higher debt level.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3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Net cash used for investing activities from continuing operations was $121.4 million for the year ended December 31, 2022, as compared to $163.6 million for the year ended December 31, 2021. For the year ended December 31, 2022, purchases of and deposits for property and equipment were $133.0 million in 2022 as compared to $163.6 million in 2021, as the Company was expanding its mining fleet over both years. During 2022, the Company sold miners and coupons and credits redeemable to a manufacturer of bitcoin miners for proceeds of $11.1 million.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3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Net cash provided by financing activities from continuing operations was $62.1 million for the year ended December 31, 2022, as compared to $174.1 million for the year ended December 31, 2021. The decrease is primarily related to higher principal payments on debt of $46.2 million and $75.0 million of lower proceeds from equity issuances during 2022 compared to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21"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See Note 6, "</w:t>
      </w:r>
      <w:r>
        <w:rPr>
          <w:rFonts w:ascii="Arial" w:cs="Arial" w:eastAsia="Arial" w:hAnsi="Arial"/>
          <w:sz w:val="18"/>
          <w:szCs w:val="18"/>
          <w:i w:val="1"/>
          <w:iCs w:val="1"/>
          <w:color w:val="auto"/>
        </w:rPr>
        <w:t>Debt</w:t>
      </w:r>
      <w:r>
        <w:rPr>
          <w:rFonts w:ascii="Arial" w:cs="Arial" w:eastAsia="Arial" w:hAnsi="Arial"/>
          <w:sz w:val="18"/>
          <w:szCs w:val="18"/>
          <w:color w:val="auto"/>
        </w:rPr>
        <w:t>," and Note 7, "</w:t>
      </w:r>
      <w:r>
        <w:rPr>
          <w:rFonts w:ascii="Arial" w:cs="Arial" w:eastAsia="Arial" w:hAnsi="Arial"/>
          <w:sz w:val="18"/>
          <w:szCs w:val="18"/>
          <w:i w:val="1"/>
          <w:iCs w:val="1"/>
          <w:color w:val="auto"/>
        </w:rPr>
        <w:t>Stockholder's Equity</w:t>
      </w:r>
      <w:r>
        <w:rPr>
          <w:rFonts w:ascii="Arial" w:cs="Arial" w:eastAsia="Arial" w:hAnsi="Arial"/>
          <w:sz w:val="18"/>
          <w:szCs w:val="18"/>
          <w:color w:val="auto"/>
        </w:rPr>
        <w:t>" and Note 15, "</w:t>
      </w:r>
      <w:r>
        <w:rPr>
          <w:rFonts w:ascii="Arial" w:cs="Arial" w:eastAsia="Arial" w:hAnsi="Arial"/>
          <w:sz w:val="18"/>
          <w:szCs w:val="18"/>
          <w:i w:val="1"/>
          <w:iCs w:val="1"/>
          <w:color w:val="auto"/>
        </w:rPr>
        <w:t>Subsequent Events</w:t>
      </w:r>
      <w:r>
        <w:rPr>
          <w:rFonts w:ascii="Arial" w:cs="Arial" w:eastAsia="Arial" w:hAnsi="Arial"/>
          <w:sz w:val="18"/>
          <w:szCs w:val="18"/>
          <w:color w:val="auto"/>
        </w:rPr>
        <w:t>" in the Notes to Consolidated Financial Statements for details regarding our financing arrangements.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5" w:lineRule="exact"/>
        <w:rPr>
          <w:sz w:val="20"/>
          <w:szCs w:val="20"/>
          <w:color w:val="auto"/>
        </w:rPr>
      </w:pPr>
    </w:p>
    <w:p>
      <w:pPr>
        <w:ind w:right="2120"/>
        <w:spacing w:after="0" w:line="256" w:lineRule="auto"/>
        <w:rPr>
          <w:sz w:val="20"/>
          <w:szCs w:val="20"/>
          <w:color w:val="auto"/>
        </w:rPr>
      </w:pPr>
      <w:r>
        <w:rPr>
          <w:rFonts w:ascii="Arial" w:cs="Arial" w:eastAsia="Arial" w:hAnsi="Arial"/>
          <w:sz w:val="18"/>
          <w:szCs w:val="18"/>
          <w:color w:val="auto"/>
        </w:rPr>
        <w:t>Information regarding new accounting pronouncements is included in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the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3"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Our significant accounting policies are discussed in detail in Note 2, "Significant Accounting Policies", in the Notes to Consolidated Financial Statements for the year ended December 31, 2022 however we consider our critical accounting policies to be those related to revenue recognition, valuation of long-lived assets and environmental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Datacenter Revenue</w:t>
      </w:r>
    </w:p>
    <w:p>
      <w:pPr>
        <w:spacing w:after="0" w:line="1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Greenidge has entered into digital asset mining pools by executing contracts with the mining pool operators to provide computing power to the mining pool. The contracts are terminable at any time by either party and Greenidge’s enforceable right to compensation only begins when Greenidge provides computing power to the mining pool operator. In exchange for providing computing power, Greenidge is entitled to a theoretical fractional share of the cryptocurrency award the mining pool operator receives less digital asset transaction fees to the mining pool operator. Revenue is measured as the value of the fractional share of the cryptocurrency award received from the pool operator, which has been reduced by the transaction fee retained by the pool operator, for Greenidge’s pro rata contribution of computing power to the mining pool operator for the successful solution of the current algorithm.</w:t>
      </w: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Providing computing power in digital asset transaction verification services is an output of Greenidge’s ordinary activities. The provision of providing such computing power is the only performance obligation in Greenidge’s contracts with mining pool operators. The cryptocurrency that Greenidge receives as transaction consideration is noncash consideration, which Greenidge measures at fair value on the date received, which is not materially different than the fair value at the contract inception or the time Greenidge has earned the award from the pools. The consideration is all variable. Because it is not probable that a significant reversal of cumulative revenue will not occur, the consideration is constrained until the mining pool operator successfully places a block (by being the first to solve an algorithm) and Greenidge receives confirmation of the consideration it will receive, at which time revenue is recognized.</w:t>
      </w:r>
    </w:p>
    <w:p>
      <w:pPr>
        <w:spacing w:after="0" w:line="211"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Pool fees paid by miners to pooling operators are based on a fixed percentage of the theoretical bitcoin block reward and network transaction fees received by miners. Pooling fees are netted against daily bitcoin payouts. Greenidge does not expect any material future changes in pool fee percentages paid to pooling operators.</w:t>
      </w:r>
    </w:p>
    <w:p>
      <w:pPr>
        <w:spacing w:after="0" w:line="206" w:lineRule="exact"/>
        <w:rPr>
          <w:sz w:val="20"/>
          <w:szCs w:val="20"/>
          <w:color w:val="auto"/>
        </w:rPr>
      </w:pPr>
    </w:p>
    <w:p>
      <w:pPr>
        <w:ind w:right="840"/>
        <w:spacing w:after="0" w:line="251" w:lineRule="auto"/>
        <w:rPr>
          <w:sz w:val="20"/>
          <w:szCs w:val="20"/>
          <w:color w:val="auto"/>
        </w:rPr>
      </w:pPr>
      <w:r>
        <w:rPr>
          <w:rFonts w:ascii="Arial" w:cs="Arial" w:eastAsia="Arial" w:hAnsi="Arial"/>
          <w:sz w:val="18"/>
          <w:szCs w:val="18"/>
          <w:color w:val="auto"/>
        </w:rPr>
        <w:t>Fair value of the cryptocurrency award received is determined using the quoted price on Greenidge’s primary exchange of the related cryptocurrency at the time of receipt.</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There is currently no specific definitive guidance under U.S. GAAP or alternative accounting framework for the accounting for cryptocurrencies recognized as revenue or held, and management has exercised significant judgment in determining the appropriate accounting treatment. In the event authoritative guidance is enacted by the FASB, Greenidge may be required to change its policies, which could have an effect on the Company’s consolidated financial position and results of operations.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Power and capacity revenue</w:t>
      </w:r>
    </w:p>
    <w:p>
      <w:pPr>
        <w:spacing w:after="0" w:line="12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spacing w:after="0" w:line="206" w:lineRule="exact"/>
        <w:rPr>
          <w:sz w:val="20"/>
          <w:szCs w:val="20"/>
          <w:color w:val="auto"/>
        </w:rPr>
      </w:pPr>
    </w:p>
    <w:p>
      <w:pPr>
        <w:jc w:val="both"/>
        <w:ind w:right="560"/>
        <w:spacing w:after="0" w:line="248" w:lineRule="auto"/>
        <w:rPr>
          <w:sz w:val="20"/>
          <w:szCs w:val="20"/>
          <w:color w:val="auto"/>
        </w:rPr>
      </w:pPr>
      <w:r>
        <w:rPr>
          <w:rFonts w:ascii="Arial" w:cs="Arial" w:eastAsia="Arial" w:hAnsi="Arial"/>
          <w:sz w:val="18"/>
          <w:szCs w:val="18"/>
          <w:color w:val="auto"/>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73"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In accordance with ASC 360-10, 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spacing w:after="0" w:line="23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During 2023, we determined that triggering events had occurred as of June 30, 2022 and December 31, 2022 due to the negative impact on our cash flows resulting from the significant market declines in the price of bitcoin and increases in natural gas and energy costs during those periods. For the purposes of performing the recoverability test we consider all the long-lived assets of the Company to be a single asset group as we operate as an integrated power and crypto datacenter operations business and this grouping represents the lowest level of identifiable independent cash flows. We concluded that projected undiscounted cash flows did not support the recoverability of the long-lived assets as of June 30, 2022 and December 31, 2022; therefore, a valuation was performed using the market approach in order to determine the fair value of the asset grouping. The carrying value exceeded the fair value of the asset group and impairment loss was recorded for the difference in the carrying value and fair value. The Company recognized a noncash impairment charge of $176.3 million for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Liability</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recognize environmental liabilities in accordance with ASC 410-30, Asset Retirement and Environmental Obligations. As of December 31, 2022, we have recognized environmental liabilities for a coal ash pond and landfill which were inherited due to the legacy coal operations at the Company's property in the Town of Torrey, New York. These costs are considered to be both probable and estimable. We have recorded a total environmental liability of $28.0 million and $11.3 million as of December 31, 2022 and December 31, 2021, respectively for the remediation of these sites. The Company has estimated the cost of remediation by developing a remediation plan in consultation with environmental engineers, periodically obtaining quotes for estimated construction costs and adjusting estimates for inflationary factors based on the expected timing of the remediation work. Estimates include anticipated post-closure costs including monitoring and maintenance of the site. Estimates are based on various assumptions that are sensitive to changes including, but not limited to, closure and post-closure cost estimates, timing of expenditures, escalation factors, and requirements of granted permits. Additional material adjustments to the environmental liability may occur in the future due to required changes to the scope and timing of the remediation, changes to regulations governing the closure and remediation of CCR sites and changes to cost estimates due to inflationary or other economic factors.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3"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We qualify as an "emerging growth company" under the JOBS Act. As a result, we are permitted to, and intend to, rely on exemptions from certain disclosure requirements. For so long as we are an emerging growth company, we will not be required to:</w:t>
      </w:r>
    </w:p>
    <w:p>
      <w:pPr>
        <w:spacing w:after="0" w:line="97" w:lineRule="exact"/>
        <w:rPr>
          <w:sz w:val="20"/>
          <w:szCs w:val="20"/>
          <w:color w:val="auto"/>
        </w:rPr>
      </w:pPr>
    </w:p>
    <w:p>
      <w:pPr>
        <w:ind w:left="620" w:hanging="296"/>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an auditor report on our internal controls over financial reporting pursuant to Section404(b) of the Sarbanes-Oxley Act;</w:t>
      </w:r>
    </w:p>
    <w:p>
      <w:pPr>
        <w:spacing w:after="0" w:line="111" w:lineRule="exact"/>
        <w:rPr>
          <w:rFonts w:ascii="Arial" w:cs="Arial" w:eastAsia="Arial" w:hAnsi="Arial"/>
          <w:sz w:val="18"/>
          <w:szCs w:val="18"/>
          <w:color w:val="auto"/>
        </w:rPr>
      </w:pPr>
    </w:p>
    <w:p>
      <w:pPr>
        <w:ind w:left="640" w:right="160" w:hanging="316"/>
        <w:spacing w:after="0" w:line="248" w:lineRule="auto"/>
        <w:tabs>
          <w:tab w:leader="none" w:pos="6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00" w:lineRule="exact"/>
        <w:rPr>
          <w:rFonts w:ascii="Arial" w:cs="Arial" w:eastAsia="Arial" w:hAnsi="Arial"/>
          <w:sz w:val="18"/>
          <w:szCs w:val="18"/>
          <w:color w:val="auto"/>
        </w:rPr>
      </w:pPr>
    </w:p>
    <w:p>
      <w:pPr>
        <w:ind w:left="640" w:right="140" w:hanging="316"/>
        <w:spacing w:after="0" w:line="251" w:lineRule="auto"/>
        <w:tabs>
          <w:tab w:leader="none" w:pos="6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pay ratio; and</w:t>
      </w:r>
    </w:p>
    <w:p>
      <w:pPr>
        <w:spacing w:after="0" w:line="97" w:lineRule="exact"/>
        <w:rPr>
          <w:rFonts w:ascii="Arial" w:cs="Arial" w:eastAsia="Arial" w:hAnsi="Arial"/>
          <w:sz w:val="18"/>
          <w:szCs w:val="18"/>
          <w:color w:val="auto"/>
        </w:rPr>
      </w:pPr>
    </w:p>
    <w:p>
      <w:pPr>
        <w:ind w:left="640" w:right="200" w:hanging="316"/>
        <w:spacing w:after="0" w:line="251" w:lineRule="auto"/>
        <w:tabs>
          <w:tab w:leader="none" w:pos="6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1" w:name="page62"/>
    <w:bookmarkEnd w:id="61"/>
    <w:p>
      <w:pPr>
        <w:ind w:right="120"/>
        <w:spacing w:after="0" w:line="251"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20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100" w:lineRule="exact"/>
        <w:rPr>
          <w:sz w:val="20"/>
          <w:szCs w:val="20"/>
          <w:color w:val="auto"/>
        </w:rPr>
      </w:pPr>
    </w:p>
    <w:p>
      <w:pPr>
        <w:ind w:left="640" w:right="160" w:hanging="316"/>
        <w:spacing w:after="0" w:line="247" w:lineRule="auto"/>
        <w:tabs>
          <w:tab w:leader="none" w:pos="6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remain an "emerging growth company" for up to five years,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did not have any off balance sheet arrangements.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financial information required by this Item is set forth in the Index to Consolidated Financial Statements on page F-1 and is filed as part of this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our Chief Financial Officer, has evaluated the effectiveness of the design and operation of our disclosure controls and procedures pursuant to Rule 13a-15(e) and 15d-15(e) under the Exchange Act, as of the end of the period covered by this Annual Report on Form 10-K.</w:t>
      </w:r>
    </w:p>
    <w:p>
      <w:pPr>
        <w:spacing w:after="0" w:line="15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Based on this evaluation, our management concluded that our disclosure controls and procedures were effective as of December 31, 2022. Our disclosure controls and procedures are designed to provide reasonable assurance that information required to be disclosed by the Company in the reports that it files or submits to the SEC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under the Exchange Act. We have performed an evaluation under the supervision and with the participation of management, including our Chief Executive Officer and Chief Financial Officer, of the effectiveness of our internal control over financial reporting. Our management assessed the effectiveness of its internal control over financial reporting as of December 31, 2022. Our management used the criteria set forth in Internal Control—Integrated Framework issued by the Committee of Sponsoring Organizations of the Treadway Commission (2013 framework) to perform its assessment. Based on this assessment, our management, including our Chief Executive Officer and Chief Financial Officer, concluded, that as of December 31, 2022, the Company’s internal control over financial reporting was effective based on those criteria.</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Limitation on Effectiveness of Controls and Procedures</w:t>
      </w:r>
    </w:p>
    <w:p>
      <w:pPr>
        <w:spacing w:after="0" w:line="18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designing and evaluating the disclosure controls and our internal control over financial reporting, management recognizes that any controls and procedures, no matter how well designed and operated, can provide only reasonable assurance of achieving the desired control objectives. In addition, the design of disclosure controls and our internal control over financial reporting must reflect the fact that there are resource constraints and that management is required to apply its judgment in evaluating the benefits of possible controls and procedures relative to their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During the three months ended December 31, 2022, we implemented a new enterprise resource system for the purposes of maintaining our general ledger and reporting as well as managing our purchasing and accounts payable process. There were no other changes in our internal control over financial reporting that occurred during the period covered by this Annual Report on Form 10-K that have materially affected, or are reasonably likely to materially affect, our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71" w:right="3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information regarding our directors and executive officers.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Borders>
              <w:bottom w:val="single" w:sz="8" w:color="CCEEFF"/>
            </w:tcBorders>
          </w:tcPr>
          <w:p>
            <w:pPr>
              <w:spacing w:after="0"/>
              <w:rPr>
                <w:sz w:val="16"/>
                <w:szCs w:val="16"/>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Anderson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5"/>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Terence A. Burke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22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Bursky</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shd w:val="clear" w:color="auto" w:fill="CCEEFF"/>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Timothy Fazio</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Chairman</w:t>
            </w:r>
          </w:p>
        </w:tc>
      </w:tr>
      <w:tr>
        <w:trPr>
          <w:trHeight w:val="22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Filippelli</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Dale Irwin</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2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Jordan Kovler</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Jerome Lay</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Loughran</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Timothy Lowe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Scott MacKenzie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Strategy Officer</w:t>
            </w:r>
          </w:p>
        </w:tc>
      </w:tr>
      <w:tr>
        <w:trPr>
          <w:trHeight w:val="225"/>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Michael Neuscheler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Ted Rogers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Chairman</w:t>
            </w:r>
          </w:p>
        </w:tc>
      </w:tr>
      <w:tr>
        <w:trPr>
          <w:trHeight w:val="224"/>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Daniel Rothaupt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8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David Anderson</w:t>
      </w:r>
      <w:r>
        <w:rPr>
          <w:rFonts w:ascii="Arial" w:cs="Arial" w:eastAsia="Arial" w:hAnsi="Arial"/>
          <w:sz w:val="18"/>
          <w:szCs w:val="18"/>
          <w:color w:val="auto"/>
        </w:rPr>
        <w:t>. Mr. Anderson has served as our Chief Executive Officer and a member of our board of directors since October 8,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joining Greenidge, Mr. Anderson served as President and CEO of Millar Western Forest Products, a privately held, integrated forest products company based in Alberta, Canada, since January 2020, and previous to that in various roles with Millar Western, including as its Chief Operating Officer from 2018 to 2019 and as its Chief Financial Officer from 2016 to 2018. Mr. Anderson also serves as a member of Millar Western’s board of directors. Mr. Anderson earned a Bachelor of Science in Forestry and a Master of Business Administration from the University of Alberta and has been a CFA charterholder since 2016. We believe Mr. Anderson is qualified to serve on our board of directors because of the perspective and experience he brings as our Chief Executive Officer.</w:t>
      </w:r>
    </w:p>
    <w:p>
      <w:pPr>
        <w:spacing w:after="0" w:line="18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i w:val="1"/>
          <w:iCs w:val="1"/>
          <w:color w:val="auto"/>
        </w:rPr>
        <w:t>Terence A. Burke</w:t>
      </w:r>
      <w:r>
        <w:rPr>
          <w:rFonts w:ascii="Arial" w:cs="Arial" w:eastAsia="Arial" w:hAnsi="Arial"/>
          <w:sz w:val="18"/>
          <w:szCs w:val="18"/>
          <w:color w:val="auto"/>
        </w:rPr>
        <w:t>. Mr. Burke has served as our General Counsel since January 1, 2022. Before joining Greenidge, Mr. Burke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assistant general counsel at First Solar, Inc. a solar energy company from September, 2014 to December 2021, where he provided counsel to the asset management and O&amp;M groups including with respect to negotiating and advising on construction contracts, sales of solar facilities, regulatory compliance, contracting, and financings. Prior to First Solar, he was an attorney with the FERC. Before joining the FERC, Mr. Burke held senior legal positions at Entergy Corporation, Allegheny Energy, Inc. and Niagara Mohawk Corporation. Mr. Burke holds a Juris Doctorate from the University of Chicago Law School and a Bachelor’s degree from Hamilton College.</w:t>
      </w:r>
    </w:p>
    <w:p>
      <w:pPr>
        <w:spacing w:after="0" w:line="18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Andrew Bursky</w:t>
      </w:r>
      <w:r>
        <w:rPr>
          <w:rFonts w:ascii="Arial" w:cs="Arial" w:eastAsia="Arial" w:hAnsi="Arial"/>
          <w:sz w:val="18"/>
          <w:szCs w:val="18"/>
          <w:color w:val="auto"/>
        </w:rPr>
        <w:t>. Mr. Bursky has served as a member of our board of directors since Greenidge was acquired by Atlas and its affiliates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2014. Mr. Bursky co-founded Atlas Holdings in 2002 and serves as its Co-Managing Partner. Since then, it has grown into a global family of manufacturing and distribution businesses. Prior to that, he was a Co-Managing Partner of Pegasus Capital Advisors, L.P., a private investment partnership with approximately $2 billion of capital under management, from June 1999 to April 2002. He also co-founded Interlaken Capital in 1980, where he served as Managing Director until 1999, and was responsible for investment and business development activities, with a primary focus on industrial manufacturing, business and financial services, and distribution. Mr. Bursky is a 1978 graduate of Washington University in St. Louis, where he received a B.A. in economics and a B.S. and M.S. in chemical engineering. He also received an M.B.A. from Harvard in 1980. He serves as a Trustee and on the Executive Committee of the Board of Washington University, as a Director of the Washington University Investment Management Company and on the Executive Board of No Labels, an American centrist political organization composed of Republicans, Democrats, and independents whose mission is to combat partisan dysfunction in politics. We believe Mr. Bursky is qualified to serve on our board of directors given his significant leadership experience.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4" w:name="page65"/>
    <w:bookmarkEnd w:id="64"/>
    <w:p>
      <w:pPr>
        <w:spacing w:after="0" w:line="249" w:lineRule="auto"/>
        <w:rPr>
          <w:sz w:val="20"/>
          <w:szCs w:val="20"/>
          <w:color w:val="auto"/>
        </w:rPr>
      </w:pPr>
      <w:r>
        <w:rPr>
          <w:rFonts w:ascii="Arial" w:cs="Arial" w:eastAsia="Arial" w:hAnsi="Arial"/>
          <w:sz w:val="18"/>
          <w:szCs w:val="18"/>
          <w:b w:val="1"/>
          <w:bCs w:val="1"/>
          <w:i w:val="1"/>
          <w:iCs w:val="1"/>
          <w:color w:val="auto"/>
        </w:rPr>
        <w:t xml:space="preserve">Timothy Fazio. </w:t>
      </w:r>
      <w:r>
        <w:rPr>
          <w:rFonts w:ascii="Arial" w:cs="Arial" w:eastAsia="Arial" w:hAnsi="Arial"/>
          <w:sz w:val="18"/>
          <w:szCs w:val="18"/>
          <w:color w:val="auto"/>
        </w:rPr>
        <w:t>Mr. Fazio has served as the Chairman of our board of directors since Greenidge was acquired by Atlas and its affiliates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2014. Mr. Fazio co-founded Atlas FRM LLC d/b/a Atlas Holdings LLC, or Atlas Holdings, in 2002 and serves as its Co-Managing Partner. Since then, Atlas Holdings and its affiliated private investment funds have grown into a global family of manufacturing and distribution businesses. Prior to that, Mr. Fazio was Principal and Vice President at Pegasus Capital Advisors, L.P., a private investment partnership with approximately $2 billion of capital under management focusing on control investments in middle-market companies at points of stress or significant change, from June 1999 to January 2002. Mr. Fazio is a 1996 graduate of the University of Pennsylvania, where he earned a B.A. in International Relations from the College of Arts and Sciences and a B.S. in Economics with a concentration in Finance from the Wharton School. He is a Fellow of the 2017 Class of the Aspen Institute’s Finance Leadership Fellowship and a member of the Aspen Global Leadership Network. He serves on the Board of Advisors for the Center for High Impact Philanthropy at the University of Pennsylvania. We believe Mr. Fazio is qualified to serve on our board of directors because of his extensive leadership experience.</w:t>
      </w:r>
    </w:p>
    <w:p>
      <w:pPr>
        <w:spacing w:after="0" w:line="18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i w:val="1"/>
          <w:iCs w:val="1"/>
          <w:color w:val="auto"/>
        </w:rPr>
        <w:t>David Filippelli</w:t>
      </w:r>
      <w:r>
        <w:rPr>
          <w:rFonts w:ascii="Arial" w:cs="Arial" w:eastAsia="Arial" w:hAnsi="Arial"/>
          <w:sz w:val="18"/>
          <w:szCs w:val="18"/>
          <w:color w:val="auto"/>
        </w:rPr>
        <w:t>. Mr. Filippelli has served as a member of our board of directors since Greenidge was acquired by Atlas and its affiliates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2014. He joined Atlas Holdings in 2014 and serves as a partner and part of the investment team. Mr. Filippelli brings nearly two decades of policy and advocacy experience to his work supporting both Atlas Holdings’ existing businesses and due diligence efforts, having held senior roles in both the public and private sectors. Prior to joining Atlas Holdings, Mr. Filippelli served as Chair of the governmental affairs practice of Gibbons P.C., a regional law firm headquartered in New Jersey. In this role, he led a team of lawyers and served as the primary public affairs advisor to several large companies, trade associations and nonprofit entities. Before entering the private sector, Mr. Filippelli served as legislative and communications director to a Member of Congress. Mr. Filippelli is a graduate of Fairfield University and American University’s Washington College of Law. We believe Mr. Filipelli is qualified to serve on our board of directors due to his legal background and leadership experience.</w:t>
      </w:r>
    </w:p>
    <w:p>
      <w:pPr>
        <w:spacing w:after="0" w:line="18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b w:val="1"/>
          <w:bCs w:val="1"/>
          <w:i w:val="1"/>
          <w:iCs w:val="1"/>
          <w:color w:val="auto"/>
        </w:rPr>
        <w:t xml:space="preserve">Dale Irwin. </w:t>
      </w:r>
      <w:r>
        <w:rPr>
          <w:rFonts w:ascii="Arial" w:cs="Arial" w:eastAsia="Arial" w:hAnsi="Arial"/>
          <w:sz w:val="18"/>
          <w:szCs w:val="18"/>
          <w:color w:val="auto"/>
        </w:rPr>
        <w:t>Mr. Irwin has served as our President since Greenidge was acquired by Atlas and its affiliates in February 2014 and began serving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solely as President, overseeing day-to-day operations, in March of 2021. He previously also served as our Chief Executive Officer from 2014 until March 2021. Mr. Irwin has more than 20 years of diverse international experience in leading teams and managing projects from idea to execution. In his more than 18 years of experience in the energy sector, Mr. Irwin has managed numerous large and small-scale capital projects, including the conversion of Greenidge from a 1930s era coal-fired power plant to a modern, 21st century natural gas-powered plant and, ultimately, a fully compliant power plant-bitcoin mining company. He provides expertise in powerplant compliance, construction management, outage management, fossil fuel operations and maintenance training. Mr. Irwin holds a Bachelor’s degree in Organizational Management from Keuka College.</w:t>
      </w:r>
    </w:p>
    <w:p>
      <w:pPr>
        <w:spacing w:after="0" w:line="170"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b w:val="1"/>
          <w:bCs w:val="1"/>
          <w:i w:val="1"/>
          <w:iCs w:val="1"/>
          <w:color w:val="auto"/>
        </w:rPr>
        <w:t xml:space="preserve">Jordan Kovler. </w:t>
      </w:r>
      <w:r>
        <w:rPr>
          <w:rFonts w:ascii="Arial" w:cs="Arial" w:eastAsia="Arial" w:hAnsi="Arial"/>
          <w:sz w:val="17"/>
          <w:szCs w:val="17"/>
          <w:color w:val="auto"/>
        </w:rPr>
        <w:t>Mr. Kovler has served as a member of our Board of Directors since March 2023. Mr. Kovler co-founded and serves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Director of HKL &amp; Co., LLC since 2016, a consulting and proxy solicitation firm providing investor relations, corporate governance and extraordinary situation consulting related to publicly traded companies, as well as call center services predominantly focused on large municipalities, where he currently serves as a Managing Director. He also serves as an advisor to Genesis Block, a technology services company focusing on the growth of blockchain and Web3 and other private Web3 companies. He was previously employed from 2003 to 2015 in progressively senior roles, including as Senior Vice President, at D.F. King &amp; Co., Inc., a proxy solicitation firm, focused on contested</w:t>
      </w:r>
    </w:p>
    <w:p>
      <w:pPr>
        <w:spacing w:after="0" w:line="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elections, M&amp;A, investor relations, corporate governance consulting and call center services for publicly traded companies. Mr. Kovler is a 2001 graduate of Trinity College with a B.A. in economics. Mr. Kovler brings years of experience in investor relations, corporate governance, M&amp;A</w:t>
      </w:r>
    </w:p>
    <w:p>
      <w:pPr>
        <w:spacing w:after="0" w:line="1"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and the cryptocurrency industry. We believe Mr. Kovler is qualified to serve on our board of directors given his investor relations, corporate governance, M&amp;A and cryptocurrency knowledge and leadership experience.</w:t>
      </w:r>
    </w:p>
    <w:p>
      <w:pPr>
        <w:spacing w:after="0" w:line="19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i w:val="1"/>
          <w:iCs w:val="1"/>
          <w:color w:val="auto"/>
        </w:rPr>
        <w:t>Jerome Lay</w:t>
      </w:r>
      <w:r>
        <w:rPr>
          <w:rFonts w:ascii="Arial" w:cs="Arial" w:eastAsia="Arial" w:hAnsi="Arial"/>
          <w:sz w:val="17"/>
          <w:szCs w:val="17"/>
          <w:color w:val="auto"/>
        </w:rPr>
        <w:t>. Mr. Lay has served as a member of our board of directors since Greenidge was acquired by Atlas and its affiliates in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He joined Atlas Holdings in 2009 and has served as a Partner since 2018, where he is responsible for investment and business development activities. Mr. Lay has participated in the formation, financing and oversight of several Atlas Holdings portfolio companies and has led the evaluation and analysis of numerous opportunities. He focuses on investments in merchant power generation and was part of the team at Atlas Holdings that acquired the power plant assets of Greenidge. Mr. Lay also serves on the board of directors for NPX One Holdings LLC, where he is a member of the Audit Committee, and Granite Shore Power LLC, where he is a member of the Audit and Compensation Committee. Mr. Lay is a 2009 graduate of Washington University in St. Louis with a B.S. in mechanical engineering. We believe Mr. Lay is qualified to serve on our board of directors given his experience relating to the power generation industry and leadership experience.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65" w:name="page66"/>
    <w:bookmarkEnd w:id="65"/>
    <w:p>
      <w:pPr>
        <w:ind w:right="100"/>
        <w:spacing w:after="0" w:line="251" w:lineRule="auto"/>
        <w:rPr>
          <w:sz w:val="20"/>
          <w:szCs w:val="20"/>
          <w:color w:val="auto"/>
        </w:rPr>
      </w:pPr>
      <w:r>
        <w:rPr>
          <w:rFonts w:ascii="Arial" w:cs="Arial" w:eastAsia="Arial" w:hAnsi="Arial"/>
          <w:sz w:val="18"/>
          <w:szCs w:val="18"/>
          <w:b w:val="1"/>
          <w:bCs w:val="1"/>
          <w:i w:val="1"/>
          <w:iCs w:val="1"/>
          <w:color w:val="auto"/>
        </w:rPr>
        <w:t>Robert Loughran</w:t>
      </w:r>
      <w:r>
        <w:rPr>
          <w:rFonts w:ascii="Arial" w:cs="Arial" w:eastAsia="Arial" w:hAnsi="Arial"/>
          <w:sz w:val="18"/>
          <w:szCs w:val="18"/>
          <w:color w:val="auto"/>
        </w:rPr>
        <w:t>. Mr. Loughran has served as our Chief Financial Officer since January 1, 2022, prior to which he provided consulting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the Company’s financial department from June 2021. Before joining the Company, from April 2018 to June 2020, Mr. Loughran was employed as Vice President, Corporate Controller at Tronox Holdings plc, a preeminent titanium dioxide pigment, titanium ore and zircon producer. He previously was employed at Avon Products, Inc., a multinational cosmetic, skin care, fragrance and personal care company, from 2004 to 2018, serving in roles of increasing responsibility, including serving as Group Vice President, Chief Accounting Officer from April 2016 through March 2018. Mr. Loughran is a CPA and began his career as an auditor for six years with Price Waterhouse LLP. Mr. Loughran holds a Bachelor’s degree in Mathematics and Statistics from the University of Connecticut.</w:t>
      </w:r>
    </w:p>
    <w:p>
      <w:pPr>
        <w:spacing w:after="0" w:line="18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i w:val="1"/>
          <w:iCs w:val="1"/>
          <w:color w:val="auto"/>
        </w:rPr>
        <w:t>Timothy Lowe</w:t>
      </w:r>
      <w:r>
        <w:rPr>
          <w:rFonts w:ascii="Arial" w:cs="Arial" w:eastAsia="Arial" w:hAnsi="Arial"/>
          <w:sz w:val="18"/>
          <w:szCs w:val="18"/>
          <w:color w:val="auto"/>
        </w:rPr>
        <w:t>. Mr. Lowe has served as a member of our board of directors since Greenidge was acquired by Atlas and its affiliates in February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He has decades of experience in the pulp and paper industry, having previously served as the Chief Executive Officer of Twin Rivers Paper from June 2013 to June 2016 and prior to that, having served as the Chief Executive Officer of Finch Paper and of Northern Pulp until its sale in 2011. He previously worked at Domtar Industries Inc. for nearly 30 years in progressively senior roles, including General Manager of the Domtar Pulp Mill in Woodland, Maine. Mr. Lowe has serviced as a director of Twin Rivers since June 2016 and currently serves as the Chairman of the Advisory Board of Twin Rivers. Mr. Lowe also serves as a member of the Board of Managers of Finch Paper and has done so since June 2014 and the Board of Managers New Wood Resources since 2019. We believe Mr. Lowe is qualified to serve on our board of directors given his experience in the pulp and paper industry and deep leadership experience.</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Scott MacKenzie</w:t>
      </w:r>
      <w:r>
        <w:rPr>
          <w:rFonts w:ascii="Arial" w:cs="Arial" w:eastAsia="Arial" w:hAnsi="Arial"/>
          <w:sz w:val="18"/>
          <w:szCs w:val="18"/>
          <w:color w:val="auto"/>
        </w:rPr>
        <w:t>. Mr. MacKenzie has served as our Chief Strategy Officer since October 8, 2022. Before joining Greenidge, served as the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Corporate Development for Millar Western since June 2019. From June 2016 to June 2019, Mr. MacKenzie was the Director, Corporate Development and Strategic Planning at Stuart Olson, Inc., a construction services company based in Alberta, Canada. Prior to joining Stuart Olson, Mr. MacKenzie held various senior management roles with the ACTCO Group, an engineering and logistics company listed on the Toronto Stock Exchange. Mr. MacKenzie earned a Bachelor of Engineering from Lakehead University and a Master of Business Administration with a focus in finance and international business from the University of Alberta.</w:t>
      </w:r>
    </w:p>
    <w:p>
      <w:pPr>
        <w:spacing w:after="0" w:line="180"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i w:val="1"/>
          <w:iCs w:val="1"/>
          <w:color w:val="auto"/>
        </w:rPr>
        <w:t>Michael Neuscheler</w:t>
      </w:r>
      <w:r>
        <w:rPr>
          <w:rFonts w:ascii="Arial" w:cs="Arial" w:eastAsia="Arial" w:hAnsi="Arial"/>
          <w:sz w:val="18"/>
          <w:szCs w:val="18"/>
          <w:color w:val="auto"/>
        </w:rPr>
        <w:t>. Mr. Neuscheler has served as a member of our board of directors and the Chairman of the Audit Committee since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Prior to joining Greenidge, Mr. Neuscheler founded and served as a director and Chief Executive Officer of Ivy Rehab Holdings, Inc., a private equity sponsored healthcare provider, from 2003 through 2017. He spent twelve years as an auditor at E&amp;Y, a public accounting firm, and is a CPA. He also served as Chief Financial Officer of Professional Sports Care Management, International Telecommunications Data Systems and i3 Mobile, all three of which are publicly traded companies and two of which involved IPOs. Mr. Neuscheler has significant experience with private equity sponsored entities and experience with numerous mergers and acquisitions. We believe Mr. Neuscheler is qualified to serve on our board of directors because of his extensive experience and knowledge of accounting and financial matters as well as audit functions.</w:t>
      </w:r>
    </w:p>
    <w:p>
      <w:pPr>
        <w:spacing w:after="0" w:line="170"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b w:val="1"/>
          <w:bCs w:val="1"/>
          <w:i w:val="1"/>
          <w:iCs w:val="1"/>
          <w:color w:val="auto"/>
        </w:rPr>
        <w:t>Ted Rogers</w:t>
      </w:r>
      <w:r>
        <w:rPr>
          <w:rFonts w:ascii="Arial" w:cs="Arial" w:eastAsia="Arial" w:hAnsi="Arial"/>
          <w:sz w:val="17"/>
          <w:szCs w:val="17"/>
          <w:color w:val="auto"/>
        </w:rPr>
        <w:t>. Mr. Rogers has served as Vice Chairman of our board of directors since March 2021. He has been a respected member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bitcoin community since 2013 and brings deep experience in cryptocurrency to our operations. Mr. Rogers was the first employee of Xapo, Inc., a bitcoin platform for consumers and institutions. Mr. Rogers managed operations and conducted business development for Xapo, served on the board of directors of Xapo and was a member of its Compliance Committee. As President of Xapo, his responsibilities included supervision of the finance unit and acting as the primary contact for auditors during the period in which the company grew from inception to a GAAP-audited, $80 million revenue firm. Mr. Rogers graduated from Williams College in 1991 and cum laude from the Georgetown University Law</w:t>
      </w:r>
    </w:p>
    <w:p>
      <w:pPr>
        <w:spacing w:after="0" w:line="3" w:lineRule="exact"/>
        <w:rPr>
          <w:sz w:val="20"/>
          <w:szCs w:val="20"/>
          <w:color w:val="auto"/>
        </w:rPr>
      </w:pPr>
    </w:p>
    <w:p>
      <w:pPr>
        <w:ind w:right="360"/>
        <w:spacing w:after="0" w:line="230" w:lineRule="auto"/>
        <w:rPr>
          <w:sz w:val="20"/>
          <w:szCs w:val="20"/>
          <w:color w:val="auto"/>
        </w:rPr>
      </w:pPr>
      <w:r>
        <w:rPr>
          <w:rFonts w:ascii="Arial" w:cs="Arial" w:eastAsia="Arial" w:hAnsi="Arial"/>
          <w:sz w:val="18"/>
          <w:szCs w:val="18"/>
          <w:color w:val="auto"/>
        </w:rPr>
        <w:t>Center in 1996. We believe Mr. Rogers is qualified to serve on our board of directors given his deep cryptocurrency industry knowledge and leadership experience.</w:t>
      </w:r>
    </w:p>
    <w:p>
      <w:pPr>
        <w:spacing w:after="0" w:line="191"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i w:val="1"/>
          <w:iCs w:val="1"/>
          <w:color w:val="auto"/>
        </w:rPr>
        <w:t>Daniel Rothaupt</w:t>
      </w:r>
      <w:r>
        <w:rPr>
          <w:rFonts w:ascii="Arial" w:cs="Arial" w:eastAsia="Arial" w:hAnsi="Arial"/>
          <w:sz w:val="18"/>
          <w:szCs w:val="18"/>
          <w:color w:val="auto"/>
        </w:rPr>
        <w:t>. Mr. Rothaupt has served as a member of our board of directors since Greenidge was acquired by Atlas and its affiliates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2014. Mr. Rothaupt also serves as the Operating Partner of Atlas Holdings and has advised Atlas Holdings regarding various business matters since 2014. He has more than 30 years of experience in operations, maintenance and new project development in the power generation industry. He previously worked for AES Corporation, a global energy company, serving as Plant Manager and Vice President of Operations for Eastern North America. He is a graduate of the U.S. Coast Guard Academy with a degree in Engineering. Mr. Rothaupt serves as an advisor to Atlas Holdings in the power generation industry. We believe Mr. Rothaupt is qualified to serve on our board of directors given his extensive experience and knowledge in the power generation industry.</w:t>
      </w:r>
    </w:p>
    <w:p>
      <w:pPr>
        <w:spacing w:after="0" w:line="20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Directors hold office until the next annual meeting of the stockholders or until their successors have been elected and qualified. Executive officers serve at the pleasure of the board of directors and may be removed with or without cause at any time, subject to contractual obligations between the executive officer and us, if any.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Family Relationships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 nephew of Greenidge’s President, Dale Irwin, is employed by Greenidge as an operations and maintenance technician.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33" w:lineRule="exact"/>
        <w:rPr>
          <w:sz w:val="20"/>
          <w:szCs w:val="20"/>
          <w:color w:val="auto"/>
        </w:rPr>
      </w:pPr>
    </w:p>
    <w:p>
      <w:pPr>
        <w:ind w:right="960"/>
        <w:spacing w:after="0" w:line="251" w:lineRule="auto"/>
        <w:rPr>
          <w:sz w:val="20"/>
          <w:szCs w:val="20"/>
          <w:color w:val="auto"/>
        </w:rPr>
      </w:pPr>
      <w:r>
        <w:rPr>
          <w:rFonts w:ascii="Arial" w:cs="Arial" w:eastAsia="Arial" w:hAnsi="Arial"/>
          <w:sz w:val="18"/>
          <w:szCs w:val="18"/>
          <w:color w:val="auto"/>
        </w:rPr>
        <w:t>To the best of our knowledge none of the directors or executive officers has, during the past ten years, nor has Atlas, our controlling shareholder, during the past five years:</w:t>
      </w:r>
    </w:p>
    <w:p>
      <w:pPr>
        <w:spacing w:after="0" w:line="97" w:lineRule="exact"/>
        <w:rPr>
          <w:sz w:val="20"/>
          <w:szCs w:val="20"/>
          <w:color w:val="auto"/>
        </w:rPr>
      </w:pPr>
    </w:p>
    <w:p>
      <w:pPr>
        <w:ind w:left="640" w:right="240" w:hanging="316"/>
        <w:spacing w:after="0" w:line="251" w:lineRule="auto"/>
        <w:tabs>
          <w:tab w:leader="none" w:pos="6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been convicted in a criminal proceeding or been subject to a pending criminal proceeding (excluding traffic violations and other minor offenses);</w:t>
      </w:r>
    </w:p>
    <w:p>
      <w:pPr>
        <w:spacing w:after="0" w:line="97" w:lineRule="exact"/>
        <w:rPr>
          <w:rFonts w:ascii="Arial" w:cs="Arial" w:eastAsia="Arial" w:hAnsi="Arial"/>
          <w:sz w:val="18"/>
          <w:szCs w:val="18"/>
          <w:color w:val="auto"/>
        </w:rPr>
      </w:pPr>
    </w:p>
    <w:p>
      <w:pPr>
        <w:ind w:left="640" w:right="140" w:hanging="316"/>
        <w:spacing w:after="0" w:line="248" w:lineRule="auto"/>
        <w:tabs>
          <w:tab w:leader="none" w:pos="6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spacing w:after="0" w:line="100" w:lineRule="exact"/>
        <w:rPr>
          <w:rFonts w:ascii="Arial" w:cs="Arial" w:eastAsia="Arial" w:hAnsi="Arial"/>
          <w:sz w:val="18"/>
          <w:szCs w:val="18"/>
          <w:color w:val="auto"/>
        </w:rPr>
      </w:pPr>
    </w:p>
    <w:p>
      <w:pPr>
        <w:ind w:left="640" w:right="60" w:hanging="316"/>
        <w:spacing w:after="0" w:line="247" w:lineRule="auto"/>
        <w:tabs>
          <w:tab w:leader="none" w:pos="6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01" w:lineRule="exact"/>
        <w:rPr>
          <w:rFonts w:ascii="Arial" w:cs="Arial" w:eastAsia="Arial" w:hAnsi="Arial"/>
          <w:sz w:val="18"/>
          <w:szCs w:val="18"/>
          <w:color w:val="auto"/>
        </w:rPr>
      </w:pPr>
    </w:p>
    <w:p>
      <w:pPr>
        <w:ind w:left="640" w:hanging="316"/>
        <w:spacing w:after="0" w:line="248" w:lineRule="auto"/>
        <w:tabs>
          <w:tab w:leader="none" w:pos="6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been found by a court of competent jurisdiction in a civil action or by the Securities and Exchange Commission or the Commodity Futures Trading Commission to have violated a federal or state securities or commodities law, and the judgment has not been reversed, suspended, or vacated;</w:t>
      </w:r>
    </w:p>
    <w:p>
      <w:pPr>
        <w:spacing w:after="0" w:line="100" w:lineRule="exact"/>
        <w:rPr>
          <w:rFonts w:ascii="Arial" w:cs="Arial" w:eastAsia="Arial" w:hAnsi="Arial"/>
          <w:sz w:val="18"/>
          <w:szCs w:val="18"/>
          <w:color w:val="auto"/>
        </w:rPr>
      </w:pPr>
    </w:p>
    <w:p>
      <w:pPr>
        <w:ind w:left="640" w:right="20" w:hanging="316"/>
        <w:spacing w:after="0" w:line="246" w:lineRule="auto"/>
        <w:tabs>
          <w:tab w:leader="none" w:pos="6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105" w:lineRule="exact"/>
        <w:rPr>
          <w:rFonts w:ascii="Arial" w:cs="Arial" w:eastAsia="Arial" w:hAnsi="Arial"/>
          <w:sz w:val="18"/>
          <w:szCs w:val="18"/>
          <w:color w:val="auto"/>
        </w:rPr>
      </w:pPr>
    </w:p>
    <w:p>
      <w:pPr>
        <w:ind w:left="640" w:right="160" w:hanging="316"/>
        <w:spacing w:after="0" w:line="247" w:lineRule="auto"/>
        <w:tabs>
          <w:tab w:leader="none" w:pos="6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been the subject of,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33"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We have adopted corporate governance policies and committees in a manner that we believe will closely align our interests with those of our stockholders. Notable features of this corporate governance include:</w:t>
      </w:r>
    </w:p>
    <w:p>
      <w:pPr>
        <w:spacing w:after="0" w:line="97" w:lineRule="exact"/>
        <w:rPr>
          <w:sz w:val="20"/>
          <w:szCs w:val="20"/>
          <w:color w:val="auto"/>
        </w:rPr>
      </w:pPr>
    </w:p>
    <w:p>
      <w:pPr>
        <w:ind w:left="640" w:right="200" w:hanging="316"/>
        <w:spacing w:after="0" w:line="248" w:lineRule="auto"/>
        <w:tabs>
          <w:tab w:leader="none" w:pos="6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director representation on our audit, compensation and nominating and corporate governance committees, when we can no longer or choose not to take advantage of the "controlled company" exemption outlined below, and regular "executive session" meetings of our independent directors without the presence of our corporate officers or non-independent directors;</w:t>
      </w:r>
    </w:p>
    <w:p>
      <w:pPr>
        <w:spacing w:after="0" w:line="100" w:lineRule="exact"/>
        <w:rPr>
          <w:rFonts w:ascii="Arial" w:cs="Arial" w:eastAsia="Arial" w:hAnsi="Arial"/>
          <w:sz w:val="18"/>
          <w:szCs w:val="18"/>
          <w:color w:val="auto"/>
        </w:rPr>
      </w:pPr>
    </w:p>
    <w:p>
      <w:pPr>
        <w:ind w:left="620" w:hanging="296"/>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qualification of at least one of our directors as an "audit committee financial expert" as defined by the SEC; and</w:t>
      </w:r>
    </w:p>
    <w:p>
      <w:pPr>
        <w:spacing w:after="0" w:line="111" w:lineRule="exact"/>
        <w:rPr>
          <w:rFonts w:ascii="Arial" w:cs="Arial" w:eastAsia="Arial" w:hAnsi="Arial"/>
          <w:sz w:val="18"/>
          <w:szCs w:val="18"/>
          <w:color w:val="auto"/>
        </w:rPr>
      </w:pPr>
    </w:p>
    <w:p>
      <w:pPr>
        <w:ind w:left="640" w:right="220" w:hanging="316"/>
        <w:spacing w:after="0" w:line="251" w:lineRule="auto"/>
        <w:tabs>
          <w:tab w:leader="none" w:pos="6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adoption of other corporate governance best practices, including limits on the number of directorships held by our directors to prevent "overboarding" and implementation a robust director education program.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 in Risk Oversight</w:t>
      </w:r>
    </w:p>
    <w:p>
      <w:pPr>
        <w:spacing w:after="0" w:line="133"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 board of directors will have extensive involvement in the oversight of risk management related to us and our business and will accomplish this oversight through the regular reporting to the board of directors by the audit committee. The audit committee will represent the board of directors by periodically reviewing our accounting, reporting and financial practices, including the integrity of our financial statements, the surveillance of administrative and financial controls and our compliance with legal and regulatory requirements. Through its regular meetings with management, including the finance, legal, internal audit and information technology functions, the audit committee will review and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30" w:right="359" w:bottom="1440" w:gutter="0" w:footer="0" w:header="0"/>
        </w:sectPr>
      </w:pPr>
    </w:p>
    <w:bookmarkStart w:id="67" w:name="page68"/>
    <w:bookmarkEnd w:id="67"/>
    <w:p>
      <w:pPr>
        <w:ind w:right="180"/>
        <w:spacing w:after="0" w:line="251" w:lineRule="auto"/>
        <w:rPr>
          <w:sz w:val="20"/>
          <w:szCs w:val="20"/>
          <w:color w:val="auto"/>
        </w:rPr>
      </w:pPr>
      <w:r>
        <w:rPr>
          <w:rFonts w:ascii="Arial" w:cs="Arial" w:eastAsia="Arial" w:hAnsi="Arial"/>
          <w:sz w:val="18"/>
          <w:szCs w:val="18"/>
          <w:color w:val="auto"/>
        </w:rPr>
        <w:t>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Exemption</w:t>
      </w:r>
    </w:p>
    <w:p>
      <w:pPr>
        <w:spacing w:after="0" w:line="13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Private investment funds managed by Atlas beneficially own a majority of the voting power of all outstanding shares of our common stock. As a result, we are a "controlled company" within the meaning of Nasdaq’s corporate governance standards.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its board of directors consist of independent directors and (2) that its board of directors have a compensation committee that is composed entirely of independent directors with a written charter addressing the committee’s purpose and responsibilities. For at least some period following the Merger, we may utilize these exemptions and our stockholders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our board in order to achieve such compliance within the applicable transition period. See "</w:t>
      </w:r>
      <w:r>
        <w:rPr>
          <w:rFonts w:ascii="Arial" w:cs="Arial" w:eastAsia="Arial" w:hAnsi="Arial"/>
          <w:sz w:val="18"/>
          <w:szCs w:val="18"/>
          <w:i w:val="1"/>
          <w:iCs w:val="1"/>
          <w:color w:val="auto"/>
        </w:rPr>
        <w:t>Risk Factors—Risks related to the Ownership of our Securities—Because we are a "controlled company" within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meaning of the Nasdaq listing rules, our stockholders may not have certain corporate governance protections that are available to stockholders of companies that are not controlled companies" </w:t>
      </w:r>
      <w:r>
        <w:rPr>
          <w:rFonts w:ascii="Arial" w:cs="Arial" w:eastAsia="Arial" w:hAnsi="Arial"/>
          <w:sz w:val="18"/>
          <w:szCs w:val="18"/>
          <w:color w:val="auto"/>
        </w:rPr>
        <w:t>for further details.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13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Our board of directors meets periodically during the year to review significant developments affecting us and to act on matters requiring the approval of our board of directors. Our board of directors met seven times during our last fiscal year. During our last fiscal year, each director attended at least 75% of the aggregate of (i) the total number of meetings of our board of directors held during the period for which he or she had been a director and (ii) the total number of meetings held by all committees of our board of directors on which he or she served during the periods that he or she served. We encourage our directors and nominees for director to attend our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33" w:lineRule="exact"/>
        <w:rPr>
          <w:sz w:val="20"/>
          <w:szCs w:val="20"/>
          <w:color w:val="auto"/>
        </w:rPr>
      </w:pPr>
    </w:p>
    <w:p>
      <w:pPr>
        <w:ind w:right="960"/>
        <w:spacing w:after="0" w:line="251" w:lineRule="auto"/>
        <w:rPr>
          <w:sz w:val="20"/>
          <w:szCs w:val="20"/>
          <w:color w:val="auto"/>
        </w:rPr>
      </w:pPr>
      <w:r>
        <w:rPr>
          <w:rFonts w:ascii="Arial" w:cs="Arial" w:eastAsia="Arial" w:hAnsi="Arial"/>
          <w:sz w:val="18"/>
          <w:szCs w:val="18"/>
          <w:color w:val="auto"/>
        </w:rPr>
        <w:t>Our board has established an Audit Committee and a Compensation Committee, each with its own charter posted on our website at https://ir.greenidge.com. These committees aim to strengthen and support our corporate governance structure.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Audit Committee consists of at least three directors determined by the Board of Directors to meet the independence, financial literacy and other requirements of Nasdaq and applicable federal law, including Section 10A(m)(3) of the Exchange Act and the rules and regulations of the SEC. All directors must be "Non-Employee Directors" as defined by Rule 16b-3 under the Exchange Act. The members of the Audit Committee are appointed by our board and may be removed by the board of directors in its discretion. The Audit Committee is entitled to delegate any of its responsibilities to subcommittees as the Audit Committee may deem appropriate, provided the subcommittees are composed entirely of directors who meet the above-listed criteria.</w:t>
      </w:r>
    </w:p>
    <w:p>
      <w:pPr>
        <w:spacing w:after="0" w:line="145"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Currently, our Audit Committee consists of Michael Neuscheler, Timothy Lowe and Daniel Rothaupt. Michael Neuscheler serves as the Chairman of our Audit Committee. Messrs. Neuscheler, Lowe and Rothaupt meet the requirements for independence under the Nasdaq listing standards and SEC rules and regulations. The Board of Directors has determined that each Audit Committee member has sufficient knowledge in financial and auditing matters to serve on the Audit Committee. Each member of our audit committee meet the Nasdaq listing standard of financial literacy and sophistication and Mr. Neuscheler is considered an "audit committee financial expert" under SEC rules.</w:t>
      </w:r>
    </w:p>
    <w:p>
      <w:pPr>
        <w:spacing w:after="0" w:line="214" w:lineRule="exact"/>
        <w:rPr>
          <w:sz w:val="20"/>
          <w:szCs w:val="20"/>
          <w:color w:val="auto"/>
        </w:rPr>
      </w:pPr>
    </w:p>
    <w:p>
      <w:pPr>
        <w:jc w:val="both"/>
        <w:ind w:right="800"/>
        <w:spacing w:after="0" w:line="247" w:lineRule="auto"/>
        <w:rPr>
          <w:sz w:val="20"/>
          <w:szCs w:val="20"/>
          <w:color w:val="auto"/>
        </w:rPr>
      </w:pPr>
      <w:r>
        <w:rPr>
          <w:rFonts w:ascii="Arial" w:cs="Arial" w:eastAsia="Arial" w:hAnsi="Arial"/>
          <w:sz w:val="18"/>
          <w:szCs w:val="18"/>
          <w:color w:val="auto"/>
        </w:rPr>
        <w:t>We are required to provide the Audit Committee with the appropriate funding for payment of (i) compensation to any registered public accounting firm engaged for the purpose of preparing or issuing an audit report or performing other audit, review or attest services for Greenidge, (ii) compensation to any Advisors employed by the Audit Committee and (iii) ordinary administrative expenses of the Audit Committee that are necessary or appropriate in carrying out its duties.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8" w:name="page69"/>
    <w:bookmarkEnd w:id="68"/>
    <w:p>
      <w:pPr>
        <w:ind w:right="100"/>
        <w:spacing w:after="0" w:line="248" w:lineRule="auto"/>
        <w:rPr>
          <w:sz w:val="20"/>
          <w:szCs w:val="20"/>
          <w:color w:val="auto"/>
        </w:rPr>
      </w:pPr>
      <w:r>
        <w:rPr>
          <w:rFonts w:ascii="Arial" w:cs="Arial" w:eastAsia="Arial" w:hAnsi="Arial"/>
          <w:sz w:val="18"/>
          <w:szCs w:val="18"/>
          <w:color w:val="auto"/>
        </w:rPr>
        <w:t>The Audit Committee holds meetings as often as required, but no less than two (2) times per year. Minutes of each meeting of the Audit Committee are prepared by the Secretary of Greenidge or his or her designee and approved by the Committee. Such minutes are filed with the Secretary of Greenidge and retained in the minute book of the Greenidge board.</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Audit Committee assists our board in its oversight of: (1) the integrity of our financial statements, (2) the independent auditor’s qualifications and independence, (3) the performance of our internal audit function and independent auditors, and (4) our compliance with legal and regulatory requirements not specifically delegated to our other committees. In particular, the Audit Committee has the following duties:</w:t>
      </w:r>
    </w:p>
    <w:p>
      <w:pPr>
        <w:spacing w:after="0" w:line="82" w:lineRule="exact"/>
        <w:rPr>
          <w:sz w:val="20"/>
          <w:szCs w:val="20"/>
          <w:color w:val="auto"/>
        </w:rPr>
      </w:pPr>
    </w:p>
    <w:p>
      <w:pPr>
        <w:ind w:left="640" w:right="100" w:hanging="316"/>
        <w:spacing w:after="0" w:line="247" w:lineRule="auto"/>
        <w:tabs>
          <w:tab w:leader="none" w:pos="6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appointing, compensating, retaining and oversighting the work of any registered public accounting firm engaged (including resolution of disagreements between management and the auditor regarding financial reporting) for the purpose of preparing or issuing an audit report or performing other audit, review or attest services for Greenidge, and each such registered public accounting firm must report directly to the Audit Committee;</w:t>
      </w:r>
    </w:p>
    <w:p>
      <w:pPr>
        <w:spacing w:after="0" w:line="101" w:lineRule="exact"/>
        <w:rPr>
          <w:rFonts w:ascii="Arial" w:cs="Arial" w:eastAsia="Arial" w:hAnsi="Arial"/>
          <w:sz w:val="18"/>
          <w:szCs w:val="18"/>
          <w:color w:val="auto"/>
        </w:rPr>
      </w:pPr>
    </w:p>
    <w:p>
      <w:pPr>
        <w:ind w:left="620" w:hanging="296"/>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selection and oversight of the Internal Auditor;</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approving the appointment and replacement of the head of the internal auditing department;</w:t>
      </w:r>
    </w:p>
    <w:p>
      <w:pPr>
        <w:spacing w:after="0" w:line="111" w:lineRule="exact"/>
        <w:rPr>
          <w:rFonts w:ascii="Arial" w:cs="Arial" w:eastAsia="Arial" w:hAnsi="Arial"/>
          <w:sz w:val="18"/>
          <w:szCs w:val="18"/>
          <w:color w:val="auto"/>
        </w:rPr>
      </w:pPr>
    </w:p>
    <w:p>
      <w:pPr>
        <w:jc w:val="both"/>
        <w:ind w:left="640" w:right="40" w:hanging="316"/>
        <w:spacing w:after="0" w:line="280" w:lineRule="auto"/>
        <w:tabs>
          <w:tab w:leader="none" w:pos="6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advising the head of the internal auditing department that he or she is expected to provide to the Audit Committee summaries of and, as appropriate, the significant reports to management prepared by the internal auditing department and management’s responses thereto;</w:t>
      </w:r>
    </w:p>
    <w:p>
      <w:pPr>
        <w:spacing w:after="0" w:line="73" w:lineRule="exact"/>
        <w:rPr>
          <w:rFonts w:ascii="Arial" w:cs="Arial" w:eastAsia="Arial" w:hAnsi="Arial"/>
          <w:sz w:val="17"/>
          <w:szCs w:val="17"/>
          <w:color w:val="auto"/>
        </w:rPr>
      </w:pPr>
    </w:p>
    <w:p>
      <w:pPr>
        <w:ind w:left="620" w:hanging="296"/>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recommending and approving the compensation plan for the head of internal audit in consultation with management;</w:t>
      </w:r>
    </w:p>
    <w:p>
      <w:pPr>
        <w:spacing w:after="0" w:line="111" w:lineRule="exact"/>
        <w:rPr>
          <w:rFonts w:ascii="Arial" w:cs="Arial" w:eastAsia="Arial" w:hAnsi="Arial"/>
          <w:sz w:val="18"/>
          <w:szCs w:val="18"/>
          <w:color w:val="auto"/>
        </w:rPr>
      </w:pPr>
    </w:p>
    <w:p>
      <w:pPr>
        <w:ind w:left="640" w:right="40" w:hanging="316"/>
        <w:spacing w:after="0" w:line="280" w:lineRule="auto"/>
        <w:tabs>
          <w:tab w:leader="none" w:pos="6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advising management, the internal auditing department and the independent auditors that they are expected to provide to the Audit Committee a timely analysis of significant financial reporting issues and practices and significant internal audit controls and procedures;</w:t>
      </w:r>
    </w:p>
    <w:p>
      <w:pPr>
        <w:spacing w:after="0" w:line="73" w:lineRule="exact"/>
        <w:rPr>
          <w:rFonts w:ascii="Arial" w:cs="Arial" w:eastAsia="Arial" w:hAnsi="Arial"/>
          <w:sz w:val="17"/>
          <w:szCs w:val="17"/>
          <w:color w:val="auto"/>
        </w:rPr>
      </w:pPr>
    </w:p>
    <w:p>
      <w:pPr>
        <w:ind w:left="640" w:right="20" w:hanging="316"/>
        <w:spacing w:after="0" w:line="270" w:lineRule="auto"/>
        <w:tabs>
          <w:tab w:leader="none" w:pos="6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reviewing and approving the annual audit plan and audit fee submitted by the independent auditors and discussing with the independent auditors the overall approach to and scope of the audit examination with particular attention focused on those areas where either the Audit Committee, the Greenidge board, management or the independent auditors believe special emphasis is desirable;</w:t>
      </w:r>
    </w:p>
    <w:p>
      <w:pPr>
        <w:spacing w:after="0" w:line="82" w:lineRule="exact"/>
        <w:rPr>
          <w:rFonts w:ascii="Arial" w:cs="Arial" w:eastAsia="Arial" w:hAnsi="Arial"/>
          <w:sz w:val="17"/>
          <w:szCs w:val="17"/>
          <w:color w:val="auto"/>
        </w:rPr>
      </w:pPr>
    </w:p>
    <w:p>
      <w:pPr>
        <w:ind w:left="640" w:right="180" w:hanging="316"/>
        <w:spacing w:after="0" w:line="251" w:lineRule="auto"/>
        <w:tabs>
          <w:tab w:leader="none" w:pos="6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and management the audited financial statements, the results of the audit and the independent auditors’ report or opinion on matters related to the performance of such audit;</w:t>
      </w:r>
    </w:p>
    <w:p>
      <w:pPr>
        <w:spacing w:after="0" w:line="97" w:lineRule="exact"/>
        <w:rPr>
          <w:rFonts w:ascii="Arial" w:cs="Arial" w:eastAsia="Arial" w:hAnsi="Arial"/>
          <w:sz w:val="18"/>
          <w:szCs w:val="18"/>
          <w:color w:val="auto"/>
        </w:rPr>
      </w:pPr>
    </w:p>
    <w:p>
      <w:pPr>
        <w:ind w:left="640" w:right="380" w:hanging="316"/>
        <w:spacing w:after="0" w:line="251" w:lineRule="auto"/>
        <w:tabs>
          <w:tab w:leader="none" w:pos="6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any other financial statements or reports, as requested by management or determined by the Audit Committee, which are required to be filed with any federal, state or local regulatory agency prior to filing with the appropriate regulatory body;</w:t>
      </w:r>
    </w:p>
    <w:p>
      <w:pPr>
        <w:spacing w:after="0" w:line="97" w:lineRule="exact"/>
        <w:rPr>
          <w:rFonts w:ascii="Arial" w:cs="Arial" w:eastAsia="Arial" w:hAnsi="Arial"/>
          <w:sz w:val="18"/>
          <w:szCs w:val="18"/>
          <w:color w:val="auto"/>
        </w:rPr>
      </w:pPr>
    </w:p>
    <w:p>
      <w:pPr>
        <w:ind w:left="640" w:right="700" w:hanging="316"/>
        <w:spacing w:after="0" w:line="251" w:lineRule="auto"/>
        <w:tabs>
          <w:tab w:leader="none" w:pos="6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reassessing the adequacy of the Audit Committee charter on an annual basis, and make recommendations as to changed thereto as may be necessary or appropriate; and</w:t>
      </w:r>
    </w:p>
    <w:p>
      <w:pPr>
        <w:spacing w:after="0" w:line="97" w:lineRule="exact"/>
        <w:rPr>
          <w:rFonts w:ascii="Arial" w:cs="Arial" w:eastAsia="Arial" w:hAnsi="Arial"/>
          <w:sz w:val="18"/>
          <w:szCs w:val="18"/>
          <w:color w:val="auto"/>
        </w:rPr>
      </w:pPr>
    </w:p>
    <w:p>
      <w:pPr>
        <w:ind w:left="640" w:right="620" w:hanging="316"/>
        <w:spacing w:after="0" w:line="251" w:lineRule="auto"/>
        <w:tabs>
          <w:tab w:leader="none" w:pos="6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reporting its activities to the full Greenidge board on a regular basis, making such recommendations the Audit Committee deems necessary or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reviews the audit committee charter annually. The audit committee held four meetings during the fiscal year 2022.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Compensation Committee consists of at least two members of our board, each of whom, following the time at which we are no longer a "controlled company" as defined under the Nasdaq rules, shall qualify as "independent" under the Nasdaq independence rules and shall also be "Non-Employee Directors" as defined by Rule 16b-3 under the Exchange Act. The members of our Compensation Committee elect a Chairperson to preside at all meetings of the Compensation Committee. The Compensation Committee has the authority to delegate any of its responsibilities to subcommittees as the Compensation Committee may deem appropriate, provided the subcommittees are composed entirely of directors who meet the above-listed criteria.</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69" w:name="page70"/>
    <w:bookmarkEnd w:id="69"/>
    <w:p>
      <w:pPr>
        <w:ind w:right="280"/>
        <w:spacing w:after="0" w:line="248" w:lineRule="auto"/>
        <w:rPr>
          <w:sz w:val="20"/>
          <w:szCs w:val="20"/>
          <w:color w:val="auto"/>
        </w:rPr>
      </w:pPr>
      <w:r>
        <w:rPr>
          <w:rFonts w:ascii="Arial" w:cs="Arial" w:eastAsia="Arial" w:hAnsi="Arial"/>
          <w:sz w:val="18"/>
          <w:szCs w:val="18"/>
          <w:color w:val="auto"/>
        </w:rPr>
        <w:t>Currently, our Compensation Committee consists of Timothy Fazio and Jerome Lay. Timothy Fazio serves as the Chairman of our Compensation Committee. As a "controlled company," our Compensation Committee is not required to be comprised of entirely independent directors.</w:t>
      </w: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Compensation Committee will hold meetings as often as required. Minutes of each meeting of the Compensation Committee are to be prepared by the Secretary of Greenidge or his or her designee and approved by the Compensation Committee. Such minutes shall be filed with the Secretary of Greenidge and retained in the minute book of our board.</w:t>
      </w:r>
    </w:p>
    <w:p>
      <w:pPr>
        <w:spacing w:after="0" w:line="206"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The Compensation Committee is established to discharge certain of our board’s responsibilities relating to compensation of our executive officers and directors. In particular, the Compensation Committee has the following duties:</w:t>
      </w:r>
    </w:p>
    <w:p>
      <w:pPr>
        <w:spacing w:after="0" w:line="97" w:lineRule="exact"/>
        <w:rPr>
          <w:sz w:val="20"/>
          <w:szCs w:val="20"/>
          <w:color w:val="auto"/>
        </w:rPr>
      </w:pPr>
    </w:p>
    <w:p>
      <w:pPr>
        <w:ind w:left="640" w:right="300" w:hanging="316"/>
        <w:spacing w:after="0" w:line="251" w:lineRule="auto"/>
        <w:tabs>
          <w:tab w:leader="none" w:pos="6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and approving all option grants and other issuances of our equity securities to our chief executive officer and other executive officers;</w:t>
      </w:r>
    </w:p>
    <w:p>
      <w:pPr>
        <w:spacing w:after="0" w:line="97" w:lineRule="exact"/>
        <w:rPr>
          <w:rFonts w:ascii="Arial" w:cs="Arial" w:eastAsia="Arial" w:hAnsi="Arial"/>
          <w:sz w:val="18"/>
          <w:szCs w:val="18"/>
          <w:color w:val="auto"/>
        </w:rPr>
      </w:pPr>
    </w:p>
    <w:p>
      <w:pPr>
        <w:ind w:left="640" w:right="180" w:hanging="316"/>
        <w:spacing w:after="0" w:line="251" w:lineRule="auto"/>
        <w:tabs>
          <w:tab w:leader="none" w:pos="6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Approving all other option grants and issuances of our equity securities as compensation, and recommending that our full board make and approve such grants and issuances;</w:t>
      </w:r>
    </w:p>
    <w:p>
      <w:pPr>
        <w:spacing w:after="0" w:line="97" w:lineRule="exact"/>
        <w:rPr>
          <w:rFonts w:ascii="Arial" w:cs="Arial" w:eastAsia="Arial" w:hAnsi="Arial"/>
          <w:sz w:val="18"/>
          <w:szCs w:val="18"/>
          <w:color w:val="auto"/>
        </w:rPr>
      </w:pPr>
    </w:p>
    <w:p>
      <w:pPr>
        <w:ind w:left="640" w:right="80" w:hanging="316"/>
        <w:spacing w:after="0" w:line="248" w:lineRule="auto"/>
        <w:tabs>
          <w:tab w:leader="none" w:pos="6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corporate and individual goals and objectives relevant to compensation of our chief executive officer and other executive officers, and evaluating each such officer’s performance in light of those goals and objectives and certifying achievement of such goals and objectives;</w:t>
      </w:r>
    </w:p>
    <w:p>
      <w:pPr>
        <w:spacing w:after="0" w:line="100" w:lineRule="exact"/>
        <w:rPr>
          <w:rFonts w:ascii="Arial" w:cs="Arial" w:eastAsia="Arial" w:hAnsi="Arial"/>
          <w:sz w:val="18"/>
          <w:szCs w:val="18"/>
          <w:color w:val="auto"/>
        </w:rPr>
      </w:pPr>
    </w:p>
    <w:p>
      <w:pPr>
        <w:ind w:left="620" w:hanging="296"/>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Determining the compensation of our chief executive officer;</w:t>
      </w:r>
    </w:p>
    <w:p>
      <w:pPr>
        <w:spacing w:after="0" w:line="111" w:lineRule="exact"/>
        <w:rPr>
          <w:rFonts w:ascii="Arial" w:cs="Arial" w:eastAsia="Arial" w:hAnsi="Arial"/>
          <w:sz w:val="18"/>
          <w:szCs w:val="18"/>
          <w:color w:val="auto"/>
        </w:rPr>
      </w:pPr>
    </w:p>
    <w:p>
      <w:pPr>
        <w:ind w:left="640" w:right="560" w:hanging="316"/>
        <w:spacing w:after="0" w:line="251" w:lineRule="auto"/>
        <w:tabs>
          <w:tab w:leader="none" w:pos="6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Determining the compensation of the Chairman of our board and reviewing and making recommendations to our board regarding director compensation;</w:t>
      </w:r>
    </w:p>
    <w:p>
      <w:pPr>
        <w:spacing w:after="0" w:line="97" w:lineRule="exact"/>
        <w:rPr>
          <w:rFonts w:ascii="Arial" w:cs="Arial" w:eastAsia="Arial" w:hAnsi="Arial"/>
          <w:sz w:val="18"/>
          <w:szCs w:val="18"/>
          <w:color w:val="auto"/>
        </w:rPr>
      </w:pPr>
    </w:p>
    <w:p>
      <w:pPr>
        <w:ind w:left="620" w:hanging="296"/>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Recommending the compensation of our executive officers (other than the chief executive officer) to our board for determination;</w:t>
      </w:r>
    </w:p>
    <w:p>
      <w:pPr>
        <w:spacing w:after="0" w:line="111" w:lineRule="exact"/>
        <w:rPr>
          <w:rFonts w:ascii="Arial" w:cs="Arial" w:eastAsia="Arial" w:hAnsi="Arial"/>
          <w:sz w:val="18"/>
          <w:szCs w:val="18"/>
          <w:color w:val="auto"/>
        </w:rPr>
      </w:pPr>
    </w:p>
    <w:p>
      <w:pPr>
        <w:ind w:left="620" w:hanging="296"/>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Administering our cash and equity incentive plans;</w:t>
      </w:r>
    </w:p>
    <w:p>
      <w:pPr>
        <w:spacing w:after="0" w:line="111" w:lineRule="exact"/>
        <w:rPr>
          <w:rFonts w:ascii="Arial" w:cs="Arial" w:eastAsia="Arial" w:hAnsi="Arial"/>
          <w:sz w:val="18"/>
          <w:szCs w:val="18"/>
          <w:color w:val="auto"/>
        </w:rPr>
      </w:pPr>
    </w:p>
    <w:p>
      <w:pPr>
        <w:ind w:left="640" w:right="240" w:hanging="316"/>
        <w:spacing w:after="0" w:line="251" w:lineRule="auto"/>
        <w:tabs>
          <w:tab w:leader="none" w:pos="6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Preparing an annual compensation discussion and analysis for inclusion in our annual proxy statement in accordance with applicable SEC rules and regulations, which shall be prepared following discussion of thereof with our management;</w:t>
      </w:r>
    </w:p>
    <w:p>
      <w:pPr>
        <w:spacing w:after="0" w:line="97" w:lineRule="exact"/>
        <w:rPr>
          <w:rFonts w:ascii="Arial" w:cs="Arial" w:eastAsia="Arial" w:hAnsi="Arial"/>
          <w:sz w:val="18"/>
          <w:szCs w:val="18"/>
          <w:color w:val="auto"/>
        </w:rPr>
      </w:pPr>
    </w:p>
    <w:p>
      <w:pPr>
        <w:ind w:left="640" w:right="160" w:hanging="316"/>
        <w:spacing w:after="0" w:line="251" w:lineRule="auto"/>
        <w:tabs>
          <w:tab w:leader="none" w:pos="6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and evaluating, at least annually, the Compensation Committee charter and the adequacy of the Compensation Committee charter, as well as the performance of the Compensation Committee; and</w:t>
      </w:r>
    </w:p>
    <w:p>
      <w:pPr>
        <w:spacing w:after="0" w:line="97" w:lineRule="exact"/>
        <w:rPr>
          <w:rFonts w:ascii="Arial" w:cs="Arial" w:eastAsia="Arial" w:hAnsi="Arial"/>
          <w:sz w:val="18"/>
          <w:szCs w:val="18"/>
          <w:color w:val="auto"/>
        </w:rPr>
      </w:pPr>
    </w:p>
    <w:p>
      <w:pPr>
        <w:ind w:left="620" w:hanging="296"/>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Performing any other duties or responsibilities expressly delegated to the Compensation Committee by our board from time to time.</w:t>
      </w:r>
    </w:p>
    <w:p>
      <w:pPr>
        <w:spacing w:after="0" w:line="21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Our Compensation Committee reviews the compensation committee charter annually. The compensation committee held two meetings during the fiscal year 2022.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No member of the Compensation Committee was at any time during the year 2022, or at any other time, one of our officers or employees. We are party to certain transactions described in "Certain Relationships and Related Party Transactions." None of our executive officers has served as a member of a compensation committee (or other committee serving an equivalent function) of any entity, one of which’s executive officers served as a director of our board or member of our Compensation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Nasdaq’s rules generally require that a majority of an issuer’s board of directors must consist of independent directors. Our board currently consists of nine (9) directors, five (5) of whom are not independent within the meaning of the Nasdaq’s rules. We have entered into independent director agreements with Michael Neuscheler, Ted Rogers, Daniel Rothaupt and Timothy Lowe, pursuant to which they have been appointed to serve as independent directors as of March 2021. Our board has determined that each of Messrs. Neuscheler, Rogers, Rothaupt and Lowe are independent.</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Code of Business Conduct</w:t>
      </w:r>
    </w:p>
    <w:p>
      <w:pPr>
        <w:spacing w:after="0" w:line="13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have adopted a new code of business conduct that applies to all of our directors, officers and employees, including our principal executive officer, principal financial officer and principal accounting officer, which is available on our website. Our code of business conduct is a "code of ethics", as defined in Item 406(b) of Regulation S-K. Please note that our website address is provided as an inactive textual reference only. We will make any legally required disclosures regarding amendments to, or waivers of, provisions of our code of business conduct on our website.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3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Our board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Messrs. Neuscheler, Rogers, Rothaupt and Lowe. As there is no standing nominating committee, we do not have a nominating committee charter in place.</w:t>
      </w:r>
    </w:p>
    <w:p>
      <w:pPr>
        <w:spacing w:after="0" w:line="211"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Our board will also consider director candidates recommended for nomination by our stockholders during such times as they are seeking proposed nominees to stand for election at the next annual meeting of stockholders (or, if applicable, a special meeting of stockholders). A stockholder that wishes to nominate a director for election to our board should follow the procedures set forth in our bylaws.</w:t>
      </w:r>
    </w:p>
    <w:p>
      <w:pPr>
        <w:spacing w:after="0" w:line="18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our board considers educational background, diversity of professional experience, knowledge of our business, integrity, professional reputation, independence, wisdom, and the ability to represent the best interests of our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8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Section 16(a) of the Exchange Act requires our directors, certain officers and any beneficial owners of more than 10% of our common stock to file reports relating to their ownership and changes in ownership of our common stock with the SEC and Nasdaq by certain deadlines. Based on a review of Section 16 filings with respect to our Company made during or with respect to the portion of the year ended December 31, 2022 during which Section 16(a) was applicable to such persons, we are not aware of any late Section 16(a) filings other than one late Form 4 filed by Robert Loughran reporting one transaction.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92" w:lineRule="exact"/>
        <w:rPr>
          <w:sz w:val="20"/>
          <w:szCs w:val="20"/>
          <w:color w:val="auto"/>
        </w:rPr>
      </w:pPr>
    </w:p>
    <w:p>
      <w:pPr>
        <w:ind w:right="780"/>
        <w:spacing w:after="0" w:line="251" w:lineRule="auto"/>
        <w:rPr>
          <w:sz w:val="20"/>
          <w:szCs w:val="20"/>
          <w:color w:val="auto"/>
        </w:rPr>
      </w:pPr>
      <w:r>
        <w:rPr>
          <w:rFonts w:ascii="Arial" w:cs="Arial" w:eastAsia="Arial" w:hAnsi="Arial"/>
          <w:sz w:val="18"/>
          <w:szCs w:val="18"/>
          <w:color w:val="auto"/>
        </w:rPr>
        <w:t>This section sets forth the compensation of those who served as our principal executive officers in 2022 and our two other most highly compensated executive officers for the year ended December 31, 2022 (our "NEOs"). Our NEOs are:</w:t>
      </w:r>
    </w:p>
    <w:p>
      <w:pPr>
        <w:spacing w:after="0" w:line="97" w:lineRule="exact"/>
        <w:rPr>
          <w:sz w:val="20"/>
          <w:szCs w:val="20"/>
          <w:color w:val="auto"/>
        </w:rPr>
      </w:pPr>
    </w:p>
    <w:p>
      <w:pPr>
        <w:ind w:left="920" w:hanging="27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David Anderson, our Chief Executive Officer;</w:t>
      </w:r>
    </w:p>
    <w:p>
      <w:pPr>
        <w:spacing w:after="0" w:line="121" w:lineRule="exact"/>
        <w:rPr>
          <w:rFonts w:ascii="Arial" w:cs="Arial" w:eastAsia="Arial" w:hAnsi="Arial"/>
          <w:sz w:val="18"/>
          <w:szCs w:val="18"/>
          <w:color w:val="auto"/>
        </w:rPr>
      </w:pPr>
    </w:p>
    <w:p>
      <w:pPr>
        <w:ind w:left="960" w:hanging="318"/>
        <w:spacing w:after="0"/>
        <w:tabs>
          <w:tab w:leader="none" w:pos="960" w:val="left"/>
        </w:tabs>
        <w:numPr>
          <w:ilvl w:val="0"/>
          <w:numId w:val="33"/>
        </w:numPr>
        <w:rPr>
          <w:rFonts w:ascii="Arial" w:cs="Arial" w:eastAsia="Arial" w:hAnsi="Arial"/>
          <w:sz w:val="21"/>
          <w:szCs w:val="21"/>
          <w:color w:val="auto"/>
        </w:rPr>
      </w:pPr>
      <w:r>
        <w:rPr>
          <w:rFonts w:ascii="Arial" w:cs="Arial" w:eastAsia="Arial" w:hAnsi="Arial"/>
          <w:sz w:val="18"/>
          <w:szCs w:val="18"/>
          <w:color w:val="auto"/>
        </w:rPr>
        <w:t>Jeffrey E. Kirt, our former Chief Executive Officer;</w:t>
      </w:r>
    </w:p>
    <w:p>
      <w:pPr>
        <w:spacing w:after="0" w:line="106" w:lineRule="exact"/>
        <w:rPr>
          <w:rFonts w:ascii="Arial" w:cs="Arial" w:eastAsia="Arial" w:hAnsi="Arial"/>
          <w:sz w:val="21"/>
          <w:szCs w:val="21"/>
          <w:color w:val="auto"/>
        </w:rPr>
      </w:pPr>
    </w:p>
    <w:p>
      <w:pPr>
        <w:ind w:left="920" w:hanging="27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Terence A. Burke, our General Counsel; and</w:t>
      </w:r>
    </w:p>
    <w:p>
      <w:pPr>
        <w:spacing w:after="0" w:line="111" w:lineRule="exact"/>
        <w:rPr>
          <w:rFonts w:ascii="Arial" w:cs="Arial" w:eastAsia="Arial" w:hAnsi="Arial"/>
          <w:sz w:val="18"/>
          <w:szCs w:val="18"/>
          <w:color w:val="auto"/>
        </w:rPr>
      </w:pPr>
    </w:p>
    <w:p>
      <w:pPr>
        <w:ind w:left="920" w:hanging="27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Scott MacKenzie, our Chief Strategy Officer</w:t>
      </w:r>
    </w:p>
    <w:p>
      <w:pPr>
        <w:spacing w:after="0" w:line="217" w:lineRule="exact"/>
        <w:rPr>
          <w:sz w:val="20"/>
          <w:szCs w:val="20"/>
          <w:color w:val="auto"/>
        </w:rPr>
      </w:pPr>
    </w:p>
    <w:p>
      <w:pPr>
        <w:ind w:right="20"/>
        <w:spacing w:after="0" w:line="212" w:lineRule="exact"/>
        <w:rPr>
          <w:sz w:val="20"/>
          <w:szCs w:val="20"/>
          <w:color w:val="auto"/>
        </w:rPr>
      </w:pPr>
      <w:r>
        <w:rPr>
          <w:rFonts w:ascii="Arial" w:cs="Arial" w:eastAsia="Arial" w:hAnsi="Arial"/>
          <w:sz w:val="18"/>
          <w:szCs w:val="18"/>
          <w:color w:val="auto"/>
        </w:rPr>
        <w:t>As an "emerging growth company" under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w:t>
      </w:r>
      <w:r>
        <w:rPr>
          <w:rFonts w:ascii="MS PGothic" w:cs="MS PGothic" w:eastAsia="MS PGothic" w:hAnsi="MS PGothic"/>
          <w:sz w:val="18"/>
          <w:szCs w:val="18"/>
          <w:color w:val="auto"/>
        </w:rPr>
        <w:t>‑</w:t>
      </w:r>
      <w:r>
        <w:rPr>
          <w:rFonts w:ascii="Arial" w:cs="Arial" w:eastAsia="Arial" w:hAnsi="Arial"/>
          <w:sz w:val="18"/>
          <w:szCs w:val="18"/>
          <w:color w:val="auto"/>
        </w:rPr>
        <w:t>on</w:t>
      </w:r>
      <w:r>
        <w:rPr>
          <w:rFonts w:ascii="MS PGothic" w:cs="MS PGothic" w:eastAsia="MS PGothic" w:hAnsi="MS PGothic"/>
          <w:sz w:val="18"/>
          <w:szCs w:val="18"/>
          <w:color w:val="auto"/>
        </w:rPr>
        <w:t>‑</w:t>
      </w:r>
      <w:r>
        <w:rPr>
          <w:rFonts w:ascii="Arial" w:cs="Arial" w:eastAsia="Arial" w:hAnsi="Arial"/>
          <w:sz w:val="18"/>
          <w:szCs w:val="18"/>
          <w:color w:val="auto"/>
        </w:rPr>
        <w:t>frequency" votes.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30"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Summary Compensation Table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compensation of our NEOs for service in all capacities for the years ended December 31, 2022 and 2021.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Stock Awards</w:t>
            </w: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Option Awards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2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1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 xml:space="preserve">Year </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2"/>
                <w:szCs w:val="12"/>
                <w:color w:val="auto"/>
              </w:rPr>
            </w:pPr>
          </w:p>
        </w:tc>
        <w:tc>
          <w:tcPr>
            <w:tcW w:w="10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Salary ($)</w:t>
            </w:r>
          </w:p>
        </w:tc>
        <w:tc>
          <w:tcPr>
            <w:tcW w:w="100" w:type="dxa"/>
            <w:vAlign w:val="bottom"/>
            <w:vMerge w:val="restart"/>
          </w:tcPr>
          <w:p>
            <w:pPr>
              <w:spacing w:after="0"/>
              <w:rPr>
                <w:sz w:val="12"/>
                <w:szCs w:val="12"/>
                <w:color w:val="auto"/>
              </w:rPr>
            </w:pPr>
          </w:p>
        </w:tc>
        <w:tc>
          <w:tcPr>
            <w:tcW w:w="10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(3)</w:t>
            </w:r>
          </w:p>
        </w:tc>
        <w:tc>
          <w:tcPr>
            <w:tcW w:w="100" w:type="dxa"/>
            <w:vAlign w:val="bottom"/>
            <w:vMerge w:val="restart"/>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Compensation ($)</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auto"/>
            </w:tcBorders>
          </w:tcPr>
          <w:p>
            <w:pPr>
              <w:jc w:val="right"/>
              <w:ind w:right="358"/>
              <w:spacing w:after="0" w:line="14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(4)</w:t>
            </w: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38"/>
              <w:spacing w:after="0" w:line="14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(5)</w:t>
            </w:r>
          </w:p>
        </w:tc>
        <w:tc>
          <w:tcPr>
            <w:tcW w:w="1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(6)</w:t>
            </w:r>
          </w:p>
        </w:tc>
        <w:tc>
          <w:tcPr>
            <w:tcW w:w="1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Anderson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1,855,591</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1,947,899</w:t>
            </w:r>
          </w:p>
        </w:tc>
        <w:tc>
          <w:tcPr>
            <w:tcW w:w="0" w:type="dxa"/>
            <w:vAlign w:val="bottom"/>
          </w:tcPr>
          <w:p>
            <w:pPr>
              <w:spacing w:after="0"/>
              <w:rPr>
                <w:sz w:val="1"/>
                <w:szCs w:val="1"/>
                <w:color w:val="auto"/>
              </w:rPr>
            </w:pPr>
          </w:p>
        </w:tc>
      </w:tr>
      <w:tr>
        <w:trPr>
          <w:trHeight w:val="225"/>
        </w:trPr>
        <w:tc>
          <w:tcPr>
            <w:tcW w:w="322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2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Jeffrey E. Kirt </w:t>
            </w:r>
            <w:r>
              <w:rPr>
                <w:rFonts w:ascii="Arial" w:cs="Arial" w:eastAsia="Arial" w:hAnsi="Arial"/>
                <w:sz w:val="22"/>
                <w:szCs w:val="22"/>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424,200</w:t>
            </w:r>
          </w:p>
        </w:tc>
        <w:tc>
          <w:tcPr>
            <w:tcW w:w="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
              <w:spacing w:after="0"/>
              <w:rPr>
                <w:sz w:val="20"/>
                <w:szCs w:val="20"/>
                <w:color w:val="auto"/>
              </w:rPr>
            </w:pPr>
            <w:r>
              <w:rPr>
                <w:rFonts w:ascii="Arial" w:cs="Arial" w:eastAsia="Arial" w:hAnsi="Arial"/>
                <w:sz w:val="18"/>
                <w:szCs w:val="18"/>
                <w:color w:val="auto"/>
              </w:rPr>
              <w:t>179,087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1,053,287</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Former Chief Executive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3,500,860</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4,408,552</w:t>
            </w:r>
          </w:p>
        </w:tc>
        <w:tc>
          <w:tcPr>
            <w:tcW w:w="0" w:type="dxa"/>
            <w:vAlign w:val="bottom"/>
          </w:tcPr>
          <w:p>
            <w:pPr>
              <w:spacing w:after="0"/>
              <w:rPr>
                <w:sz w:val="1"/>
                <w:szCs w:val="1"/>
                <w:color w:val="auto"/>
              </w:rPr>
            </w:pPr>
          </w:p>
        </w:tc>
      </w:tr>
      <w:tr>
        <w:trPr>
          <w:trHeight w:val="265"/>
        </w:trPr>
        <w:tc>
          <w:tcPr>
            <w:tcW w:w="3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Terence A. Burke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70,793</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23,276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626,041</w:t>
            </w:r>
          </w:p>
        </w:tc>
        <w:tc>
          <w:tcPr>
            <w:tcW w:w="0" w:type="dxa"/>
            <w:vAlign w:val="bottom"/>
          </w:tcPr>
          <w:p>
            <w:pPr>
              <w:spacing w:after="0"/>
              <w:rPr>
                <w:sz w:val="1"/>
                <w:szCs w:val="1"/>
                <w:color w:val="auto"/>
              </w:rPr>
            </w:pPr>
          </w:p>
        </w:tc>
      </w:tr>
      <w:tr>
        <w:trPr>
          <w:trHeight w:val="225"/>
        </w:trPr>
        <w:tc>
          <w:tcPr>
            <w:tcW w:w="3220" w:type="dxa"/>
            <w:vAlign w:val="bottom"/>
            <w:gridSpan w:val="2"/>
          </w:tcPr>
          <w:p>
            <w:pPr>
              <w:ind w:left="20"/>
              <w:spacing w:after="0"/>
              <w:rPr>
                <w:sz w:val="20"/>
                <w:szCs w:val="20"/>
                <w:color w:val="auto"/>
              </w:rPr>
            </w:pPr>
            <w:r>
              <w:rPr>
                <w:rFonts w:ascii="Arial" w:cs="Arial" w:eastAsia="Arial" w:hAnsi="Arial"/>
                <w:sz w:val="18"/>
                <w:szCs w:val="18"/>
                <w:i w:val="1"/>
                <w:iCs w:val="1"/>
                <w:color w:val="auto"/>
              </w:rPr>
              <w:t>General Counsel</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Scott MacKenzie</w:t>
            </w:r>
          </w:p>
        </w:tc>
        <w:tc>
          <w:tcPr>
            <w:tcW w:w="68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41,538</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1,225,866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1,267,404</w:t>
            </w:r>
          </w:p>
        </w:tc>
        <w:tc>
          <w:tcPr>
            <w:tcW w:w="0" w:type="dxa"/>
            <w:vAlign w:val="bottom"/>
          </w:tcPr>
          <w:p>
            <w:pPr>
              <w:spacing w:after="0"/>
              <w:rPr>
                <w:sz w:val="1"/>
                <w:szCs w:val="1"/>
                <w:color w:val="auto"/>
              </w:rPr>
            </w:pPr>
          </w:p>
        </w:tc>
      </w:tr>
      <w:tr>
        <w:trPr>
          <w:trHeight w:val="22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Strategy Officer</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5" w:lineRule="exact"/>
        <w:rPr>
          <w:sz w:val="20"/>
          <w:szCs w:val="20"/>
          <w:color w:val="auto"/>
        </w:rPr>
      </w:pPr>
    </w:p>
    <w:p>
      <w:pPr>
        <w:ind w:right="200" w:firstLine="17"/>
        <w:spacing w:after="0" w:line="230" w:lineRule="auto"/>
        <w:rPr>
          <w:sz w:val="20"/>
          <w:szCs w:val="20"/>
          <w:color w:val="auto"/>
        </w:rPr>
      </w:pPr>
      <w:r>
        <w:rPr>
          <w:rFonts w:ascii="Arial" w:cs="Arial" w:eastAsia="Arial" w:hAnsi="Arial"/>
          <w:sz w:val="18"/>
          <w:szCs w:val="18"/>
          <w:color w:val="auto"/>
        </w:rPr>
        <w:t>Mr. Burke commenced employment with the Company in January 2022 and Messrs. Anderson and MacKenzie commenced employment with the Company in October 2022.</w:t>
      </w:r>
    </w:p>
    <w:p>
      <w:pPr>
        <w:spacing w:after="0" w:line="1" w:lineRule="exact"/>
        <w:rPr>
          <w:sz w:val="20"/>
          <w:szCs w:val="20"/>
          <w:color w:val="auto"/>
        </w:rPr>
      </w:pPr>
    </w:p>
    <w:p>
      <w:pPr>
        <w:jc w:val="both"/>
        <w:ind w:right="460" w:firstLine="17"/>
        <w:spacing w:after="0" w:line="235" w:lineRule="auto"/>
        <w:rPr>
          <w:sz w:val="20"/>
          <w:szCs w:val="20"/>
          <w:color w:val="auto"/>
        </w:rPr>
      </w:pPr>
      <w:r>
        <w:rPr>
          <w:rFonts w:ascii="Arial" w:cs="Arial" w:eastAsia="Arial" w:hAnsi="Arial"/>
          <w:sz w:val="18"/>
          <w:szCs w:val="18"/>
          <w:color w:val="auto"/>
        </w:rPr>
        <w:t>Mr. Kirt’s employment with the Company terminated in October 2022. Pursuant to the terms of his Letter Agreement with the Company, as described in "Elements of Executive Compensation—Employment Arrangements with our NEOs—Letter Agreement with Mr. Kirt", Mr. Kirt continues to provide consulting services to the Company through October 10, 2023.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Represents bonus payments made to our NEOs as described in "Elements of Executive Compensation—Bonuses".</w:t>
      </w:r>
    </w:p>
    <w:p>
      <w:pPr>
        <w:spacing w:after="0" w:line="5" w:lineRule="exact"/>
        <w:rPr>
          <w:sz w:val="20"/>
          <w:szCs w:val="20"/>
          <w:color w:val="auto"/>
        </w:rPr>
      </w:pPr>
    </w:p>
    <w:p>
      <w:pPr>
        <w:ind w:right="60" w:firstLine="17"/>
        <w:spacing w:after="0" w:line="235" w:lineRule="auto"/>
        <w:rPr>
          <w:sz w:val="20"/>
          <w:szCs w:val="20"/>
          <w:color w:val="auto"/>
        </w:rPr>
      </w:pPr>
      <w:r>
        <w:rPr>
          <w:rFonts w:ascii="Arial" w:cs="Arial" w:eastAsia="Arial" w:hAnsi="Arial"/>
          <w:sz w:val="18"/>
          <w:szCs w:val="18"/>
          <w:color w:val="auto"/>
        </w:rPr>
        <w:t>Represents the aggregate grant date fair value of stock awards granted, computed in accordance with Financial Accounting Standards Board Accounting Standards Codification Topic 718, Compensation—Stock Compensation ("FASB Topic 718"). The stock awards consist of grants of restricted stock units ("RSUs") granted pursuant to the Greenidge Generation Holdings Inc. 2021 Equity Incentive Plan (the "2021 Equity Incentive Plan"). Terms of the RSUs are summarized in "Elements of Executive Compensation—Equity Awards During 2022". The assumptions made when calculating the amounts reported are found in Note 9: "Equity Based Compensation" to our audited consolidated financial statements included in Part II, Item 8 of this Annual Report.</w:t>
      </w:r>
    </w:p>
    <w:p>
      <w:pPr>
        <w:spacing w:after="0" w:line="3" w:lineRule="exact"/>
        <w:rPr>
          <w:sz w:val="20"/>
          <w:szCs w:val="20"/>
          <w:color w:val="auto"/>
        </w:rPr>
      </w:pPr>
    </w:p>
    <w:p>
      <w:pPr>
        <w:ind w:right="120" w:firstLine="17"/>
        <w:spacing w:after="0" w:line="234" w:lineRule="auto"/>
        <w:rPr>
          <w:sz w:val="20"/>
          <w:szCs w:val="20"/>
          <w:color w:val="auto"/>
        </w:rPr>
      </w:pPr>
      <w:r>
        <w:rPr>
          <w:rFonts w:ascii="Arial" w:cs="Arial" w:eastAsia="Arial" w:hAnsi="Arial"/>
          <w:sz w:val="18"/>
          <w:szCs w:val="18"/>
          <w:color w:val="auto"/>
        </w:rPr>
        <w:t>Represents the aggregate grant date fair value of stock options ("Options") granted, computed in accordance with FASB Topic 718. Terms of the Options are summarized in "Elements of Executive Compensation—Equity Awards During 2022". The assumptions made when calculating the amounts reported are found in Note 9: "Equity Based Compensation" to our audited consolidated financial statements included in Part II, Item 8 of this Annual Report.</w:t>
      </w:r>
    </w:p>
    <w:p>
      <w:pPr>
        <w:spacing w:after="0" w:line="1" w:lineRule="exact"/>
        <w:rPr>
          <w:sz w:val="20"/>
          <w:szCs w:val="20"/>
          <w:color w:val="auto"/>
        </w:rPr>
      </w:pPr>
    </w:p>
    <w:p>
      <w:pPr>
        <w:jc w:val="both"/>
        <w:ind w:right="180" w:firstLine="17"/>
        <w:spacing w:after="0"/>
        <w:rPr>
          <w:sz w:val="20"/>
          <w:szCs w:val="20"/>
          <w:color w:val="auto"/>
        </w:rPr>
      </w:pPr>
      <w:r>
        <w:rPr>
          <w:rFonts w:ascii="Arial" w:cs="Arial" w:eastAsia="Arial" w:hAnsi="Arial"/>
          <w:sz w:val="18"/>
          <w:szCs w:val="18"/>
          <w:color w:val="auto"/>
        </w:rPr>
        <w:t>For Mr. Kirt, includes payments for his consulting services to the Company from October 2022 through December 31, 2022 equal to $173,076 and the cost of Bloomberg terminal subscription fees equal to $6,010. For Mr. Burke, includes 401(k) matching contributions equal to $12,200 and relocation and temporary housing costs equal to $11,076.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w:t>
      </w:r>
    </w:p>
    <w:p>
      <w:pPr>
        <w:spacing w:after="0" w:line="234" w:lineRule="auto"/>
        <w:rPr>
          <w:sz w:val="20"/>
          <w:szCs w:val="20"/>
          <w:color w:val="auto"/>
        </w:rPr>
      </w:pPr>
      <w:r>
        <w:rPr>
          <w:rFonts w:ascii="Arial" w:cs="Arial" w:eastAsia="Arial" w:hAnsi="Arial"/>
          <w:sz w:val="18"/>
          <w:szCs w:val="18"/>
          <w:color w:val="auto"/>
        </w:rPr>
        <w:t>combination with the other components of our executive compensation program. As of December 31, 2022, Mr. Anderson’s base salary was</w:t>
      </w:r>
    </w:p>
    <w:p>
      <w:pPr>
        <w:spacing w:after="0"/>
        <w:rPr>
          <w:sz w:val="20"/>
          <w:szCs w:val="20"/>
          <w:color w:val="auto"/>
        </w:rPr>
      </w:pPr>
      <w:r>
        <w:rPr>
          <w:rFonts w:ascii="Arial" w:cs="Arial" w:eastAsia="Arial" w:hAnsi="Arial"/>
          <w:sz w:val="17"/>
          <w:szCs w:val="17"/>
          <w:color w:val="auto"/>
        </w:rPr>
        <w:t>$400,000, Mr. Burke's base salary was $400,000 and Mr. MacKenzie’s base salary was $180,000. Prior to his resignation from the Company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October 2022, Mr. Kirt’s base salary was $750,000, reflecting an increase from $200,000, effective April 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13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Mr. Burke received a cash bonus of $50,000 for his service to the Company in 2022. Mr. Burke did not receive any component of his bonus for 2022 in the form of Company equity.</w:t>
      </w:r>
    </w:p>
    <w:p>
      <w:pPr>
        <w:spacing w:after="0" w:line="93"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 addition, in consideration of the 2021 bonus opportunity forfeited by Mr. Burke upon commencing employment with the Company, Mr. Burke received a one-time cash signing bonus of $81,972. 50% of Mr. Burke’s signing bonus is subject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2" w:name="page73"/>
    <w:bookmarkEnd w:id="72"/>
    <w:p>
      <w:pPr>
        <w:ind w:right="600"/>
        <w:spacing w:after="0" w:line="264" w:lineRule="auto"/>
        <w:rPr>
          <w:sz w:val="20"/>
          <w:szCs w:val="20"/>
          <w:color w:val="auto"/>
        </w:rPr>
      </w:pPr>
      <w:r>
        <w:rPr>
          <w:rFonts w:ascii="Arial" w:cs="Arial" w:eastAsia="Arial" w:hAnsi="Arial"/>
          <w:sz w:val="17"/>
          <w:szCs w:val="17"/>
          <w:color w:val="auto"/>
        </w:rPr>
        <w:t>to repayment if Mr. Burke resigns from his employment with the Company for any reason other than for Good Reason (as defined in his employment agreement) or is terminated by the Company for Cause (as defined in his employment agreement) prior to January 4, 2024.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None of Messrs. Anderson, MacKenzie or Kirt received a bonus with respect to his service to the Company during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During 2022</w:t>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described more fully below, during 2022, Messrs. Anderson and MacKenzie were each granted an inducement award of stock options under Nasdaq Listing Rule 5635(c)(4) and Mr. Burke received a one-time grant of RSUs. The Company generally intends to grant annual equity awards pursuant to the 2021 Equity Incentive Plan to its senior management, including our NEOs.</w:t>
      </w:r>
    </w:p>
    <w:p>
      <w:pPr>
        <w:spacing w:after="0" w:line="148" w:lineRule="exact"/>
        <w:rPr>
          <w:sz w:val="20"/>
          <w:szCs w:val="20"/>
          <w:color w:val="auto"/>
        </w:rPr>
      </w:pPr>
    </w:p>
    <w:p>
      <w:pPr>
        <w:ind w:right="560"/>
        <w:spacing w:after="0"/>
        <w:rPr>
          <w:sz w:val="20"/>
          <w:szCs w:val="20"/>
          <w:color w:val="auto"/>
        </w:rPr>
      </w:pPr>
      <w:r>
        <w:rPr>
          <w:rFonts w:ascii="Arial" w:cs="Arial" w:eastAsia="Arial" w:hAnsi="Arial"/>
          <w:sz w:val="18"/>
          <w:szCs w:val="18"/>
          <w:color w:val="auto"/>
        </w:rPr>
        <w:t>In connection with the termination of his employment and commencement of consulting services with the Company, Mr. Kirt received accelerated vesting of his outstanding unvested RSUs and a new, one-time grant of RSUs. Mr. Kirt’s RSUs are described in "Elements of Executive Compensation—Employment Arrangements with our NEOs—Letter Agreement with Mr. Kirt".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Inducement Stock Options</w:t>
      </w:r>
    </w:p>
    <w:p>
      <w:pPr>
        <w:spacing w:after="0" w:line="23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an inducement for Messrs. Anderson and MacKenzie to enter into employment with the Company, in accordance with Nasdaq Listing Rule 5635(c)(4), the Company’s Compensation Committee approved a grant of Options pursuant to a Stock Option Inducement Award Agreement. The Options granted to Mr. Anderson are exercisable for 1,852,812 shares of the Company’s class A common stock and the Options granted to Mr. MacKenzie are exercisable for 1,224,030 shares of the Company’s class A common stock. The Options were granted on October 10, 2022 and have an exercise price of $1.32. The Options will vest in equal annual installments on each of the first, second and third anniversaries of the grant date, subject to continued service to the Company through the applicable vesting dates.</w:t>
      </w:r>
    </w:p>
    <w:p>
      <w:pPr>
        <w:spacing w:after="0" w:line="2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Pursuant to the terms of the Stock Option Inducement Award Agreement, if Mr. Anderson’s or MacKenzie’s service with the Company terminates due to death or Disability or is terminated by the Company other than for Cause (as each term is defined in the 2021 Equity Incentive Plan), the unvested Options will be cancelled and the vested Options will remain exercisable until the earlier of three months (in the case of termination other than for death, Disability or for Cause) or 12 months (in the case of death or Disability) following the termination of service or the expiration date of the Options. If Mr. Anderson’s or MacKenzie’s service is terminated by the Company for Cause, all Options, whether vested or unvested, will be cancelled and cease to be exercisable. In the event of a Change in Control (as defined in the 2021 Equity Incentive Plan), the Compensation Committee of the Board may, in its discretion, cancel the Options and pay to each of Mr. Anderson and MacKenzie, the value of the Options based upon the price per share of our class A common stock received or to be received by our stockholders in the Change in Control.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Burke Restricted Stock Units</w:t>
      </w:r>
    </w:p>
    <w:p>
      <w:pPr>
        <w:spacing w:after="0" w:line="16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connection with Mr. Burke commencing employment with the Company, he was granted a one-time award of 4,085 RSUs, which vest in equal installments on each of January 3, 2023 and 2024. Except as otherwise provided in his employment agreement with the Company as described in "Elements of Executive Compensation—Employment Arrangements with our NEOs—Employment Agreement with Burke", upon a termination of his employment with the Company for any reason, all unvested RSUs will be forfeited and cancelled.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our NEOs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Offer Letters with Messrs. Anderson and MacKenzie</w:t>
      </w:r>
    </w:p>
    <w:p>
      <w:pPr>
        <w:spacing w:after="0" w:line="1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Messrs. Anderson and MacKenzie each entered into an Offer Letter with the Company, dated October 7, 2022. Pursuant to the Offer Letters, in addition to the inducement stock option awards described in "Elements of Executive Compensation—Equity Awards During 2022—Inducement Stock Options", Messrs. Anderson and MacKenzie each receive a base salary in the amount of $400,000 for Mr. Anderson, and $ 180,000 for Mr. MacKenzie, and each an annual target bonus equal to 50% of base salary, subject to such terms and performance conditions as determined by the Board.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auto"/>
        </w:rPr>
        <w:t>Employment Agreement with Mr. Burke</w:t>
      </w:r>
    </w:p>
    <w:p>
      <w:pPr>
        <w:spacing w:after="0" w:line="15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On November 15, 2021, the Board approved, and the Company entered into, an Employment Agreement with Mr. Burke, Mr. Burke’s Employment Agreement provides that Mr. Burke will be eligible for (i) an annual base salary of $400,000, (ii) a target annual bonus opportunity of up to 50% of Mr. Burke’s annual base salary, 50% of which will be paid in RSUs under the 2021 Equity Incentive Plan, vesting in equal annual installments on the first three anniversaries of the grant date, subject to Mr. Burke’s continued employment through each vesting date and otherwise subject to approval by the board of directors of the Company and the terms and conditions of the 2021 Equity Incentive Plan , unless otherwise mutually determined by the Board and Mr. Burke, and (iii) a one-time cash signing bonus of up to $81,972, (iv) a grant of RSUs with respect to 4,085 shares of class A common stock, vesting in equal annual installments on the first two anniversaries of the January 3, 2022 and (v) reimbursement for reasonable expenses incurred in connection with Mr. Burke’s relocation (other than expenses incurred in connection with or losses resulting from the sale or purchase of Mr. Burke’s home) and the provision of temporary housing for a period of not less than 30 days.</w:t>
      </w:r>
    </w:p>
    <w:p>
      <w:pPr>
        <w:spacing w:after="0" w:line="21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If Mr. Burke’s employment with the Company is terminated by the Company without Cause or Mr. Burke resigns with Good Reason (as each term is defined in his Employment Agreement), in addition to any accrued base salary through and including the date of termination and any amounts or benefits required to be paid or provided under applicable law or accrued and vested under the benefit plans of the Company (the "Accrued Amounts"), Mr. Burke will be entitled to receive, subject to execution of a release and compliance with restrictive covenants: (i) continued payment of his annual base salary for a period of 12 months following the date of termination; (ii) Company-subsidized COBRA coverage equal to the same portion of the monthly premium the Company pays for active employees until the earlier of (x) the one-year anniversary of the date of termination or (y) the date Mr. Burke becomes eligible for health insurance coverage under the health plan of another employer; (iii) an amount equal to 100% of Mr. Burke’s target annual bonus opportunity for the fiscal year in which the termination of employment occurs, payable on the first anniversary of the date of termination; (iv) any earned but unpaid annual bonus for the completed fiscal year that ended prior to the fiscal year in which the termination of employment occurs, payable on the date such annual bonuses are paid to similarly situated employees of the Company; (v) accelerated vesting of any outstanding unvested RSUs granted to Mr. Burke in connection with his commencement of employment with the Company; and (vi) continued vesting of any other time-vesting RSUs that would have vested in the 12-month period following the date of termination. If Mr. Burke’s employment is terminated due to death or Disability (as defined in his Employment Agreement), Mr. Burke will be entitled to receive, subject to execution of a release and compliance with restrictive covenants, the Accrued Amounts, accelerated vesting of any outstanding unvested RSUs granted to Mr. Burke in connection with his commencement of employment with the Company and pro rata vesting of any other time-vesting RSUs based on the period employed prior to termination.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Letter Agreement with Mr. Kirt</w:t>
      </w:r>
    </w:p>
    <w:p>
      <w:pPr>
        <w:spacing w:after="0" w:line="15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connection with Mr. Kirt’s resignation from his previous roles with the Company and transition to providing consulting services to the Company, on October 10, 2022, the Board approved and, subsequently, the Company and Mr. Kirt entered into a Letter Agreement that describes the terms of Mr. Kirt’s separation of employment from the Company and the terms of his consulting services to the Company, which are scheduled to continue through October 10, 2023 (the "Consulting Period"). In exchange for Mr. Kirt’s consulting services, and subject to his execution and non-revocation of a general release of claims in favor of the Company and compliance with restrictive covenants, Mr. Kirt will receive payment of $750,000 in equal installments over the Consulting Period and Company coverage of his Bloomberg terminal subscription fees during the Consulting Period, as well as accelerated vesting to October 10, 2022 of his outstanding unvested RSUs and a one-time grant under the 2021 Equity Incentive Plan of 280,000 RSUs that are were vested at grant on October 10, 2022 and settled in 12 weekly installments beginning on October 14, 2022.</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outstanding equity awards held by each of our NEOs as of December 31, 2022.</w:t>
      </w:r>
    </w:p>
    <w:p>
      <w:pPr>
        <w:sectPr>
          <w:pgSz w:w="11900" w:h="16838" w:orient="portrait"/>
          <w:cols w:equalWidth="0" w:num="1">
            <w:col w:w="11240"/>
          </w:cols>
          <w:pgMar w:left="320" w:top="1071" w:right="33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Number of</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securities</w:t>
            </w:r>
          </w:p>
        </w:tc>
        <w:tc>
          <w:tcPr>
            <w:tcW w:w="14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securities</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underlying</w:t>
            </w:r>
          </w:p>
        </w:tc>
        <w:tc>
          <w:tcPr>
            <w:tcW w:w="144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rPr>
              <w:t>underlying</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rPr>
              <w:t>unexercised</w:t>
            </w:r>
          </w:p>
        </w:tc>
        <w:tc>
          <w:tcPr>
            <w:tcW w:w="14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unexercised</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options (#)</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 (#)</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 exercise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exercisable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 ($)</w:t>
            </w:r>
          </w:p>
        </w:tc>
        <w:tc>
          <w:tcPr>
            <w:tcW w:w="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17500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5006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Number of shares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46"/>
        </w:trPr>
        <w:tc>
          <w:tcPr>
            <w:tcW w:w="1700" w:type="dxa"/>
            <w:vAlign w:val="bottom"/>
            <w:gridSpan w:val="2"/>
            <w:vMerge w:val="continue"/>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of shares of</w:t>
            </w:r>
          </w:p>
        </w:tc>
        <w:tc>
          <w:tcPr>
            <w:tcW w:w="0" w:type="dxa"/>
            <w:vAlign w:val="bottom"/>
          </w:tcPr>
          <w:p>
            <w:pPr>
              <w:spacing w:after="0"/>
              <w:rPr>
                <w:sz w:val="1"/>
                <w:szCs w:val="1"/>
                <w:color w:val="auto"/>
              </w:rPr>
            </w:pPr>
          </w:p>
        </w:tc>
      </w:tr>
      <w:tr>
        <w:trPr>
          <w:trHeight w:val="133"/>
        </w:trPr>
        <w:tc>
          <w:tcPr>
            <w:tcW w:w="17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rPr>
              <w:t>or units of stock</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units of stock</w:t>
            </w:r>
          </w:p>
        </w:tc>
        <w:tc>
          <w:tcPr>
            <w:tcW w:w="0" w:type="dxa"/>
            <w:vAlign w:val="bottom"/>
          </w:tcPr>
          <w:p>
            <w:pPr>
              <w:spacing w:after="0"/>
              <w:rPr>
                <w:sz w:val="1"/>
                <w:szCs w:val="1"/>
                <w:color w:val="auto"/>
              </w:rPr>
            </w:pPr>
          </w:p>
        </w:tc>
      </w:tr>
      <w:tr>
        <w:trPr>
          <w:trHeight w:val="146"/>
        </w:trPr>
        <w:tc>
          <w:tcPr>
            <w:tcW w:w="170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rPr>
              <w:t>that</w:t>
            </w:r>
          </w:p>
        </w:tc>
        <w:tc>
          <w:tcPr>
            <w:tcW w:w="10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88"/>
        </w:trPr>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have not vested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vested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4"/>
        </w:trPr>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400" w:space="80"/>
            <w:col w:w="2760"/>
          </w:cols>
          <w:pgMar w:left="320" w:top="1071" w:right="339" w:bottom="1440" w:gutter="0" w:footer="0" w:header="0"/>
          <w:type w:val="continuous"/>
        </w:sectPr>
      </w:pPr>
    </w:p>
    <w:tbl>
      <w:tblPr>
        <w:tblLayout w:type="fixed"/>
        <w:tblInd w:w="0" w:type="dxa"/>
        <w:tblCellMar>
          <w:top w:w="0" w:type="dxa"/>
          <w:left w:w="0" w:type="dxa"/>
          <w:bottom w:w="0" w:type="dxa"/>
          <w:right w:w="0" w:type="dxa"/>
        </w:tblCellMar>
      </w:tblPr>
      <w:tr>
        <w:trPr>
          <w:trHeight w:val="285"/>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Anderson</w:t>
            </w:r>
          </w:p>
        </w:tc>
        <w:tc>
          <w:tcPr>
            <w:tcW w:w="17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1,852,812</w:t>
            </w:r>
            <w:r>
              <w:rPr>
                <w:rFonts w:ascii="Arial" w:cs="Arial" w:eastAsia="Arial" w:hAnsi="Arial"/>
                <w:sz w:val="22"/>
                <w:szCs w:val="22"/>
                <w:color w:val="auto"/>
                <w:vertAlign w:val="superscript"/>
              </w:rPr>
              <w:t>(2)</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1.32</w:t>
            </w:r>
          </w:p>
        </w:tc>
        <w:tc>
          <w:tcPr>
            <w:tcW w:w="16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10/10/2032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660" w:type="dxa"/>
            <w:vAlign w:val="bottom"/>
          </w:tcPr>
          <w:p>
            <w:pPr>
              <w:ind w:left="20"/>
              <w:spacing w:after="0"/>
              <w:rPr>
                <w:sz w:val="20"/>
                <w:szCs w:val="20"/>
                <w:color w:val="auto"/>
              </w:rPr>
            </w:pPr>
            <w:r>
              <w:rPr>
                <w:rFonts w:ascii="Arial" w:cs="Arial" w:eastAsia="Arial" w:hAnsi="Arial"/>
                <w:sz w:val="18"/>
                <w:szCs w:val="18"/>
                <w:color w:val="auto"/>
              </w:rPr>
              <w:t>Jeffrey E. Kirt</w:t>
            </w:r>
          </w:p>
        </w:tc>
        <w:tc>
          <w:tcPr>
            <w:tcW w:w="1720" w:type="dxa"/>
            <w:vAlign w:val="bottom"/>
          </w:tcPr>
          <w:p>
            <w:pPr>
              <w:spacing w:after="0"/>
              <w:rPr>
                <w:sz w:val="19"/>
                <w:szCs w:val="19"/>
                <w:color w:val="auto"/>
              </w:rPr>
            </w:pPr>
          </w:p>
        </w:tc>
        <w:tc>
          <w:tcPr>
            <w:tcW w:w="17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Terence A. Burke</w:t>
            </w:r>
          </w:p>
        </w:tc>
        <w:tc>
          <w:tcPr>
            <w:tcW w:w="1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56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95"/>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362"/>
        </w:trPr>
        <w:tc>
          <w:tcPr>
            <w:tcW w:w="2660" w:type="dxa"/>
            <w:vAlign w:val="bottom"/>
          </w:tcPr>
          <w:p>
            <w:pPr>
              <w:ind w:left="20"/>
              <w:spacing w:after="0"/>
              <w:rPr>
                <w:sz w:val="20"/>
                <w:szCs w:val="20"/>
                <w:color w:val="auto"/>
              </w:rPr>
            </w:pPr>
            <w:r>
              <w:rPr>
                <w:rFonts w:ascii="Arial" w:cs="Arial" w:eastAsia="Arial" w:hAnsi="Arial"/>
                <w:sz w:val="18"/>
                <w:szCs w:val="18"/>
                <w:color w:val="auto"/>
              </w:rPr>
              <w:t>Scott MacKenzie</w:t>
            </w:r>
          </w:p>
        </w:tc>
        <w:tc>
          <w:tcPr>
            <w:tcW w:w="1720" w:type="dxa"/>
            <w:vAlign w:val="bottom"/>
          </w:tcPr>
          <w:p>
            <w:pPr>
              <w:spacing w:after="0"/>
              <w:rPr>
                <w:sz w:val="24"/>
                <w:szCs w:val="24"/>
                <w:color w:val="auto"/>
              </w:rPr>
            </w:pPr>
          </w:p>
        </w:tc>
        <w:tc>
          <w:tcPr>
            <w:tcW w:w="1740" w:type="dxa"/>
            <w:vAlign w:val="bottom"/>
          </w:tcPr>
          <w:p>
            <w:pPr>
              <w:jc w:val="right"/>
              <w:ind w:right="472"/>
              <w:spacing w:after="0"/>
              <w:rPr>
                <w:sz w:val="20"/>
                <w:szCs w:val="20"/>
                <w:color w:val="auto"/>
              </w:rPr>
            </w:pPr>
            <w:r>
              <w:rPr>
                <w:rFonts w:ascii="Arial" w:cs="Arial" w:eastAsia="Arial" w:hAnsi="Arial"/>
                <w:sz w:val="18"/>
                <w:szCs w:val="18"/>
                <w:color w:val="auto"/>
              </w:rPr>
              <w:t>1,224,030</w:t>
            </w:r>
            <w:r>
              <w:rPr>
                <w:rFonts w:ascii="Arial" w:cs="Arial" w:eastAsia="Arial" w:hAnsi="Arial"/>
                <w:sz w:val="22"/>
                <w:szCs w:val="22"/>
                <w:color w:val="auto"/>
                <w:vertAlign w:val="superscript"/>
              </w:rPr>
              <w:t>(2)</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1.32</w:t>
            </w:r>
          </w:p>
        </w:tc>
        <w:tc>
          <w:tcPr>
            <w:tcW w:w="1640" w:type="dxa"/>
            <w:vAlign w:val="bottom"/>
          </w:tcPr>
          <w:p>
            <w:pPr>
              <w:jc w:val="right"/>
              <w:ind w:right="412"/>
              <w:spacing w:after="0"/>
              <w:rPr>
                <w:sz w:val="20"/>
                <w:szCs w:val="20"/>
                <w:color w:val="auto"/>
              </w:rPr>
            </w:pPr>
            <w:r>
              <w:rPr>
                <w:rFonts w:ascii="Arial" w:cs="Arial" w:eastAsia="Arial" w:hAnsi="Arial"/>
                <w:sz w:val="18"/>
                <w:szCs w:val="18"/>
                <w:color w:val="auto"/>
              </w:rPr>
              <w:t>10/10/2032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8" w:lineRule="exact"/>
        <w:rPr>
          <w:sz w:val="20"/>
          <w:szCs w:val="20"/>
          <w:color w:val="auto"/>
        </w:rPr>
      </w:pPr>
    </w:p>
    <w:p>
      <w:pPr>
        <w:ind w:left="340" w:hanging="33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Calculated based on the closing price of the Company’s class A common stock on December 30, 2022 of $0.29.</w:t>
      </w:r>
    </w:p>
    <w:p>
      <w:pPr>
        <w:spacing w:after="0" w:line="5" w:lineRule="exact"/>
        <w:rPr>
          <w:rFonts w:ascii="Arial" w:cs="Arial" w:eastAsia="Arial" w:hAnsi="Arial"/>
          <w:sz w:val="18"/>
          <w:szCs w:val="18"/>
          <w:color w:val="auto"/>
        </w:rPr>
      </w:pPr>
    </w:p>
    <w:p>
      <w:pPr>
        <w:ind w:left="320" w:right="200" w:hanging="314"/>
        <w:spacing w:after="0" w:line="230" w:lineRule="auto"/>
        <w:tabs>
          <w:tab w:leader="none" w:pos="3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Options vesting in equal installments on each of October 10, 2023, 2024 and 2025, subject to the NEO’s continued service to the Company through the applicable vesting date.</w:t>
      </w:r>
    </w:p>
    <w:p>
      <w:pPr>
        <w:ind w:left="340" w:hanging="33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RSUs 2,043 of which vested on January 3, 2023 and 2,042 of which will vest January 3,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8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Greenidge Generation sponsors a 401(k) plan covering substantially all Company employees, including our NEOs. Employees become eligible to participate in the plan upon one month of service and the attainment of age twenty-one. Eligible employees may elect to make either pre-tax or Roth contributions to the plan, subject to limitations set by the plan and the Internal Revenue Code of 1986, as amended. Greenidge Generation makes safe harbor matching contributions equal to 100% of the first 3% of employees’ eligible earnings and an additional 50% on the next 2% of employees’ eligible earnings. Greenidge Generation may also make a non-elective contribution at its discretion.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1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Descriptions of the severance payments and benefits to be provided to our NEOs, including in respect of equity awards held by our NEOs, in connection with certain terminations of employment both in connection with a change in control and not in connection with a change in control, are set forth in "Elements of Executive Compensation—Equity Awards During 2022" and "Elements of Executive Compensation—Employment Arrangements with our NEOs"</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DIRECTOR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non-employee director compensation for the year ended December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Fees Earned or Paid</w:t>
            </w:r>
          </w:p>
        </w:tc>
        <w:tc>
          <w:tcPr>
            <w:tcW w:w="1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(2)</w:t>
            </w:r>
          </w:p>
        </w:tc>
        <w:tc>
          <w:tcPr>
            <w:tcW w:w="100" w:type="dxa"/>
            <w:vAlign w:val="bottom"/>
            <w:vMerge w:val="restart"/>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in Cash ($)</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Option Awards ($)</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38"/>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Timothy Fazio</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Ted Rogers</w:t>
            </w:r>
          </w:p>
        </w:tc>
        <w:tc>
          <w:tcPr>
            <w:tcW w:w="14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Andrew M. Bursky</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Timothy Lowe</w:t>
            </w:r>
          </w:p>
        </w:tc>
        <w:tc>
          <w:tcPr>
            <w:tcW w:w="14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Rothaupt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8"/>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David Filippelli</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Jerome Lay</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Michael Neuscheler</w:t>
            </w:r>
          </w:p>
        </w:tc>
        <w:tc>
          <w:tcPr>
            <w:tcW w:w="14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___________</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540" w:right="1140" w:hanging="5534"/>
        <w:spacing w:after="0" w:line="650" w:lineRule="auto"/>
        <w:tabs>
          <w:tab w:leader="none" w:pos="3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Messrs. Fazio, Bursky, Filippelli and Lay do not receive any compensation from us for their service as members of the Board.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-25400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type w:val="continuous"/>
        </w:sectPr>
      </w:pPr>
    </w:p>
    <w:bookmarkStart w:id="75" w:name="page76"/>
    <w:bookmarkEnd w:id="75"/>
    <w:p>
      <w:pPr>
        <w:ind w:left="320" w:right="20" w:hanging="314"/>
        <w:spacing w:after="0" w:line="238" w:lineRule="auto"/>
        <w:tabs>
          <w:tab w:leader="none" w:pos="3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December 31, 2022, our directors each held the following number of RSUs: Mr. Rogers—172,400; Mr. Lowe—24,000; Mr. Rothaupt— 24,000; and Mr. Neuscheler—51,720.</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Non-Employee Director Compensation</w:t>
      </w:r>
    </w:p>
    <w:p>
      <w:pPr>
        <w:spacing w:after="0" w:line="1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March 8, 2021, our Compensation Committee approved the following annual cash retainers for each of our non-employee directors: $30,000 for service as a member of the Board; $20,000 for service as the Vice Chair of the Board; and $10,000 for service as the Chair of the Audit Committee.</w:t>
      </w:r>
    </w:p>
    <w:p>
      <w:pPr>
        <w:spacing w:after="0" w:line="297" w:lineRule="exact"/>
        <w:rPr>
          <w:sz w:val="20"/>
          <w:szCs w:val="20"/>
          <w:color w:val="auto"/>
        </w:rPr>
      </w:pPr>
    </w:p>
    <w:p>
      <w:pPr>
        <w:ind w:right="900"/>
        <w:spacing w:after="0" w:line="27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3"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The following table sets forth information with respect to beneficial ownership of our common stock as of March 30, 2023 by: (i) each of our directors and named executive officers, (ii) all directors and executive officers as a group, and (iii) each person who is known by us to beneficially own 5% or more of our outstanding common stock. The table below assumes each outstanding share of series A preferred stock will convert into one share of class B common stock.</w:t>
      </w:r>
    </w:p>
    <w:p>
      <w:pPr>
        <w:spacing w:after="0" w:line="20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Beneficial ownership is determined in accordance with the rules of the SEC and generally requires that such person have voting or investment power with respect to securities. In computing the number of shares beneficially owned by a person listed below and the percentage ownership of such person, including the percentage of voting stock, all common stock underlying options, warrants or convertible securities held by each such person that are exercisable or convertible within 60 days of March 30, 2023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shares shown as beneficially owned by them. Unless otherwise indicated in the footnotes, the address for each person is c/o Greenidge Generation Holdings Inc. 135 Rennell Drive, 3rd Floor, Fairfield, Connecticut 06890.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134860" cy="260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pacing w:after="0" w:line="196" w:lineRule="exact"/>
        <w:rPr>
          <w:sz w:val="20"/>
          <w:szCs w:val="20"/>
          <w:color w:val="auto"/>
        </w:rPr>
      </w:pPr>
    </w:p>
    <w:p>
      <w:pPr>
        <w:jc w:val="center"/>
        <w:ind w:left="1420"/>
        <w:spacing w:after="0"/>
        <w:rPr>
          <w:sz w:val="20"/>
          <w:szCs w:val="20"/>
          <w:color w:val="auto"/>
        </w:rPr>
      </w:pPr>
      <w:r>
        <w:rPr>
          <w:rFonts w:ascii="Arial" w:cs="Arial" w:eastAsia="Arial" w:hAnsi="Arial"/>
          <w:sz w:val="18"/>
          <w:szCs w:val="18"/>
          <w:color w:val="auto"/>
        </w:rPr>
        <w:t>Number of Shares Beneficially</w:t>
      </w:r>
    </w:p>
    <w:p>
      <w:pPr>
        <w:jc w:val="center"/>
        <w:ind w:left="1420"/>
        <w:spacing w:after="0"/>
        <w:rPr>
          <w:sz w:val="20"/>
          <w:szCs w:val="20"/>
          <w:color w:val="auto"/>
        </w:rPr>
      </w:pPr>
      <w:r>
        <w:rPr>
          <w:rFonts w:ascii="Arial" w:cs="Arial" w:eastAsia="Arial" w:hAnsi="Arial"/>
          <w:sz w:val="18"/>
          <w:szCs w:val="18"/>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12065</wp:posOffset>
            </wp:positionV>
            <wp:extent cx="19011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Class A</w:t>
            </w:r>
          </w:p>
        </w:tc>
        <w:tc>
          <w:tcPr>
            <w:tcW w:w="1660" w:type="dxa"/>
            <w:vAlign w:val="bottom"/>
          </w:tcPr>
          <w:p>
            <w:pPr>
              <w:jc w:val="right"/>
              <w:ind w:right="532"/>
              <w:spacing w:after="0"/>
              <w:rPr>
                <w:sz w:val="20"/>
                <w:szCs w:val="20"/>
                <w:color w:val="auto"/>
              </w:rPr>
            </w:pPr>
            <w:r>
              <w:rPr>
                <w:rFonts w:ascii="Arial" w:cs="Arial" w:eastAsia="Arial" w:hAnsi="Arial"/>
                <w:sz w:val="18"/>
                <w:szCs w:val="18"/>
                <w:color w:val="auto"/>
              </w:rPr>
              <w:t>Class B</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Percent</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Percent Voting</w:t>
            </w:r>
          </w:p>
        </w:tc>
        <w:tc>
          <w:tcPr>
            <w:tcW w:w="0" w:type="dxa"/>
            <w:vAlign w:val="bottom"/>
          </w:tcPr>
          <w:p>
            <w:pPr>
              <w:spacing w:after="0"/>
              <w:rPr>
                <w:sz w:val="1"/>
                <w:szCs w:val="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Common Stock</w:t>
            </w:r>
          </w:p>
        </w:tc>
        <w:tc>
          <w:tcPr>
            <w:tcW w:w="1660" w:type="dxa"/>
            <w:vAlign w:val="bottom"/>
          </w:tcPr>
          <w:p>
            <w:pPr>
              <w:jc w:val="right"/>
              <w:ind w:right="232"/>
              <w:spacing w:after="0"/>
              <w:rPr>
                <w:sz w:val="20"/>
                <w:szCs w:val="20"/>
                <w:color w:val="auto"/>
              </w:rPr>
            </w:pPr>
            <w:r>
              <w:rPr>
                <w:rFonts w:ascii="Arial" w:cs="Arial" w:eastAsia="Arial" w:hAnsi="Arial"/>
                <w:sz w:val="18"/>
                <w:szCs w:val="18"/>
                <w:color w:val="auto"/>
              </w:rPr>
              <w:t>Common Stock</w:t>
            </w:r>
          </w:p>
        </w:tc>
        <w:tc>
          <w:tcPr>
            <w:tcW w:w="1660" w:type="dxa"/>
            <w:vAlign w:val="bottom"/>
          </w:tcPr>
          <w:p>
            <w:pPr>
              <w:jc w:val="right"/>
              <w:ind w:right="392"/>
              <w:spacing w:after="0" w:line="249" w:lineRule="exact"/>
              <w:rPr>
                <w:sz w:val="20"/>
                <w:szCs w:val="20"/>
                <w:color w:val="auto"/>
              </w:rPr>
            </w:pPr>
            <w:r>
              <w:rPr>
                <w:rFonts w:ascii="Arial" w:cs="Arial" w:eastAsia="Arial" w:hAnsi="Arial"/>
                <w:sz w:val="18"/>
                <w:szCs w:val="18"/>
                <w:color w:val="auto"/>
              </w:rPr>
              <w:t>Ownership</w:t>
            </w:r>
            <w:r>
              <w:rPr>
                <w:rFonts w:ascii="Arial" w:cs="Arial" w:eastAsia="Arial" w:hAnsi="Arial"/>
                <w:sz w:val="22"/>
                <w:szCs w:val="22"/>
                <w:color w:val="auto"/>
                <w:vertAlign w:val="superscript"/>
              </w:rPr>
              <w:t>(1)</w:t>
            </w:r>
          </w:p>
        </w:tc>
        <w:tc>
          <w:tcPr>
            <w:tcW w:w="1540" w:type="dxa"/>
            <w:vAlign w:val="bottom"/>
          </w:tcPr>
          <w:p>
            <w:pPr>
              <w:jc w:val="right"/>
              <w:ind w:right="392"/>
              <w:spacing w:after="0" w:line="249" w:lineRule="exact"/>
              <w:rPr>
                <w:sz w:val="20"/>
                <w:szCs w:val="20"/>
                <w:color w:val="auto"/>
              </w:rPr>
            </w:pPr>
            <w:r>
              <w:rPr>
                <w:rFonts w:ascii="Arial" w:cs="Arial" w:eastAsia="Arial" w:hAnsi="Arial"/>
                <w:sz w:val="18"/>
                <w:szCs w:val="18"/>
                <w:color w:val="auto"/>
              </w:rPr>
              <w:t>Power</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6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4740" w:type="dxa"/>
            <w:vAlign w:val="bottom"/>
          </w:tcPr>
          <w:p>
            <w:pPr>
              <w:ind w:left="20"/>
              <w:spacing w:after="0"/>
              <w:rPr>
                <w:sz w:val="20"/>
                <w:szCs w:val="20"/>
                <w:color w:val="auto"/>
              </w:rPr>
            </w:pPr>
            <w:r>
              <w:rPr>
                <w:rFonts w:ascii="Arial" w:cs="Arial" w:eastAsia="Arial" w:hAnsi="Arial"/>
                <w:sz w:val="18"/>
                <w:szCs w:val="18"/>
                <w:color w:val="auto"/>
              </w:rPr>
              <w:t>David Anderson</w:t>
            </w:r>
          </w:p>
        </w:tc>
        <w:tc>
          <w:tcPr>
            <w:tcW w:w="16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66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474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Jeffrey Kirt</w:t>
            </w:r>
            <w:r>
              <w:rPr>
                <w:rFonts w:ascii="Arial" w:cs="Arial" w:eastAsia="Arial" w:hAnsi="Arial"/>
                <w:sz w:val="22"/>
                <w:szCs w:val="22"/>
                <w:color w:val="auto"/>
                <w:vertAlign w:val="superscript"/>
              </w:rPr>
              <w:t>(3)</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574,998</w:t>
            </w: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7"/>
        </w:trPr>
        <w:tc>
          <w:tcPr>
            <w:tcW w:w="4740" w:type="dxa"/>
            <w:vAlign w:val="bottom"/>
          </w:tcPr>
          <w:p>
            <w:pPr>
              <w:ind w:left="20"/>
              <w:spacing w:after="0"/>
              <w:rPr>
                <w:sz w:val="20"/>
                <w:szCs w:val="20"/>
                <w:color w:val="auto"/>
              </w:rPr>
            </w:pPr>
            <w:r>
              <w:rPr>
                <w:rFonts w:ascii="Arial" w:cs="Arial" w:eastAsia="Arial" w:hAnsi="Arial"/>
                <w:sz w:val="18"/>
                <w:szCs w:val="18"/>
                <w:color w:val="auto"/>
              </w:rPr>
              <w:t>Scott MacKenzie</w:t>
            </w:r>
          </w:p>
        </w:tc>
        <w:tc>
          <w:tcPr>
            <w:tcW w:w="16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66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474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Terence Burke</w:t>
            </w: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2,043</w:t>
            </w:r>
          </w:p>
        </w:tc>
        <w:tc>
          <w:tcPr>
            <w:tcW w:w="1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5"/>
        </w:trPr>
        <w:tc>
          <w:tcPr>
            <w:tcW w:w="4740" w:type="dxa"/>
            <w:vAlign w:val="bottom"/>
          </w:tcPr>
          <w:p>
            <w:pPr>
              <w:ind w:left="20"/>
              <w:spacing w:after="0"/>
              <w:rPr>
                <w:sz w:val="20"/>
                <w:szCs w:val="20"/>
                <w:color w:val="auto"/>
              </w:rPr>
            </w:pPr>
            <w:r>
              <w:rPr>
                <w:rFonts w:ascii="Arial" w:cs="Arial" w:eastAsia="Arial" w:hAnsi="Arial"/>
                <w:sz w:val="18"/>
                <w:szCs w:val="18"/>
                <w:color w:val="auto"/>
              </w:rPr>
              <w:t>Timothy Fazio</w:t>
            </w:r>
            <w:r>
              <w:rPr>
                <w:rFonts w:ascii="Arial" w:cs="Arial" w:eastAsia="Arial" w:hAnsi="Arial"/>
                <w:sz w:val="22"/>
                <w:szCs w:val="22"/>
                <w:color w:val="auto"/>
                <w:vertAlign w:val="superscript"/>
              </w:rPr>
              <w:t>(4)</w:t>
            </w:r>
          </w:p>
        </w:tc>
        <w:tc>
          <w:tcPr>
            <w:tcW w:w="1640" w:type="dxa"/>
            <w:vAlign w:val="bottom"/>
            <w:vMerge w:val="restart"/>
          </w:tcPr>
          <w:p>
            <w:pPr>
              <w:jc w:val="right"/>
              <w:ind w:right="32"/>
              <w:spacing w:after="0"/>
              <w:rPr>
                <w:sz w:val="20"/>
                <w:szCs w:val="20"/>
                <w:color w:val="auto"/>
              </w:rPr>
            </w:pPr>
            <w:r>
              <w:rPr>
                <w:rFonts w:ascii="Arial" w:cs="Arial" w:eastAsia="Arial" w:hAnsi="Arial"/>
                <w:sz w:val="18"/>
                <w:szCs w:val="18"/>
                <w:color w:val="auto"/>
              </w:rPr>
              <w:t>1,190,476</w:t>
            </w:r>
          </w:p>
        </w:tc>
        <w:tc>
          <w:tcPr>
            <w:tcW w:w="1660" w:type="dxa"/>
            <w:vAlign w:val="bottom"/>
            <w:vMerge w:val="restart"/>
          </w:tcPr>
          <w:p>
            <w:pPr>
              <w:jc w:val="right"/>
              <w:ind w:right="132"/>
              <w:spacing w:after="0"/>
              <w:rPr>
                <w:sz w:val="20"/>
                <w:szCs w:val="20"/>
                <w:color w:val="auto"/>
              </w:rPr>
            </w:pPr>
            <w:r>
              <w:rPr>
                <w:rFonts w:ascii="Arial" w:cs="Arial" w:eastAsia="Arial" w:hAnsi="Arial"/>
                <w:sz w:val="18"/>
                <w:szCs w:val="18"/>
                <w:color w:val="auto"/>
              </w:rPr>
              <w:t>26,800,300</w:t>
            </w:r>
          </w:p>
        </w:tc>
        <w:tc>
          <w:tcPr>
            <w:tcW w:w="1660" w:type="dxa"/>
            <w:vAlign w:val="bottom"/>
            <w:vMerge w:val="restart"/>
          </w:tcPr>
          <w:p>
            <w:pPr>
              <w:jc w:val="right"/>
              <w:ind w:right="92"/>
              <w:spacing w:after="0"/>
              <w:rPr>
                <w:sz w:val="20"/>
                <w:szCs w:val="20"/>
                <w:color w:val="auto"/>
              </w:rPr>
            </w:pPr>
            <w:r>
              <w:rPr>
                <w:rFonts w:ascii="Arial" w:cs="Arial" w:eastAsia="Arial" w:hAnsi="Arial"/>
                <w:sz w:val="18"/>
                <w:szCs w:val="18"/>
                <w:color w:val="auto"/>
              </w:rPr>
              <w:t>47 %</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53"/>
        </w:trPr>
        <w:tc>
          <w:tcPr>
            <w:tcW w:w="47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Ted Rogers</w:t>
            </w:r>
          </w:p>
        </w:tc>
        <w:tc>
          <w:tcPr>
            <w:tcW w:w="1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114,934</w:t>
            </w:r>
          </w:p>
        </w:tc>
        <w:tc>
          <w:tcPr>
            <w:tcW w:w="16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160,000</w:t>
            </w:r>
          </w:p>
        </w:tc>
        <w:tc>
          <w:tcPr>
            <w:tcW w:w="16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4740" w:type="dxa"/>
            <w:vAlign w:val="bottom"/>
            <w:shd w:val="clear" w:color="auto" w:fill="CCEEFF"/>
          </w:tcPr>
          <w:p>
            <w:pPr>
              <w:spacing w:after="0"/>
              <w:rPr>
                <w:sz w:val="7"/>
                <w:szCs w:val="7"/>
                <w:color w:val="auto"/>
              </w:rPr>
            </w:pPr>
          </w:p>
        </w:tc>
        <w:tc>
          <w:tcPr>
            <w:tcW w:w="164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4740" w:type="dxa"/>
            <w:vAlign w:val="bottom"/>
          </w:tcPr>
          <w:p>
            <w:pPr>
              <w:ind w:left="20"/>
              <w:spacing w:after="0"/>
              <w:rPr>
                <w:sz w:val="20"/>
                <w:szCs w:val="20"/>
                <w:color w:val="auto"/>
              </w:rPr>
            </w:pPr>
            <w:r>
              <w:rPr>
                <w:rFonts w:ascii="Arial" w:cs="Arial" w:eastAsia="Arial" w:hAnsi="Arial"/>
                <w:sz w:val="18"/>
                <w:szCs w:val="18"/>
                <w:color w:val="auto"/>
              </w:rPr>
              <w:t>Andrew M. Bursky</w:t>
            </w:r>
            <w:r>
              <w:rPr>
                <w:rFonts w:ascii="Arial" w:cs="Arial" w:eastAsia="Arial" w:hAnsi="Arial"/>
                <w:sz w:val="22"/>
                <w:szCs w:val="22"/>
                <w:color w:val="auto"/>
                <w:vertAlign w:val="superscript"/>
              </w:rPr>
              <w:t>(4)</w:t>
            </w:r>
          </w:p>
        </w:tc>
        <w:tc>
          <w:tcPr>
            <w:tcW w:w="1640" w:type="dxa"/>
            <w:vAlign w:val="bottom"/>
            <w:vMerge w:val="restart"/>
          </w:tcPr>
          <w:p>
            <w:pPr>
              <w:jc w:val="right"/>
              <w:ind w:right="32"/>
              <w:spacing w:after="0"/>
              <w:rPr>
                <w:sz w:val="20"/>
                <w:szCs w:val="20"/>
                <w:color w:val="auto"/>
              </w:rPr>
            </w:pPr>
            <w:r>
              <w:rPr>
                <w:rFonts w:ascii="Arial" w:cs="Arial" w:eastAsia="Arial" w:hAnsi="Arial"/>
                <w:sz w:val="18"/>
                <w:szCs w:val="18"/>
                <w:color w:val="auto"/>
              </w:rPr>
              <w:t>1,190,476</w:t>
            </w:r>
          </w:p>
        </w:tc>
        <w:tc>
          <w:tcPr>
            <w:tcW w:w="1660" w:type="dxa"/>
            <w:vAlign w:val="bottom"/>
            <w:vMerge w:val="restart"/>
          </w:tcPr>
          <w:p>
            <w:pPr>
              <w:jc w:val="right"/>
              <w:ind w:right="132"/>
              <w:spacing w:after="0"/>
              <w:rPr>
                <w:sz w:val="20"/>
                <w:szCs w:val="20"/>
                <w:color w:val="auto"/>
              </w:rPr>
            </w:pPr>
            <w:r>
              <w:rPr>
                <w:rFonts w:ascii="Arial" w:cs="Arial" w:eastAsia="Arial" w:hAnsi="Arial"/>
                <w:sz w:val="18"/>
                <w:szCs w:val="18"/>
                <w:color w:val="auto"/>
              </w:rPr>
              <w:t>26,800,300</w:t>
            </w:r>
          </w:p>
        </w:tc>
        <w:tc>
          <w:tcPr>
            <w:tcW w:w="1660" w:type="dxa"/>
            <w:vAlign w:val="bottom"/>
            <w:vMerge w:val="restart"/>
          </w:tcPr>
          <w:p>
            <w:pPr>
              <w:jc w:val="right"/>
              <w:ind w:right="92"/>
              <w:spacing w:after="0"/>
              <w:rPr>
                <w:sz w:val="20"/>
                <w:szCs w:val="20"/>
                <w:color w:val="auto"/>
              </w:rPr>
            </w:pPr>
            <w:r>
              <w:rPr>
                <w:rFonts w:ascii="Arial" w:cs="Arial" w:eastAsia="Arial" w:hAnsi="Arial"/>
                <w:sz w:val="18"/>
                <w:szCs w:val="18"/>
                <w:color w:val="auto"/>
              </w:rPr>
              <w:t>47 %</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53"/>
        </w:trPr>
        <w:tc>
          <w:tcPr>
            <w:tcW w:w="47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Jerome Lay</w:t>
            </w:r>
          </w:p>
        </w:tc>
        <w:tc>
          <w:tcPr>
            <w:tcW w:w="1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4740" w:type="dxa"/>
            <w:vAlign w:val="bottom"/>
            <w:shd w:val="clear" w:color="auto" w:fill="CCEEFF"/>
          </w:tcPr>
          <w:p>
            <w:pPr>
              <w:spacing w:after="0"/>
              <w:rPr>
                <w:sz w:val="7"/>
                <w:szCs w:val="7"/>
                <w:color w:val="auto"/>
              </w:rPr>
            </w:pPr>
          </w:p>
        </w:tc>
        <w:tc>
          <w:tcPr>
            <w:tcW w:w="164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4740" w:type="dxa"/>
            <w:vAlign w:val="bottom"/>
          </w:tcPr>
          <w:p>
            <w:pPr>
              <w:ind w:left="20"/>
              <w:spacing w:after="0"/>
              <w:rPr>
                <w:sz w:val="20"/>
                <w:szCs w:val="20"/>
                <w:color w:val="auto"/>
              </w:rPr>
            </w:pPr>
            <w:r>
              <w:rPr>
                <w:rFonts w:ascii="Arial" w:cs="Arial" w:eastAsia="Arial" w:hAnsi="Arial"/>
                <w:sz w:val="18"/>
                <w:szCs w:val="18"/>
                <w:color w:val="auto"/>
              </w:rPr>
              <w:t>Timothy Lowe</w:t>
            </w:r>
          </w:p>
        </w:tc>
        <w:tc>
          <w:tcPr>
            <w:tcW w:w="1640" w:type="dxa"/>
            <w:vAlign w:val="bottom"/>
            <w:vMerge w:val="restart"/>
          </w:tcPr>
          <w:p>
            <w:pPr>
              <w:jc w:val="right"/>
              <w:ind w:right="32"/>
              <w:spacing w:after="0"/>
              <w:rPr>
                <w:sz w:val="20"/>
                <w:szCs w:val="20"/>
                <w:color w:val="auto"/>
              </w:rPr>
            </w:pPr>
            <w:r>
              <w:rPr>
                <w:rFonts w:ascii="Arial" w:cs="Arial" w:eastAsia="Arial" w:hAnsi="Arial"/>
                <w:sz w:val="18"/>
                <w:szCs w:val="18"/>
                <w:color w:val="auto"/>
              </w:rPr>
              <w:t>16,000</w:t>
            </w:r>
          </w:p>
        </w:tc>
        <w:tc>
          <w:tcPr>
            <w:tcW w:w="1660" w:type="dxa"/>
            <w:vAlign w:val="bottom"/>
            <w:vMerge w:val="restart"/>
          </w:tcPr>
          <w:p>
            <w:pPr>
              <w:jc w:val="right"/>
              <w:ind w:right="132"/>
              <w:spacing w:after="0"/>
              <w:rPr>
                <w:sz w:val="20"/>
                <w:szCs w:val="20"/>
                <w:color w:val="auto"/>
              </w:rPr>
            </w:pPr>
            <w:r>
              <w:rPr>
                <w:rFonts w:ascii="Arial" w:cs="Arial" w:eastAsia="Arial" w:hAnsi="Arial"/>
                <w:sz w:val="18"/>
                <w:szCs w:val="18"/>
                <w:color w:val="auto"/>
              </w:rPr>
              <w:t>71,208</w:t>
            </w:r>
          </w:p>
        </w:tc>
        <w:tc>
          <w:tcPr>
            <w:tcW w:w="166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474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Neuscheler</w:t>
            </w:r>
          </w:p>
        </w:tc>
        <w:tc>
          <w:tcPr>
            <w:tcW w:w="1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19,873</w:t>
            </w:r>
          </w:p>
        </w:tc>
        <w:tc>
          <w:tcPr>
            <w:tcW w:w="16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4740" w:type="dxa"/>
            <w:vAlign w:val="bottom"/>
            <w:shd w:val="clear" w:color="auto" w:fill="CCEEFF"/>
          </w:tcPr>
          <w:p>
            <w:pPr>
              <w:spacing w:after="0"/>
              <w:rPr>
                <w:sz w:val="7"/>
                <w:szCs w:val="7"/>
                <w:color w:val="auto"/>
              </w:rPr>
            </w:pPr>
          </w:p>
        </w:tc>
        <w:tc>
          <w:tcPr>
            <w:tcW w:w="164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4740" w:type="dxa"/>
            <w:vAlign w:val="bottom"/>
          </w:tcPr>
          <w:p>
            <w:pPr>
              <w:ind w:left="20"/>
              <w:spacing w:after="0"/>
              <w:rPr>
                <w:sz w:val="20"/>
                <w:szCs w:val="20"/>
                <w:color w:val="auto"/>
              </w:rPr>
            </w:pPr>
            <w:r>
              <w:rPr>
                <w:rFonts w:ascii="Arial" w:cs="Arial" w:eastAsia="Arial" w:hAnsi="Arial"/>
                <w:sz w:val="18"/>
                <w:szCs w:val="18"/>
                <w:color w:val="auto"/>
              </w:rPr>
              <w:t>Daniel Rothaupt</w:t>
            </w:r>
          </w:p>
        </w:tc>
        <w:tc>
          <w:tcPr>
            <w:tcW w:w="1640" w:type="dxa"/>
            <w:vAlign w:val="bottom"/>
            <w:vMerge w:val="restart"/>
          </w:tcPr>
          <w:p>
            <w:pPr>
              <w:jc w:val="right"/>
              <w:ind w:right="32"/>
              <w:spacing w:after="0"/>
              <w:rPr>
                <w:sz w:val="20"/>
                <w:szCs w:val="20"/>
                <w:color w:val="auto"/>
              </w:rPr>
            </w:pPr>
            <w:r>
              <w:rPr>
                <w:rFonts w:ascii="Arial" w:cs="Arial" w:eastAsia="Arial" w:hAnsi="Arial"/>
                <w:sz w:val="18"/>
                <w:szCs w:val="18"/>
                <w:color w:val="auto"/>
              </w:rPr>
              <w:t>12,530</w:t>
            </w:r>
          </w:p>
        </w:tc>
        <w:tc>
          <w:tcPr>
            <w:tcW w:w="1660" w:type="dxa"/>
            <w:vAlign w:val="bottom"/>
            <w:vMerge w:val="restart"/>
          </w:tcPr>
          <w:p>
            <w:pPr>
              <w:jc w:val="right"/>
              <w:ind w:right="132"/>
              <w:spacing w:after="0"/>
              <w:rPr>
                <w:sz w:val="20"/>
                <w:szCs w:val="20"/>
                <w:color w:val="auto"/>
              </w:rPr>
            </w:pPr>
            <w:r>
              <w:rPr>
                <w:rFonts w:ascii="Arial" w:cs="Arial" w:eastAsia="Arial" w:hAnsi="Arial"/>
                <w:sz w:val="18"/>
                <w:szCs w:val="18"/>
                <w:color w:val="auto"/>
              </w:rPr>
              <w:t>142,420</w:t>
            </w:r>
          </w:p>
        </w:tc>
        <w:tc>
          <w:tcPr>
            <w:tcW w:w="166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474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Filippelli</w:t>
            </w:r>
          </w:p>
        </w:tc>
        <w:tc>
          <w:tcPr>
            <w:tcW w:w="1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4740" w:type="dxa"/>
            <w:vAlign w:val="bottom"/>
            <w:shd w:val="clear" w:color="auto" w:fill="CCEEFF"/>
          </w:tcPr>
          <w:p>
            <w:pPr>
              <w:spacing w:after="0"/>
              <w:rPr>
                <w:sz w:val="7"/>
                <w:szCs w:val="7"/>
                <w:color w:val="auto"/>
              </w:rPr>
            </w:pPr>
          </w:p>
        </w:tc>
        <w:tc>
          <w:tcPr>
            <w:tcW w:w="164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Jordan Kovler</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4,500</w:t>
            </w: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All directors and executive officers, as a group (15</w:t>
            </w:r>
          </w:p>
        </w:tc>
        <w:tc>
          <w:tcPr>
            <w:tcW w:w="16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persons)</w:t>
            </w:r>
          </w:p>
        </w:tc>
        <w:tc>
          <w:tcPr>
            <w:tcW w:w="1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1,363,813</w:t>
            </w:r>
          </w:p>
        </w:tc>
        <w:tc>
          <w:tcPr>
            <w:tcW w:w="16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27,946,372</w:t>
            </w:r>
          </w:p>
        </w:tc>
        <w:tc>
          <w:tcPr>
            <w:tcW w:w="16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49 %</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80"/>
        </w:trPr>
        <w:tc>
          <w:tcPr>
            <w:tcW w:w="4740" w:type="dxa"/>
            <w:vAlign w:val="bottom"/>
            <w:shd w:val="clear" w:color="auto" w:fill="CCEEFF"/>
          </w:tcPr>
          <w:p>
            <w:pPr>
              <w:spacing w:after="0"/>
              <w:rPr>
                <w:sz w:val="7"/>
                <w:szCs w:val="7"/>
                <w:color w:val="auto"/>
              </w:rPr>
            </w:pPr>
          </w:p>
        </w:tc>
        <w:tc>
          <w:tcPr>
            <w:tcW w:w="164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4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Stockholders (&gt; 5% of outstanding common</w:t>
            </w: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w:t>
            </w:r>
          </w:p>
        </w:tc>
        <w:tc>
          <w:tcPr>
            <w:tcW w:w="1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47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Atlas</w:t>
            </w:r>
            <w:r>
              <w:rPr>
                <w:rFonts w:ascii="Arial" w:cs="Arial" w:eastAsia="Arial" w:hAnsi="Arial"/>
                <w:sz w:val="22"/>
                <w:szCs w:val="22"/>
                <w:color w:val="auto"/>
                <w:vertAlign w:val="superscript"/>
              </w:rPr>
              <w:t>(4)</w:t>
            </w:r>
          </w:p>
        </w:tc>
        <w:tc>
          <w:tcPr>
            <w:tcW w:w="1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1,190,476</w:t>
            </w:r>
          </w:p>
        </w:tc>
        <w:tc>
          <w:tcPr>
            <w:tcW w:w="16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26,800,300</w:t>
            </w:r>
          </w:p>
        </w:tc>
        <w:tc>
          <w:tcPr>
            <w:tcW w:w="16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47 %</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53"/>
        </w:trPr>
        <w:tc>
          <w:tcPr>
            <w:tcW w:w="4740" w:type="dxa"/>
            <w:vAlign w:val="bottom"/>
            <w:shd w:val="clear" w:color="auto" w:fill="CCEEFF"/>
          </w:tcPr>
          <w:p>
            <w:pPr>
              <w:spacing w:after="0"/>
              <w:rPr>
                <w:sz w:val="4"/>
                <w:szCs w:val="4"/>
                <w:color w:val="auto"/>
              </w:rPr>
            </w:pPr>
          </w:p>
        </w:tc>
        <w:tc>
          <w:tcPr>
            <w:tcW w:w="1640" w:type="dxa"/>
            <w:vAlign w:val="bottom"/>
            <w:vMerge w:val="continue"/>
            <w:shd w:val="clear" w:color="auto" w:fill="CCEEFF"/>
          </w:tcPr>
          <w:p>
            <w:pPr>
              <w:spacing w:after="0"/>
              <w:rPr>
                <w:sz w:val="4"/>
                <w:szCs w:val="4"/>
                <w:color w:val="auto"/>
              </w:rPr>
            </w:pPr>
          </w:p>
        </w:tc>
        <w:tc>
          <w:tcPr>
            <w:tcW w:w="1660" w:type="dxa"/>
            <w:vAlign w:val="bottom"/>
            <w:vMerge w:val="continue"/>
            <w:shd w:val="clear" w:color="auto" w:fill="CCEEFF"/>
          </w:tcPr>
          <w:p>
            <w:pPr>
              <w:spacing w:after="0"/>
              <w:rPr>
                <w:sz w:val="4"/>
                <w:szCs w:val="4"/>
                <w:color w:val="auto"/>
              </w:rPr>
            </w:pPr>
          </w:p>
        </w:tc>
        <w:tc>
          <w:tcPr>
            <w:tcW w:w="1660" w:type="dxa"/>
            <w:vAlign w:val="bottom"/>
            <w:vMerge w:val="continue"/>
            <w:shd w:val="clear" w:color="auto" w:fill="CCEEFF"/>
          </w:tcPr>
          <w:p>
            <w:pPr>
              <w:spacing w:after="0"/>
              <w:rPr>
                <w:sz w:val="4"/>
                <w:szCs w:val="4"/>
                <w:color w:val="auto"/>
              </w:rPr>
            </w:pPr>
          </w:p>
        </w:tc>
        <w:tc>
          <w:tcPr>
            <w:tcW w:w="15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4"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230505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type w:val="continuous"/>
        </w:sectPr>
      </w:pPr>
    </w:p>
    <w:bookmarkStart w:id="76" w:name="page77"/>
    <w:bookmarkEnd w:id="76"/>
    <w:p>
      <w:pPr>
        <w:ind w:left="120" w:hanging="114"/>
        <w:spacing w:after="0"/>
        <w:tabs>
          <w:tab w:leader="none" w:pos="12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Indicates less than 1%</w:t>
      </w:r>
    </w:p>
    <w:p>
      <w:pPr>
        <w:spacing w:after="0" w:line="217" w:lineRule="exact"/>
        <w:rPr>
          <w:rFonts w:ascii="Arial" w:cs="Arial" w:eastAsia="Arial" w:hAnsi="Arial"/>
          <w:sz w:val="18"/>
          <w:szCs w:val="18"/>
          <w:b w:val="1"/>
          <w:bCs w:val="1"/>
          <w:color w:val="auto"/>
        </w:rPr>
      </w:pPr>
    </w:p>
    <w:p>
      <w:pPr>
        <w:ind w:left="960" w:right="200" w:hanging="477"/>
        <w:spacing w:after="0" w:line="238"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Based on 31,271,755 shares of class A common stock outstanding plus 28,526,372 shares of class B common stock outstanding as of March 30, 2023.</w:t>
      </w:r>
    </w:p>
    <w:p>
      <w:pPr>
        <w:ind w:left="960" w:right="200" w:hanging="477"/>
        <w:spacing w:after="0" w:line="235"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Based on 31,271,755 shares of class A common stock outstanding plus 28,526,372 shares of class B common stock outstanding as of March 30, 2023. Each share of class A common stock is entitled to one vote per share and each share of class B common stock is entitled to ten votes per share.</w:t>
      </w:r>
    </w:p>
    <w:p>
      <w:pPr>
        <w:spacing w:after="0" w:line="1" w:lineRule="exact"/>
        <w:rPr>
          <w:rFonts w:ascii="Arial" w:cs="Arial" w:eastAsia="Arial" w:hAnsi="Arial"/>
          <w:sz w:val="18"/>
          <w:szCs w:val="18"/>
          <w:color w:val="auto"/>
        </w:rPr>
      </w:pPr>
    </w:p>
    <w:p>
      <w:pPr>
        <w:ind w:left="960" w:right="480" w:hanging="477"/>
        <w:spacing w:after="0" w:line="230"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Mr. Kirt’s employment with the Company terminated on October 7, 2022. Mr. Kirt’s beneficial ownership of Company shares is based on the most recent information available to the Company.</w:t>
      </w:r>
    </w:p>
    <w:p>
      <w:pPr>
        <w:ind w:left="960" w:right="120" w:hanging="477"/>
        <w:spacing w:after="0" w:line="252" w:lineRule="auto"/>
        <w:tabs>
          <w:tab w:leader="none" w:pos="977" w:val="left"/>
        </w:tabs>
        <w:numPr>
          <w:ilvl w:val="1"/>
          <w:numId w:val="37"/>
        </w:numPr>
        <w:rPr>
          <w:rFonts w:ascii="Arial" w:cs="Arial" w:eastAsia="Arial" w:hAnsi="Arial"/>
          <w:sz w:val="17"/>
          <w:szCs w:val="17"/>
          <w:color w:val="auto"/>
        </w:rPr>
      </w:pPr>
      <w:r>
        <w:rPr>
          <w:rFonts w:ascii="Arial" w:cs="Arial" w:eastAsia="Arial" w:hAnsi="Arial"/>
          <w:sz w:val="17"/>
          <w:szCs w:val="17"/>
          <w:color w:val="auto"/>
        </w:rPr>
        <w:t>Based solely on the Schedule 13D filed on February 9, 2023. Includes 19,202,652 shares of class B common stock held of record by Atlas Capital Resources (A9) LP, 6,895,120 shares of class B common stock held of record by Atlas Capital Resources (A9-Parallel) LP, 702,528 shares of class B common stock held of record by Atlas Capital Resources (P) LP and 1,190,476 shares of class A common stock held of record by GGH Bridge Investment LP. Atlas Capital Resources GP LP ("ACR GPLP") is the general partner of these entities and Atlas Capital Resources GP LLC ("ACR GP") is the general partner of ACR GPLP, each of which may be deemed to beneficially own the share held by these entities. Mr. Fazio and Mr. Bursky are each a managing partner of ACR GP and may be deemed to have shared voting and investment power over the securities held by these entities. Mr. Fazio and Mr. Bursky each disclaims beneficial ownership of such shares except to the extent of his pecuniary interest therein. The address for Messrs. Fazio and Bursky is c/o Atlas Holdings LLC, 100 Northfield Street, Greenwich, CT 06830.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3" w:lineRule="exact"/>
        <w:rPr>
          <w:sz w:val="20"/>
          <w:szCs w:val="20"/>
          <w:color w:val="auto"/>
        </w:rPr>
      </w:pPr>
    </w:p>
    <w:p>
      <w:pPr>
        <w:ind w:right="560"/>
        <w:spacing w:after="0" w:line="251" w:lineRule="auto"/>
        <w:rPr>
          <w:sz w:val="20"/>
          <w:szCs w:val="20"/>
          <w:color w:val="auto"/>
        </w:rPr>
      </w:pPr>
      <w:r>
        <w:rPr>
          <w:rFonts w:ascii="Arial" w:cs="Arial" w:eastAsia="Arial" w:hAnsi="Arial"/>
          <w:sz w:val="18"/>
          <w:szCs w:val="18"/>
          <w:color w:val="auto"/>
        </w:rPr>
        <w:t>The following table sets forth, as of December 31, 2022, certain information related to our compensation plans under which shares of our common stock may be issued.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4"/>
                <w:szCs w:val="14"/>
                <w:color w:val="auto"/>
              </w:rPr>
            </w:pPr>
          </w:p>
        </w:tc>
        <w:tc>
          <w:tcPr>
            <w:tcW w:w="17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Weighted 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184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to be issued</w:t>
            </w: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184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upon exercise of</w:t>
            </w:r>
          </w:p>
        </w:tc>
        <w:tc>
          <w:tcPr>
            <w:tcW w:w="120" w:type="dxa"/>
            <w:vAlign w:val="bottom"/>
          </w:tcPr>
          <w:p>
            <w:pPr>
              <w:spacing w:after="0"/>
              <w:rPr>
                <w:sz w:val="12"/>
                <w:szCs w:val="12"/>
                <w:color w:val="auto"/>
              </w:rPr>
            </w:pPr>
          </w:p>
        </w:tc>
        <w:tc>
          <w:tcPr>
            <w:tcW w:w="1720" w:type="dxa"/>
            <w:vAlign w:val="bottom"/>
            <w:gridSpan w:val="2"/>
          </w:tcPr>
          <w:p>
            <w:pPr>
              <w:jc w:val="center"/>
              <w:ind w:right="480"/>
              <w:spacing w:after="0" w:line="146" w:lineRule="exact"/>
              <w:rPr>
                <w:sz w:val="20"/>
                <w:szCs w:val="20"/>
                <w:color w:val="auto"/>
              </w:rPr>
            </w:pPr>
            <w:r>
              <w:rPr>
                <w:rFonts w:ascii="Arial" w:cs="Arial" w:eastAsia="Arial" w:hAnsi="Arial"/>
                <w:sz w:val="14"/>
                <w:szCs w:val="14"/>
                <w:b w:val="1"/>
                <w:bCs w:val="1"/>
                <w:color w:val="auto"/>
              </w:rPr>
              <w:t>exercise price of</w:t>
            </w:r>
          </w:p>
        </w:tc>
        <w:tc>
          <w:tcPr>
            <w:tcW w:w="14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available for future</w:t>
            </w: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184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outstanding</w:t>
            </w:r>
          </w:p>
        </w:tc>
        <w:tc>
          <w:tcPr>
            <w:tcW w:w="1840" w:type="dxa"/>
            <w:vAlign w:val="bottom"/>
            <w:gridSpan w:val="3"/>
          </w:tcPr>
          <w:p>
            <w:pPr>
              <w:jc w:val="center"/>
              <w:ind w:right="360"/>
              <w:spacing w:after="0" w:line="146" w:lineRule="exact"/>
              <w:rPr>
                <w:sz w:val="20"/>
                <w:szCs w:val="20"/>
                <w:color w:val="auto"/>
              </w:rPr>
            </w:pPr>
            <w:r>
              <w:rPr>
                <w:rFonts w:ascii="Arial" w:cs="Arial" w:eastAsia="Arial" w:hAnsi="Arial"/>
                <w:sz w:val="14"/>
                <w:szCs w:val="14"/>
                <w:b w:val="1"/>
                <w:bCs w:val="1"/>
                <w:color w:val="auto"/>
              </w:rPr>
              <w:t>outstanding options,</w:t>
            </w:r>
          </w:p>
        </w:tc>
        <w:tc>
          <w:tcPr>
            <w:tcW w:w="14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issuance under</w:t>
            </w:r>
          </w:p>
        </w:tc>
        <w:tc>
          <w:tcPr>
            <w:tcW w:w="0" w:type="dxa"/>
            <w:vAlign w:val="bottom"/>
          </w:tcPr>
          <w:p>
            <w:pPr>
              <w:spacing w:after="0"/>
              <w:rPr>
                <w:sz w:val="1"/>
                <w:szCs w:val="1"/>
                <w:color w:val="auto"/>
              </w:rPr>
            </w:pPr>
          </w:p>
        </w:tc>
      </w:tr>
      <w:tr>
        <w:trPr>
          <w:trHeight w:val="133"/>
        </w:trPr>
        <w:tc>
          <w:tcPr>
            <w:tcW w:w="6080" w:type="dxa"/>
            <w:vAlign w:val="bottom"/>
          </w:tcPr>
          <w:p>
            <w:pPr>
              <w:spacing w:after="0"/>
              <w:rPr>
                <w:sz w:val="11"/>
                <w:szCs w:val="11"/>
                <w:color w:val="auto"/>
              </w:rPr>
            </w:pPr>
          </w:p>
        </w:tc>
        <w:tc>
          <w:tcPr>
            <w:tcW w:w="18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options, warrants</w:t>
            </w:r>
          </w:p>
        </w:tc>
        <w:tc>
          <w:tcPr>
            <w:tcW w:w="120" w:type="dxa"/>
            <w:vAlign w:val="bottom"/>
          </w:tcPr>
          <w:p>
            <w:pPr>
              <w:spacing w:after="0"/>
              <w:rPr>
                <w:sz w:val="11"/>
                <w:szCs w:val="11"/>
                <w:color w:val="auto"/>
              </w:rPr>
            </w:pPr>
          </w:p>
        </w:tc>
        <w:tc>
          <w:tcPr>
            <w:tcW w:w="172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rPr>
              <w:t>warrants and</w:t>
            </w: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equity compensation</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rights</w:t>
            </w:r>
          </w:p>
        </w:tc>
        <w:tc>
          <w:tcPr>
            <w:tcW w:w="120" w:type="dxa"/>
            <w:vAlign w:val="bottom"/>
          </w:tcPr>
          <w:p>
            <w:pPr>
              <w:spacing w:after="0"/>
              <w:rPr>
                <w:sz w:val="16"/>
                <w:szCs w:val="16"/>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rights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plans</w:t>
            </w:r>
          </w:p>
        </w:tc>
        <w:tc>
          <w:tcPr>
            <w:tcW w:w="0" w:type="dxa"/>
            <w:vAlign w:val="bottom"/>
          </w:tcPr>
          <w:p>
            <w:pPr>
              <w:spacing w:after="0"/>
              <w:rPr>
                <w:sz w:val="1"/>
                <w:szCs w:val="1"/>
                <w:color w:val="auto"/>
              </w:rPr>
            </w:pPr>
          </w:p>
        </w:tc>
      </w:tr>
      <w:tr>
        <w:trPr>
          <w:trHeight w:val="205"/>
        </w:trPr>
        <w:tc>
          <w:tcPr>
            <w:tcW w:w="608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80" w:type="dxa"/>
            <w:vAlign w:val="bottom"/>
          </w:tcPr>
          <w:p>
            <w:pPr>
              <w:ind w:left="180"/>
              <w:spacing w:after="0"/>
              <w:rPr>
                <w:sz w:val="20"/>
                <w:szCs w:val="20"/>
                <w:color w:val="auto"/>
              </w:rPr>
            </w:pPr>
            <w:r>
              <w:rPr>
                <w:rFonts w:ascii="Arial" w:cs="Arial" w:eastAsia="Arial" w:hAnsi="Arial"/>
                <w:sz w:val="18"/>
                <w:szCs w:val="18"/>
                <w:color w:val="auto"/>
              </w:rPr>
              <w:t>2021 Equity Incentive Plan</w:t>
            </w:r>
          </w:p>
        </w:tc>
        <w:tc>
          <w:tcPr>
            <w:tcW w:w="1840" w:type="dxa"/>
            <w:vAlign w:val="bottom"/>
            <w:gridSpan w:val="2"/>
          </w:tcPr>
          <w:p>
            <w:pPr>
              <w:jc w:val="right"/>
              <w:ind w:right="200"/>
              <w:spacing w:after="0" w:line="225" w:lineRule="exact"/>
              <w:rPr>
                <w:sz w:val="20"/>
                <w:szCs w:val="20"/>
                <w:color w:val="auto"/>
              </w:rPr>
            </w:pPr>
            <w:r>
              <w:rPr>
                <w:rFonts w:ascii="Arial" w:cs="Arial" w:eastAsia="Arial" w:hAnsi="Arial"/>
                <w:sz w:val="18"/>
                <w:szCs w:val="18"/>
                <w:color w:val="auto"/>
              </w:rPr>
              <w:t xml:space="preserve">812,294 </w:t>
            </w:r>
            <w:r>
              <w:rPr>
                <w:rFonts w:ascii="Arial" w:cs="Arial" w:eastAsia="Arial" w:hAnsi="Arial"/>
                <w:sz w:val="22"/>
                <w:szCs w:val="22"/>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180"/>
              <w:spacing w:after="0" w:line="225" w:lineRule="exact"/>
              <w:rPr>
                <w:sz w:val="20"/>
                <w:szCs w:val="20"/>
                <w:color w:val="auto"/>
              </w:rPr>
            </w:pPr>
            <w:r>
              <w:rPr>
                <w:rFonts w:ascii="Arial" w:cs="Arial" w:eastAsia="Arial" w:hAnsi="Arial"/>
                <w:sz w:val="18"/>
                <w:szCs w:val="18"/>
                <w:color w:val="auto"/>
              </w:rPr>
              <w:t xml:space="preserve">2.05 </w:t>
            </w:r>
            <w:r>
              <w:rPr>
                <w:rFonts w:ascii="Arial" w:cs="Arial" w:eastAsia="Arial" w:hAnsi="Arial"/>
                <w:sz w:val="22"/>
                <w:szCs w:val="22"/>
                <w:color w:val="auto"/>
                <w:vertAlign w:val="superscript"/>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1,168,228</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Inducement Stock Option Awards</w:t>
            </w:r>
            <w:r>
              <w:rPr>
                <w:rFonts w:ascii="Arial" w:cs="Arial" w:eastAsia="Arial" w:hAnsi="Arial"/>
                <w:sz w:val="22"/>
                <w:szCs w:val="22"/>
                <w:color w:val="auto"/>
                <w:vertAlign w:val="superscript"/>
              </w:rPr>
              <w:t>(3)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3,076,842</w:t>
            </w: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tcPr>
          <w:p>
            <w:pPr>
              <w:jc w:val="right"/>
              <w:ind w:right="2"/>
              <w:spacing w:after="0"/>
              <w:rPr>
                <w:sz w:val="20"/>
                <w:szCs w:val="20"/>
                <w:color w:val="auto"/>
              </w:rPr>
            </w:pPr>
            <w:r>
              <w:rPr>
                <w:rFonts w:ascii="Arial" w:cs="Arial" w:eastAsia="Arial" w:hAnsi="Arial"/>
                <w:sz w:val="18"/>
                <w:szCs w:val="18"/>
                <w:color w:val="auto"/>
              </w:rPr>
              <w:t>1.32</w:t>
            </w:r>
          </w:p>
        </w:tc>
        <w:tc>
          <w:tcPr>
            <w:tcW w:w="3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3,889,136</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1,168,228</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5" w:lineRule="exact"/>
        <w:rPr>
          <w:sz w:val="20"/>
          <w:szCs w:val="20"/>
          <w:color w:val="auto"/>
        </w:rPr>
      </w:pPr>
    </w:p>
    <w:p>
      <w:pPr>
        <w:ind w:right="320" w:firstLine="6"/>
        <w:spacing w:after="0" w:line="245" w:lineRule="auto"/>
        <w:tabs>
          <w:tab w:leader="none" w:pos="6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247,286 shares of class A common stock issuable upon settlement of outstanding RSUs and 565,008 shares of class A common stock issuable upon exercise of outstanding options under the 2021 Equity Incentive Plan as of December 31, 2022.</w:t>
      </w:r>
    </w:p>
    <w:p>
      <w:pPr>
        <w:spacing w:after="0" w:line="1" w:lineRule="exact"/>
        <w:rPr>
          <w:rFonts w:ascii="Arial" w:cs="Arial" w:eastAsia="Arial" w:hAnsi="Arial"/>
          <w:sz w:val="18"/>
          <w:szCs w:val="18"/>
          <w:color w:val="auto"/>
        </w:rPr>
      </w:pPr>
    </w:p>
    <w:p>
      <w:pPr>
        <w:ind w:firstLine="6"/>
        <w:spacing w:after="0" w:line="245" w:lineRule="auto"/>
        <w:tabs>
          <w:tab w:leader="none" w:pos="6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options outstanding under the 2021 Equity Incentive Plan as of December 31, 2022. The weighted average exercise price does not take into account RSUs outstanding under the 2021 Equity Incentive Plan.</w:t>
      </w:r>
    </w:p>
    <w:p>
      <w:pPr>
        <w:spacing w:after="0" w:line="1" w:lineRule="exact"/>
        <w:rPr>
          <w:rFonts w:ascii="Arial" w:cs="Arial" w:eastAsia="Arial" w:hAnsi="Arial"/>
          <w:sz w:val="18"/>
          <w:szCs w:val="18"/>
          <w:color w:val="auto"/>
        </w:rPr>
      </w:pPr>
    </w:p>
    <w:p>
      <w:pPr>
        <w:ind w:right="380" w:firstLine="6"/>
        <w:spacing w:after="0" w:line="266" w:lineRule="auto"/>
        <w:tabs>
          <w:tab w:leader="none" w:pos="653"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stock option awards approved by our Board as inducements material to the respective individual’s acceptance of employment with us in accordance with Nasdaq Listing Rule 5635(c)(4). These inducement stock options have an exercise price per share equal to the closing price of a share of Class A common stock on the grant date and vest in equal installments on the first, second and third anniversaries of the grant date, subject to the employee’s continued service with the Company through the applicable vesting dates.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33"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The following includes a brief summary of certain material arrangements, agreements and transactions since January 1, 2021, or any currently proposed transaction, in which we were or are to be a participant and in which any person who serves as an executive officer or director has or will have a direct or indirect material interest (other than compensation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77" w:name="page78"/>
    <w:bookmarkEnd w:id="77"/>
    <w:p>
      <w:pPr>
        <w:ind w:right="220"/>
        <w:spacing w:after="0" w:line="272" w:lineRule="auto"/>
        <w:rPr>
          <w:sz w:val="20"/>
          <w:szCs w:val="20"/>
          <w:color w:val="auto"/>
        </w:rPr>
      </w:pPr>
      <w:r>
        <w:rPr>
          <w:rFonts w:ascii="Arial" w:cs="Arial" w:eastAsia="Arial" w:hAnsi="Arial"/>
          <w:sz w:val="18"/>
          <w:szCs w:val="18"/>
          <w:color w:val="auto"/>
        </w:rPr>
        <w:t>described under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above). As of December 31, 2022, Atlas and its affiliates control 88.5% of the voting power of our outstanding capital stock and have the power to elect a majority of our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8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Atlas and certain of its affiliates obtained a letter of credit from a financial institution in the amount of $5.0 million at December 31, 2022 and 2021, payable to the NYSDEC. This letter of credit guarantees the current value of our environmental trust liability. Atlas Capital Resources LP and Atlas Capital Resources (P) LP also obtained a letter of credit from a financial institution in the amount of $3.6 million at December 31, 2022 and 2021, payable to Empire Pipeline Incorporated ("Empire") in the event we should not make contracted payments for costs related to a pipeline interconnection project we have entered into with Empire. We paid Atlas and certain of its affiliates $0.2 million for each of the years ended December 31, 2022 and 2021, respectively.</w:t>
      </w:r>
    </w:p>
    <w:p>
      <w:pPr>
        <w:spacing w:after="0" w:line="145"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On March 18, 2021, we and Atlas and its affiliates entered into an arrangement pursuant to which we agreed, upon request, to direct our bank to issue new letters of credit to replace all or a portion of the letters of credit provided by Atlas and certain of its affiliates, upon the consummation of a potential investment in, financing of, or sale of any assets or our equity or debt securities, which results in net proceeds to us of at least $10.0 million. The consummation of such a financing has occurred.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w:t>
      </w:r>
    </w:p>
    <w:p>
      <w:pPr>
        <w:spacing w:after="0" w:line="133"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An affiliate of Atlas has guaranteed the payment obligations of Greenidge Generation in favor of Emera Energy Services, Inc. under an Energy Management Agreement and an ISDA Master Agreement under which Greenidge Generation may enter into various transactions involving the purchase and sale of gas, electricity and other commodities with Emera Energy Services, Inc. This guaranty is limited to $1.0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Spartanburg Facility</w:t>
      </w:r>
    </w:p>
    <w:p>
      <w:pPr>
        <w:spacing w:after="0" w:line="13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December 2021, we announced that we had entered into a Purchase and Sale Agreement (the "LSC Agreement") for an industrial site in Spartanburg, South Carolina, including a 750,000 square foot building and 175 acres of land (the "Property"). The property was used to develop a cryptocurrency datacenter operation, using existing electrical infrastructure at the location. The LSC Agreement was entered into by one of our subsidiaries and a portfolio company of private investment funds managed by Atlas. Greenidge’s controlling shareholder consists of certain funds associated with Atlas. The purchase price of the Property was $15.0 million. The transaction closed in December 2021, and we have developed datacenter operations at the Spartanburg site.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Compliance Agreement</w:t>
      </w:r>
    </w:p>
    <w:p>
      <w:pPr>
        <w:spacing w:after="0" w:line="13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On September 1, 2021, we entered into an agreement (each, a "Registration Compliance Agreement") with Atlas Capital Resources (A9) LP, Atlas Capital Resources (A9-Parallel) LP, Atlas Capital Resources (P) LP (collectively, the "Atlas Entities") and the directors and executive officers that have shares of class A common stock included in our registration statement on Form S-1, initially filed on September 1, 2021 (File No. 333-259247) (the "Resale Registration Statement"), pursuant to which we agreed to register for sale pursuant to the Resale Registration Statement, only during certain sale windows approved by Greenidge from time to time, some of the shares of our class A common stock held by the Atlas Entities and each such director and officer, subject to the terms and conditions set forth in the Registration Compliance Agreement. In each case, the aggregate value of the shares sold pursuant to the Resale Registration Statement is determined by market prices and may exceed $120,000. The Atlas Entities and each such officer and director is entitled to certain indemnification rights under the Registration Compliance Agreement. Each Registration Compliance Agreement terminates upon the earliest to occur of certain events.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33"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Related Party Transactions Policy</w:t>
      </w:r>
    </w:p>
    <w:p>
      <w:pPr>
        <w:spacing w:after="0" w:line="13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board of directors has adopted a written statement of policy regarding transactions with related persons (the "Related Person Policy"). Our Related Person Policy requires that a "related person" (as defined in paragraph (a) of Item 404 of Regulation S-K) must promptly disclose to (i) our chief compliance officer, or (ii) in the event that there is no chief compliance officer, our general counsel or (iii) in the event that there is no chief compliance officer or general counsel, our chief executive officer (in each case, the "Designated Officer"),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Designated Officer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3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Nasdaq’s rules generally require that a majority of an issuer’s board of directors must consist of independent directors. Our board currently consists of nine (9) directors, five (5) of whom are not independent within the meaning of the Nasdaq’s rules. We have entered into independent director agreements with Michael Neuscheler, Ted Rogers, Daniel Rothaupt and Timothy Lowe, pursuant to which they have been appointed to serve as independent directors as of March 2021. Our board has determined that each of Messrs. Neuscheler, Rogers, Rothaupt and Lowe are independent.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Armanino, LLP ("Armanino"), San Ramon, California, Auditor Firm ID: 32.</w:t>
      </w:r>
    </w:p>
    <w:p>
      <w:pPr>
        <w:spacing w:after="0" w:line="21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following table presents fees for professional services rendered by Armanino for the years ended December 31, 2022 and 2021. Armanino did not bill us for other services during those periods. All services that occurred during 2021, which is the period subsequent to Armanino becoming our independent public accounting firm, were approved by the Audit Committee in accordance with the approval policy described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Years Ended December 31,</w:t>
            </w:r>
          </w:p>
        </w:tc>
      </w:tr>
      <w:tr>
        <w:trPr>
          <w:trHeight w:val="204"/>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4"/>
        </w:trPr>
        <w:tc>
          <w:tcPr>
            <w:tcW w:w="81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2"/>
                <w:szCs w:val="22"/>
                <w:color w:val="auto"/>
                <w:vertAlign w:val="superscript"/>
              </w:rPr>
              <w:t>(1)</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960" w:right="280" w:hanging="477"/>
        <w:spacing w:after="0" w:line="266" w:lineRule="auto"/>
        <w:tabs>
          <w:tab w:leader="none" w:pos="977" w:val="left"/>
        </w:tabs>
        <w:numPr>
          <w:ilvl w:val="0"/>
          <w:numId w:val="39"/>
        </w:numPr>
        <w:rPr>
          <w:rFonts w:ascii="Arial" w:cs="Arial" w:eastAsia="Arial" w:hAnsi="Arial"/>
          <w:sz w:val="17"/>
          <w:szCs w:val="17"/>
          <w:color w:val="auto"/>
        </w:rPr>
      </w:pPr>
      <w:r>
        <w:rPr>
          <w:rFonts w:ascii="Arial" w:cs="Arial" w:eastAsia="Arial" w:hAnsi="Arial"/>
          <w:sz w:val="17"/>
          <w:szCs w:val="17"/>
          <w:color w:val="auto"/>
        </w:rPr>
        <w:t>Audit fees consist of aggregate fees for professional services, including out-of-pocket expenses, provided in connection with the audits of our consolidated financial statements, reviews of interim financial statements included in filings with the SEC, including services performed in connection with our S-1, S-4, and S-8 registration statements and other audit services required for SEC or other regulatory filings and related comfort letters, consents and assistance with and review of documents filed with the SEC.</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Approval Policies and Procedures</w:t>
      </w:r>
    </w:p>
    <w:p>
      <w:pPr>
        <w:spacing w:after="0" w:line="12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Audit Committee charter sets forth our policy regarding retention of the independent auditors, giving the Audit Committee responsibility for the appointment, replacement, compensation, evaluation and oversight of the work of the independent auditors. As part of this responsibility, our Audit Committee approves the audit and non-audit services performed by our independent auditors in order to assure that they do not impair the auditor’s independence from the Company. The Audit Committee has adopted a policy which sets forth the procedures and the conditions pursuant to which services proposed to be performed by the independent auditors may be approved.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9240" w:type="dxa"/>
            <w:vAlign w:val="bottom"/>
          </w:tcPr>
          <w:p>
            <w:pPr>
              <w:ind w:left="5280"/>
              <w:spacing w:after="0"/>
              <w:rPr>
                <w:sz w:val="20"/>
                <w:szCs w:val="20"/>
                <w:color w:val="auto"/>
              </w:rPr>
            </w:pPr>
            <w:r>
              <w:rPr>
                <w:rFonts w:ascii="Arial" w:cs="Arial" w:eastAsia="Arial" w:hAnsi="Arial"/>
                <w:sz w:val="18"/>
                <w:szCs w:val="18"/>
                <w:b w:val="1"/>
                <w:bCs w:val="1"/>
                <w:color w:val="auto"/>
              </w:rPr>
              <w:t>PART IV</w:t>
            </w:r>
          </w:p>
        </w:tc>
        <w:tc>
          <w:tcPr>
            <w:tcW w:w="1420" w:type="dxa"/>
            <w:vAlign w:val="bottom"/>
          </w:tcPr>
          <w:p>
            <w:pPr>
              <w:spacing w:after="0"/>
              <w:rPr>
                <w:sz w:val="20"/>
                <w:szCs w:val="20"/>
                <w:color w:val="auto"/>
              </w:rPr>
            </w:pPr>
          </w:p>
        </w:tc>
      </w:tr>
      <w:tr>
        <w:trPr>
          <w:trHeight w:val="424"/>
        </w:trPr>
        <w:tc>
          <w:tcPr>
            <w:tcW w:w="924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420" w:type="dxa"/>
            <w:vAlign w:val="bottom"/>
          </w:tcPr>
          <w:p>
            <w:pPr>
              <w:spacing w:after="0"/>
              <w:rPr>
                <w:sz w:val="24"/>
                <w:szCs w:val="24"/>
                <w:color w:val="auto"/>
              </w:rPr>
            </w:pPr>
          </w:p>
        </w:tc>
      </w:tr>
      <w:tr>
        <w:trPr>
          <w:trHeight w:val="318"/>
        </w:trPr>
        <w:tc>
          <w:tcPr>
            <w:tcW w:w="9240" w:type="dxa"/>
            <w:vAlign w:val="bottom"/>
          </w:tcPr>
          <w:p>
            <w:pPr>
              <w:spacing w:after="0"/>
              <w:rPr>
                <w:sz w:val="20"/>
                <w:szCs w:val="20"/>
                <w:color w:val="auto"/>
              </w:rPr>
            </w:pPr>
            <w:r>
              <w:rPr>
                <w:rFonts w:ascii="Arial" w:cs="Arial" w:eastAsia="Arial" w:hAnsi="Arial"/>
                <w:sz w:val="18"/>
                <w:szCs w:val="18"/>
                <w:color w:val="auto"/>
              </w:rPr>
              <w:t>(a)  The following documents are filed as part of this Annual Report on Form 10-K:</w:t>
            </w:r>
          </w:p>
        </w:tc>
        <w:tc>
          <w:tcPr>
            <w:tcW w:w="1420" w:type="dxa"/>
            <w:vAlign w:val="bottom"/>
          </w:tcPr>
          <w:p>
            <w:pPr>
              <w:spacing w:after="0"/>
              <w:rPr>
                <w:sz w:val="24"/>
                <w:szCs w:val="24"/>
                <w:color w:val="auto"/>
              </w:rPr>
            </w:pPr>
          </w:p>
        </w:tc>
      </w:tr>
      <w:tr>
        <w:trPr>
          <w:trHeight w:val="318"/>
        </w:trPr>
        <w:tc>
          <w:tcPr>
            <w:tcW w:w="9240" w:type="dxa"/>
            <w:vAlign w:val="bottom"/>
          </w:tcPr>
          <w:p>
            <w:pPr>
              <w:ind w:left="320"/>
              <w:spacing w:after="0"/>
              <w:rPr>
                <w:sz w:val="20"/>
                <w:szCs w:val="20"/>
                <w:color w:val="auto"/>
              </w:rPr>
            </w:pPr>
            <w:r>
              <w:rPr>
                <w:rFonts w:ascii="Arial" w:cs="Arial" w:eastAsia="Arial" w:hAnsi="Arial"/>
                <w:sz w:val="18"/>
                <w:szCs w:val="18"/>
                <w:color w:val="auto"/>
              </w:rPr>
              <w:t>1.  Consolidated Financial Statements</w:t>
            </w:r>
          </w:p>
        </w:tc>
        <w:tc>
          <w:tcPr>
            <w:tcW w:w="1420" w:type="dxa"/>
            <w:vAlign w:val="bottom"/>
          </w:tcPr>
          <w:p>
            <w:pPr>
              <w:spacing w:after="0"/>
              <w:rPr>
                <w:sz w:val="24"/>
                <w:szCs w:val="24"/>
                <w:color w:val="auto"/>
              </w:rPr>
            </w:pPr>
          </w:p>
        </w:tc>
      </w:tr>
      <w:tr>
        <w:trPr>
          <w:trHeight w:val="252"/>
        </w:trPr>
        <w:tc>
          <w:tcPr>
            <w:tcW w:w="9240" w:type="dxa"/>
            <w:vAlign w:val="bottom"/>
          </w:tcPr>
          <w:p>
            <w:pPr>
              <w:spacing w:after="0"/>
              <w:rPr>
                <w:sz w:val="21"/>
                <w:szCs w:val="21"/>
                <w:color w:val="auto"/>
              </w:rPr>
            </w:pPr>
          </w:p>
        </w:tc>
        <w:tc>
          <w:tcPr>
            <w:tcW w:w="1420" w:type="dxa"/>
            <w:vAlign w:val="bottom"/>
          </w:tcPr>
          <w:p>
            <w:pPr>
              <w:jc w:val="center"/>
              <w:ind w:left="912"/>
              <w:spacing w:after="0"/>
              <w:rPr>
                <w:sz w:val="20"/>
                <w:szCs w:val="20"/>
                <w:color w:val="auto"/>
              </w:rPr>
            </w:pPr>
            <w:r>
              <w:rPr>
                <w:rFonts w:ascii="Arial" w:cs="Arial" w:eastAsia="Arial" w:hAnsi="Arial"/>
                <w:sz w:val="18"/>
                <w:szCs w:val="18"/>
                <w:color w:val="auto"/>
                <w:w w:val="99"/>
              </w:rPr>
              <w:t>Page</w:t>
            </w:r>
          </w:p>
        </w:tc>
      </w:tr>
      <w:tr>
        <w:trPr>
          <w:trHeight w:val="225"/>
        </w:trPr>
        <w:tc>
          <w:tcPr>
            <w:tcW w:w="9240" w:type="dxa"/>
            <w:vAlign w:val="bottom"/>
          </w:tcPr>
          <w:p>
            <w:pPr>
              <w:ind w:left="420"/>
              <w:spacing w:after="0"/>
              <w:rPr>
                <w:sz w:val="20"/>
                <w:szCs w:val="20"/>
                <w:color w:val="auto"/>
              </w:rPr>
            </w:pPr>
            <w:r>
              <w:rPr>
                <w:rFonts w:ascii="Arial" w:cs="Arial" w:eastAsia="Arial" w:hAnsi="Arial"/>
                <w:sz w:val="18"/>
                <w:szCs w:val="18"/>
                <w:color w:val="auto"/>
              </w:rPr>
              <w:t>Report of Independent Registered Public Accounting Firm</w:t>
            </w:r>
          </w:p>
        </w:tc>
        <w:tc>
          <w:tcPr>
            <w:tcW w:w="1420" w:type="dxa"/>
            <w:vAlign w:val="bottom"/>
          </w:tcPr>
          <w:p>
            <w:pPr>
              <w:jc w:val="center"/>
              <w:ind w:left="912"/>
              <w:spacing w:after="0"/>
              <w:rPr>
                <w:sz w:val="20"/>
                <w:szCs w:val="20"/>
                <w:color w:val="auto"/>
              </w:rPr>
            </w:pPr>
            <w:r>
              <w:rPr>
                <w:rFonts w:ascii="Arial" w:cs="Arial" w:eastAsia="Arial" w:hAnsi="Arial"/>
                <w:sz w:val="18"/>
                <w:szCs w:val="18"/>
                <w:color w:val="auto"/>
                <w:w w:val="96"/>
              </w:rPr>
              <w:t>F-2</w:t>
            </w:r>
          </w:p>
        </w:tc>
      </w:tr>
      <w:tr>
        <w:trPr>
          <w:trHeight w:val="225"/>
        </w:trPr>
        <w:tc>
          <w:tcPr>
            <w:tcW w:w="9240" w:type="dxa"/>
            <w:vAlign w:val="bottom"/>
          </w:tcPr>
          <w:p>
            <w:pPr>
              <w:ind w:left="420"/>
              <w:spacing w:after="0"/>
              <w:rPr>
                <w:sz w:val="20"/>
                <w:szCs w:val="20"/>
                <w:color w:val="auto"/>
              </w:rPr>
            </w:pPr>
            <w:r>
              <w:rPr>
                <w:rFonts w:ascii="Arial" w:cs="Arial" w:eastAsia="Arial" w:hAnsi="Arial"/>
                <w:sz w:val="18"/>
                <w:szCs w:val="18"/>
                <w:color w:val="auto"/>
              </w:rPr>
              <w:t>Consolidated Balance Sheets as of December 31, 2022 and 2021</w:t>
            </w:r>
          </w:p>
        </w:tc>
        <w:tc>
          <w:tcPr>
            <w:tcW w:w="1420" w:type="dxa"/>
            <w:vAlign w:val="bottom"/>
          </w:tcPr>
          <w:p>
            <w:pPr>
              <w:jc w:val="center"/>
              <w:ind w:left="912"/>
              <w:spacing w:after="0"/>
              <w:rPr>
                <w:sz w:val="20"/>
                <w:szCs w:val="20"/>
                <w:color w:val="auto"/>
              </w:rPr>
            </w:pPr>
            <w:r>
              <w:rPr>
                <w:rFonts w:ascii="Arial" w:cs="Arial" w:eastAsia="Arial" w:hAnsi="Arial"/>
                <w:sz w:val="18"/>
                <w:szCs w:val="18"/>
                <w:color w:val="auto"/>
                <w:w w:val="96"/>
              </w:rPr>
              <w:t>F-3</w:t>
            </w:r>
          </w:p>
        </w:tc>
      </w:tr>
      <w:tr>
        <w:trPr>
          <w:trHeight w:val="225"/>
        </w:trPr>
        <w:tc>
          <w:tcPr>
            <w:tcW w:w="9240" w:type="dxa"/>
            <w:vAlign w:val="bottom"/>
          </w:tcPr>
          <w:p>
            <w:pPr>
              <w:ind w:left="420"/>
              <w:spacing w:after="0"/>
              <w:rPr>
                <w:sz w:val="20"/>
                <w:szCs w:val="20"/>
                <w:color w:val="auto"/>
              </w:rPr>
            </w:pPr>
            <w:r>
              <w:rPr>
                <w:rFonts w:ascii="Arial" w:cs="Arial" w:eastAsia="Arial" w:hAnsi="Arial"/>
                <w:sz w:val="18"/>
                <w:szCs w:val="18"/>
                <w:color w:val="auto"/>
              </w:rPr>
              <w:t>Consolidated Statements of Operations for the years ended December 31, 2022 and 2021</w:t>
            </w:r>
          </w:p>
        </w:tc>
        <w:tc>
          <w:tcPr>
            <w:tcW w:w="1420" w:type="dxa"/>
            <w:vAlign w:val="bottom"/>
          </w:tcPr>
          <w:p>
            <w:pPr>
              <w:jc w:val="center"/>
              <w:ind w:left="912"/>
              <w:spacing w:after="0"/>
              <w:rPr>
                <w:sz w:val="20"/>
                <w:szCs w:val="20"/>
                <w:color w:val="auto"/>
              </w:rPr>
            </w:pPr>
            <w:r>
              <w:rPr>
                <w:rFonts w:ascii="Arial" w:cs="Arial" w:eastAsia="Arial" w:hAnsi="Arial"/>
                <w:sz w:val="18"/>
                <w:szCs w:val="18"/>
                <w:color w:val="auto"/>
                <w:w w:val="96"/>
              </w:rPr>
              <w:t>F-4</w:t>
            </w:r>
          </w:p>
        </w:tc>
      </w:tr>
      <w:tr>
        <w:trPr>
          <w:trHeight w:val="225"/>
        </w:trPr>
        <w:tc>
          <w:tcPr>
            <w:tcW w:w="9240" w:type="dxa"/>
            <w:vAlign w:val="bottom"/>
          </w:tcPr>
          <w:p>
            <w:pPr>
              <w:ind w:left="420"/>
              <w:spacing w:after="0"/>
              <w:rPr>
                <w:sz w:val="20"/>
                <w:szCs w:val="20"/>
                <w:color w:val="auto"/>
              </w:rPr>
            </w:pPr>
            <w:r>
              <w:rPr>
                <w:rFonts w:ascii="Arial" w:cs="Arial" w:eastAsia="Arial" w:hAnsi="Arial"/>
                <w:sz w:val="18"/>
                <w:szCs w:val="18"/>
                <w:color w:val="auto"/>
              </w:rPr>
              <w:t>Consolidated Statements of Shareholders’ Equity for the years ended December 31, 2022 and 2021</w:t>
            </w:r>
          </w:p>
        </w:tc>
        <w:tc>
          <w:tcPr>
            <w:tcW w:w="1420" w:type="dxa"/>
            <w:vAlign w:val="bottom"/>
          </w:tcPr>
          <w:p>
            <w:pPr>
              <w:jc w:val="center"/>
              <w:ind w:left="912"/>
              <w:spacing w:after="0"/>
              <w:rPr>
                <w:sz w:val="20"/>
                <w:szCs w:val="20"/>
                <w:color w:val="auto"/>
              </w:rPr>
            </w:pPr>
            <w:r>
              <w:rPr>
                <w:rFonts w:ascii="Arial" w:cs="Arial" w:eastAsia="Arial" w:hAnsi="Arial"/>
                <w:sz w:val="18"/>
                <w:szCs w:val="18"/>
                <w:color w:val="auto"/>
                <w:w w:val="96"/>
              </w:rPr>
              <w:t>F-5</w:t>
            </w:r>
          </w:p>
        </w:tc>
      </w:tr>
      <w:tr>
        <w:trPr>
          <w:trHeight w:val="225"/>
        </w:trPr>
        <w:tc>
          <w:tcPr>
            <w:tcW w:w="9240" w:type="dxa"/>
            <w:vAlign w:val="bottom"/>
          </w:tcPr>
          <w:p>
            <w:pPr>
              <w:ind w:left="420"/>
              <w:spacing w:after="0"/>
              <w:rPr>
                <w:sz w:val="20"/>
                <w:szCs w:val="20"/>
                <w:color w:val="auto"/>
              </w:rPr>
            </w:pPr>
            <w:r>
              <w:rPr>
                <w:rFonts w:ascii="Arial" w:cs="Arial" w:eastAsia="Arial" w:hAnsi="Arial"/>
                <w:sz w:val="18"/>
                <w:szCs w:val="18"/>
                <w:color w:val="auto"/>
              </w:rPr>
              <w:t>Consolidated Statements of Cash Flows for the years ended December 31, 2022 and 2021</w:t>
            </w:r>
          </w:p>
        </w:tc>
        <w:tc>
          <w:tcPr>
            <w:tcW w:w="1420" w:type="dxa"/>
            <w:vAlign w:val="bottom"/>
          </w:tcPr>
          <w:p>
            <w:pPr>
              <w:jc w:val="center"/>
              <w:ind w:left="912"/>
              <w:spacing w:after="0"/>
              <w:rPr>
                <w:sz w:val="20"/>
                <w:szCs w:val="20"/>
                <w:color w:val="auto"/>
              </w:rPr>
            </w:pPr>
            <w:r>
              <w:rPr>
                <w:rFonts w:ascii="Arial" w:cs="Arial" w:eastAsia="Arial" w:hAnsi="Arial"/>
                <w:sz w:val="18"/>
                <w:szCs w:val="18"/>
                <w:color w:val="auto"/>
                <w:w w:val="96"/>
              </w:rPr>
              <w:t>F-6</w:t>
            </w:r>
          </w:p>
        </w:tc>
      </w:tr>
      <w:tr>
        <w:trPr>
          <w:trHeight w:val="225"/>
        </w:trPr>
        <w:tc>
          <w:tcPr>
            <w:tcW w:w="9240" w:type="dxa"/>
            <w:vAlign w:val="bottom"/>
          </w:tcPr>
          <w:p>
            <w:pPr>
              <w:ind w:left="420"/>
              <w:spacing w:after="0"/>
              <w:rPr>
                <w:sz w:val="20"/>
                <w:szCs w:val="20"/>
                <w:color w:val="auto"/>
              </w:rPr>
            </w:pPr>
            <w:r>
              <w:rPr>
                <w:rFonts w:ascii="Arial" w:cs="Arial" w:eastAsia="Arial" w:hAnsi="Arial"/>
                <w:sz w:val="18"/>
                <w:szCs w:val="18"/>
                <w:color w:val="auto"/>
              </w:rPr>
              <w:t>Notes to Consolidated Financial Statements</w:t>
            </w:r>
          </w:p>
        </w:tc>
        <w:tc>
          <w:tcPr>
            <w:tcW w:w="1420" w:type="dxa"/>
            <w:vAlign w:val="bottom"/>
          </w:tcPr>
          <w:p>
            <w:pPr>
              <w:jc w:val="center"/>
              <w:ind w:left="912"/>
              <w:spacing w:after="0"/>
              <w:rPr>
                <w:sz w:val="20"/>
                <w:szCs w:val="20"/>
                <w:color w:val="auto"/>
              </w:rPr>
            </w:pPr>
            <w:r>
              <w:rPr>
                <w:rFonts w:ascii="Arial" w:cs="Arial" w:eastAsia="Arial" w:hAnsi="Arial"/>
                <w:sz w:val="18"/>
                <w:szCs w:val="18"/>
                <w:color w:val="auto"/>
                <w:w w:val="96"/>
              </w:rPr>
              <w:t>F-7</w:t>
            </w:r>
          </w:p>
        </w:tc>
      </w:tr>
    </w:tbl>
    <w:p>
      <w:pPr>
        <w:spacing w:after="0" w:line="199"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Consolidated Financial Statement Schedules</w:t>
      </w:r>
    </w:p>
    <w:p>
      <w:pPr>
        <w:spacing w:after="0" w:line="111" w:lineRule="exact"/>
        <w:rPr>
          <w:sz w:val="20"/>
          <w:szCs w:val="20"/>
          <w:color w:val="auto"/>
        </w:rPr>
      </w:pPr>
    </w:p>
    <w:p>
      <w:pPr>
        <w:ind w:left="320"/>
        <w:spacing w:after="0" w:line="251" w:lineRule="auto"/>
        <w:rPr>
          <w:sz w:val="20"/>
          <w:szCs w:val="20"/>
          <w:color w:val="auto"/>
        </w:rPr>
      </w:pPr>
      <w:r>
        <w:rPr>
          <w:rFonts w:ascii="Arial" w:cs="Arial" w:eastAsia="Arial" w:hAnsi="Arial"/>
          <w:sz w:val="18"/>
          <w:szCs w:val="18"/>
          <w:color w:val="auto"/>
        </w:rPr>
        <w:t>All schedules have been omitted because they are not applicable, not required or the information is included elsewhere in the Consolidated Financial Statements or Notes thereto.</w:t>
      </w:r>
    </w:p>
    <w:p>
      <w:pPr>
        <w:spacing w:after="0" w:line="97"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exhibits listed in the following Exhibit Index are filed or furnished with or incorporated by reference in this Annual Report.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60" w:type="dxa"/>
            <w:vAlign w:val="bottom"/>
            <w:gridSpan w:val="37"/>
          </w:tcPr>
          <w:p>
            <w:pPr>
              <w:ind w:left="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80" w:type="dxa"/>
            <w:vAlign w:val="bottom"/>
            <w:gridSpan w:val="34"/>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80" w:type="dxa"/>
            <w:vAlign w:val="bottom"/>
            <w:gridSpan w:val="3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40" w:type="dxa"/>
            <w:vAlign w:val="bottom"/>
            <w:tcBorders>
              <w:top w:val="single" w:sz="8" w:color="auto"/>
            </w:tcBorders>
          </w:tcPr>
          <w:p>
            <w:pPr>
              <w:ind w:left="20"/>
              <w:spacing w:after="0" w:line="179"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00" w:type="dxa"/>
            <w:vAlign w:val="bottom"/>
            <w:tcBorders>
              <w:top w:val="single" w:sz="8" w:color="auto"/>
            </w:tcBorders>
            <w:gridSpan w:val="42"/>
          </w:tcPr>
          <w:p>
            <w:pPr>
              <w:spacing w:after="0" w:line="179" w:lineRule="exact"/>
              <w:rPr>
                <w:rFonts w:ascii="Arial" w:cs="Arial" w:eastAsia="Arial" w:hAnsi="Arial"/>
                <w:sz w:val="18"/>
                <w:szCs w:val="18"/>
                <w:color w:val="0000FF"/>
              </w:rPr>
            </w:pPr>
            <w:hyperlink r:id="rId96">
              <w:r>
                <w:rPr>
                  <w:rFonts w:ascii="Arial" w:cs="Arial" w:eastAsia="Arial" w:hAnsi="Arial"/>
                  <w:sz w:val="18"/>
                  <w:szCs w:val="18"/>
                  <w:color w:val="0000FF"/>
                </w:rPr>
                <w:t>Agreement and Plan of Merger, dated as of March 19, 2021, among Greenidge Generation Holdings Inc., Support.com, Inc.</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31"/>
          </w:tcPr>
          <w:p>
            <w:pPr>
              <w:spacing w:after="0" w:line="152" w:lineRule="exact"/>
              <w:rPr>
                <w:rFonts w:ascii="Arial" w:cs="Arial" w:eastAsia="Arial" w:hAnsi="Arial"/>
                <w:sz w:val="17"/>
                <w:szCs w:val="17"/>
                <w:color w:val="0000FF"/>
              </w:rPr>
            </w:pPr>
            <w:hyperlink r:id="rId96">
              <w:r>
                <w:rPr>
                  <w:rFonts w:ascii="Arial" w:cs="Arial" w:eastAsia="Arial" w:hAnsi="Arial"/>
                  <w:sz w:val="17"/>
                  <w:szCs w:val="17"/>
                  <w:color w:val="0000FF"/>
                </w:rPr>
                <w:t>and GGH Merger Sub, Inc. (incorporated by reference to Annex A to the proxy statement/prospectus forming part of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24"/>
          </w:tcPr>
          <w:p>
            <w:pPr>
              <w:spacing w:after="0" w:line="165" w:lineRule="exact"/>
              <w:rPr>
                <w:rFonts w:ascii="Arial" w:cs="Arial" w:eastAsia="Arial" w:hAnsi="Arial"/>
                <w:sz w:val="18"/>
                <w:szCs w:val="18"/>
                <w:color w:val="0000FF"/>
              </w:rPr>
            </w:pPr>
            <w:hyperlink r:id="rId96">
              <w:r>
                <w:rPr>
                  <w:rFonts w:ascii="Arial" w:cs="Arial" w:eastAsia="Arial" w:hAnsi="Arial"/>
                  <w:sz w:val="18"/>
                  <w:szCs w:val="18"/>
                  <w:color w:val="0000FF"/>
                </w:rPr>
                <w:t>Registration Statement on Form S-4 filed on May 4, 2021)</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ind w:left="20"/>
              <w:spacing w:after="0" w:line="205"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42"/>
          </w:tcPr>
          <w:p>
            <w:pPr>
              <w:spacing w:after="0" w:line="205" w:lineRule="exact"/>
              <w:rPr>
                <w:rFonts w:ascii="Arial" w:cs="Arial" w:eastAsia="Arial" w:hAnsi="Arial"/>
                <w:sz w:val="18"/>
                <w:szCs w:val="18"/>
                <w:color w:val="0000FF"/>
              </w:rPr>
            </w:pPr>
            <w:hyperlink r:id="rId97">
              <w:r>
                <w:rPr>
                  <w:rFonts w:ascii="Arial" w:cs="Arial" w:eastAsia="Arial" w:hAnsi="Arial"/>
                  <w:sz w:val="18"/>
                  <w:szCs w:val="18"/>
                  <w:color w:val="0000FF"/>
                </w:rPr>
                <w:t>Second Amended and Restated Certificate of Incorporation of the Company (incorporated by reference to Exhibit 3.1 to the</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r:id="rId97">
              <w:r>
                <w:rPr>
                  <w:rFonts w:ascii="Arial" w:cs="Arial" w:eastAsia="Arial" w:hAnsi="Arial"/>
                  <w:sz w:val="17"/>
                  <w:szCs w:val="17"/>
                  <w:color w:val="0000FF"/>
                </w:rPr>
                <w:t>Company’s Registration Statement on Form S-8 filed on October 31, 2022)</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rPr>
            </w:pPr>
            <w:hyperlink r:id="rId98">
              <w:r>
                <w:rPr>
                  <w:rFonts w:ascii="Arial" w:cs="Arial" w:eastAsia="Arial" w:hAnsi="Arial"/>
                  <w:sz w:val="18"/>
                  <w:szCs w:val="18"/>
                  <w:color w:val="0000FF"/>
                </w:rPr>
                <w:t>Amended and Restated Bylaws of Greenidge Generation Holdings Inc. (incorporated by reference to Exhibit 3.2 to the</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98">
              <w:r>
                <w:rPr>
                  <w:rFonts w:ascii="Arial" w:cs="Arial" w:eastAsia="Arial" w:hAnsi="Arial"/>
                  <w:sz w:val="17"/>
                  <w:szCs w:val="17"/>
                  <w:color w:val="0000FF"/>
                </w:rPr>
                <w:t>Registration Statement on Form S-4 filed on July 16,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rPr>
            </w:pPr>
            <w:hyperlink r:id="rId99">
              <w:r>
                <w:rPr>
                  <w:rFonts w:ascii="Arial" w:cs="Arial" w:eastAsia="Arial" w:hAnsi="Arial"/>
                  <w:sz w:val="18"/>
                  <w:szCs w:val="18"/>
                  <w:color w:val="0000FF"/>
                </w:rPr>
                <w:t>Indenture dated as of October 13, 2021 between Greenidge Generation Holdings Inc. and Wilmington Savings Fund Society,</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5"/>
          </w:tcPr>
          <w:p>
            <w:pPr>
              <w:spacing w:after="0" w:line="152" w:lineRule="exact"/>
              <w:rPr>
                <w:rFonts w:ascii="Arial" w:cs="Arial" w:eastAsia="Arial" w:hAnsi="Arial"/>
                <w:sz w:val="17"/>
                <w:szCs w:val="17"/>
                <w:color w:val="0000FF"/>
              </w:rPr>
            </w:pPr>
            <w:hyperlink r:id="rId99">
              <w:r>
                <w:rPr>
                  <w:rFonts w:ascii="Arial" w:cs="Arial" w:eastAsia="Arial" w:hAnsi="Arial"/>
                  <w:sz w:val="17"/>
                  <w:szCs w:val="17"/>
                  <w:color w:val="0000FF"/>
                </w:rPr>
                <w:t>FSB, as trustee (incorporated by reference to Exhibit 4.1 to the Company’s Current Report on Form 8-K filed on October 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2021)</w:t>
              </w:r>
            </w:hyperlink>
          </w:p>
        </w:tc>
        <w:tc>
          <w:tcPr>
            <w:tcW w:w="4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140" w:type="dxa"/>
            <w:vAlign w:val="bottom"/>
          </w:tcPr>
          <w:p>
            <w:pPr>
              <w:ind w:left="20"/>
              <w:spacing w:after="0" w:line="205"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42"/>
          </w:tcPr>
          <w:p>
            <w:pPr>
              <w:spacing w:after="0" w:line="205" w:lineRule="exact"/>
              <w:rPr>
                <w:rFonts w:ascii="Arial" w:cs="Arial" w:eastAsia="Arial" w:hAnsi="Arial"/>
                <w:sz w:val="18"/>
                <w:szCs w:val="18"/>
                <w:color w:val="0000FF"/>
              </w:rPr>
            </w:pPr>
            <w:hyperlink r:id="rId100">
              <w:r>
                <w:rPr>
                  <w:rFonts w:ascii="Arial" w:cs="Arial" w:eastAsia="Arial" w:hAnsi="Arial"/>
                  <w:sz w:val="18"/>
                  <w:szCs w:val="18"/>
                  <w:color w:val="0000FF"/>
                </w:rPr>
                <w:t>First Supplemental Indenture dated as of October 13, 2021 between Greenidge Generation Holdings Inc. and Wilmington</w:t>
              </w:r>
            </w:hyperlink>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26"/>
          </w:tcPr>
          <w:p>
            <w:pPr>
              <w:spacing w:after="0" w:line="153" w:lineRule="exact"/>
              <w:rPr>
                <w:rFonts w:ascii="Arial" w:cs="Arial" w:eastAsia="Arial" w:hAnsi="Arial"/>
                <w:sz w:val="17"/>
                <w:szCs w:val="17"/>
                <w:color w:val="0000FF"/>
              </w:rPr>
            </w:pPr>
            <w:hyperlink r:id="rId100">
              <w:r>
                <w:rPr>
                  <w:rFonts w:ascii="Arial" w:cs="Arial" w:eastAsia="Arial" w:hAnsi="Arial"/>
                  <w:sz w:val="17"/>
                  <w:szCs w:val="17"/>
                  <w:color w:val="0000FF"/>
                </w:rPr>
                <w:t>Savings Fund Society, FSB, as trustee (incorporated by reference to Exhibit 4.2 to the Company’s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13"/>
          </w:tcPr>
          <w:p>
            <w:pPr>
              <w:ind w:left="20"/>
              <w:spacing w:after="0" w:line="153" w:lineRule="exact"/>
              <w:rPr>
                <w:rFonts w:ascii="Arial" w:cs="Arial" w:eastAsia="Arial" w:hAnsi="Arial"/>
                <w:sz w:val="17"/>
                <w:szCs w:val="17"/>
                <w:color w:val="0000FF"/>
              </w:rPr>
            </w:pPr>
            <w:hyperlink r:id="rId100">
              <w:r>
                <w:rPr>
                  <w:rFonts w:ascii="Arial" w:cs="Arial" w:eastAsia="Arial" w:hAnsi="Arial"/>
                  <w:sz w:val="17"/>
                  <w:szCs w:val="17"/>
                  <w:color w:val="0000FF"/>
                </w:rPr>
                <w:t>8-K</w:t>
              </w:r>
            </w:hyperlink>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39"/>
          </w:tcPr>
          <w:p>
            <w:pPr>
              <w:spacing w:after="0" w:line="165" w:lineRule="exact"/>
              <w:rPr>
                <w:rFonts w:ascii="Arial" w:cs="Arial" w:eastAsia="Arial" w:hAnsi="Arial"/>
                <w:sz w:val="18"/>
                <w:szCs w:val="18"/>
                <w:color w:val="0000FF"/>
              </w:rPr>
            </w:pPr>
            <w:hyperlink r:id="rId100">
              <w:r>
                <w:rPr>
                  <w:rFonts w:ascii="Arial" w:cs="Arial" w:eastAsia="Arial" w:hAnsi="Arial"/>
                  <w:sz w:val="18"/>
                  <w:szCs w:val="18"/>
                  <w:color w:val="0000FF"/>
                </w:rPr>
                <w:t>filed on October 13, 2021)</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ind w:left="20"/>
              <w:spacing w:after="0" w:line="205" w:lineRule="exact"/>
              <w:rPr>
                <w:sz w:val="20"/>
                <w:szCs w:val="20"/>
                <w:color w:val="auto"/>
              </w:rPr>
            </w:pPr>
            <w:r>
              <w:rPr>
                <w:rFonts w:ascii="Arial" w:cs="Arial" w:eastAsia="Arial" w:hAnsi="Arial"/>
                <w:sz w:val="18"/>
                <w:szCs w:val="18"/>
                <w:color w:val="auto"/>
              </w:rPr>
              <w:t>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40" w:type="dxa"/>
            <w:vAlign w:val="bottom"/>
            <w:tcBorders>
              <w:bottom w:val="single" w:sz="8" w:color="0000FF"/>
            </w:tcBorders>
            <w:gridSpan w:val="14"/>
          </w:tcPr>
          <w:p>
            <w:pPr>
              <w:spacing w:after="0" w:line="205" w:lineRule="exact"/>
              <w:rPr>
                <w:rFonts w:ascii="Arial" w:cs="Arial" w:eastAsia="Arial" w:hAnsi="Arial"/>
                <w:sz w:val="18"/>
                <w:szCs w:val="18"/>
                <w:color w:val="0000FF"/>
                <w:w w:val="97"/>
              </w:rPr>
            </w:pPr>
            <w:hyperlink r:id="rId100">
              <w:r>
                <w:rPr>
                  <w:rFonts w:ascii="Arial" w:cs="Arial" w:eastAsia="Arial" w:hAnsi="Arial"/>
                  <w:sz w:val="18"/>
                  <w:szCs w:val="18"/>
                  <w:color w:val="0000FF"/>
                  <w:w w:val="97"/>
                </w:rPr>
                <w:t>Form of 8.50% Senior Note due 2026 (included as Exhibit A to Exhibit 4.2 above)</w:t>
              </w:r>
            </w:hyperlink>
          </w:p>
        </w:tc>
        <w:tc>
          <w:tcPr>
            <w:tcW w:w="36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ind w:left="20"/>
              <w:spacing w:after="0" w:line="205" w:lineRule="exact"/>
              <w:rPr>
                <w:sz w:val="20"/>
                <w:szCs w:val="20"/>
                <w:color w:val="auto"/>
              </w:rPr>
            </w:pPr>
            <w:r>
              <w:rPr>
                <w:rFonts w:ascii="Arial" w:cs="Arial" w:eastAsia="Arial" w:hAnsi="Arial"/>
                <w:sz w:val="18"/>
                <w:szCs w:val="18"/>
                <w:color w:val="auto"/>
              </w:rPr>
              <w:t>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42"/>
          </w:tcPr>
          <w:p>
            <w:pPr>
              <w:spacing w:after="0" w:line="205" w:lineRule="exact"/>
              <w:rPr>
                <w:rFonts w:ascii="Arial" w:cs="Arial" w:eastAsia="Arial" w:hAnsi="Arial"/>
                <w:sz w:val="18"/>
                <w:szCs w:val="18"/>
                <w:color w:val="0000FF"/>
              </w:rPr>
            </w:pPr>
            <w:hyperlink r:id="rId101">
              <w:r>
                <w:rPr>
                  <w:rFonts w:ascii="Arial" w:cs="Arial" w:eastAsia="Arial" w:hAnsi="Arial"/>
                  <w:sz w:val="18"/>
                  <w:szCs w:val="18"/>
                  <w:color w:val="0000FF"/>
                </w:rPr>
                <w:t>Stock Purchase Warrant, dated September 14, 2021 (incorporated by reference to Exhibit 4.4 to the Company’s Quarterly</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rPr>
            </w:pPr>
            <w:hyperlink r:id="rId101">
              <w:r>
                <w:rPr>
                  <w:rFonts w:ascii="Arial" w:cs="Arial" w:eastAsia="Arial" w:hAnsi="Arial"/>
                  <w:sz w:val="17"/>
                  <w:szCs w:val="17"/>
                  <w:color w:val="0000FF"/>
                </w:rPr>
                <w:t>Report on Form 10-Q filed on November 15, 2021)</w:t>
              </w:r>
            </w:hyperlink>
          </w:p>
        </w:tc>
        <w:tc>
          <w:tcPr>
            <w:tcW w:w="55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40" w:type="dxa"/>
            <w:vAlign w:val="bottom"/>
          </w:tcPr>
          <w:p>
            <w:pPr>
              <w:ind w:lef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Registration Rights Agreement, dated January 29, 2021 (incorporated by reference to Exhibit 4.1 to the Registration</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rPr>
            </w:pPr>
            <w:hyperlink r:id="rId102">
              <w:r>
                <w:rPr>
                  <w:rFonts w:ascii="Arial" w:cs="Arial" w:eastAsia="Arial" w:hAnsi="Arial"/>
                  <w:sz w:val="17"/>
                  <w:szCs w:val="17"/>
                  <w:color w:val="0000FF"/>
                </w:rPr>
                <w:t>Statement on Form S-4 filed on May 4, 2021)</w:t>
              </w:r>
            </w:hyperlink>
          </w:p>
        </w:tc>
        <w:tc>
          <w:tcPr>
            <w:tcW w:w="616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4.5A</w:t>
            </w: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Form of Right of First Refusal and Co-Sale Agreement, dated January 29, 2021 (incorporated by reference to Exhibit 4.2 to the</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40"/>
          </w:tcPr>
          <w:p>
            <w:pPr>
              <w:spacing w:after="0" w:line="152" w:lineRule="exact"/>
              <w:rPr>
                <w:rFonts w:ascii="Arial" w:cs="Arial" w:eastAsia="Arial" w:hAnsi="Arial"/>
                <w:sz w:val="17"/>
                <w:szCs w:val="17"/>
                <w:color w:val="0000FF"/>
              </w:rPr>
            </w:pPr>
            <w:hyperlink r:id="rId103">
              <w:r>
                <w:rPr>
                  <w:rFonts w:ascii="Arial" w:cs="Arial" w:eastAsia="Arial" w:hAnsi="Arial"/>
                  <w:sz w:val="17"/>
                  <w:szCs w:val="17"/>
                  <w:color w:val="0000FF"/>
                </w:rPr>
                <w:t>Registration Statement on Form S-4 filed on May 4, 2021)</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4.5B</w:t>
            </w: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rPr>
            </w:pPr>
            <w:hyperlink r:id="rId104">
              <w:r>
                <w:rPr>
                  <w:rFonts w:ascii="Arial" w:cs="Arial" w:eastAsia="Arial" w:hAnsi="Arial"/>
                  <w:sz w:val="18"/>
                  <w:szCs w:val="18"/>
                  <w:color w:val="0000FF"/>
                </w:rPr>
                <w:t>Form of Registration Compliance Agreement dated September 1, 2021 (incorporated by reference to Exhibit 4.4 to the</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04">
              <w:r>
                <w:rPr>
                  <w:rFonts w:ascii="Arial" w:cs="Arial" w:eastAsia="Arial" w:hAnsi="Arial"/>
                  <w:sz w:val="17"/>
                  <w:szCs w:val="17"/>
                  <w:color w:val="0000FF"/>
                </w:rPr>
                <w:t>Company’s Registration Statement on Form S-1 filed on September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4.5C</w:t>
            </w: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rPr>
            </w:pPr>
            <w:hyperlink r:id="rId105">
              <w:r>
                <w:rPr>
                  <w:rFonts w:ascii="Arial" w:cs="Arial" w:eastAsia="Arial" w:hAnsi="Arial"/>
                  <w:sz w:val="18"/>
                  <w:szCs w:val="18"/>
                  <w:color w:val="0000FF"/>
                </w:rPr>
                <w:t>Investor Agreement by and between 210 Capital, LLC and Greenidge Generation Holdings Inc. filed on September 9,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bottom w:val="single" w:sz="8" w:color="0000FF"/>
            </w:tcBorders>
            <w:gridSpan w:val="38"/>
          </w:tcPr>
          <w:p>
            <w:pPr>
              <w:spacing w:after="0" w:line="152" w:lineRule="exact"/>
              <w:rPr>
                <w:rFonts w:ascii="Arial" w:cs="Arial" w:eastAsia="Arial" w:hAnsi="Arial"/>
                <w:sz w:val="17"/>
                <w:szCs w:val="17"/>
                <w:color w:val="0000FF"/>
              </w:rPr>
            </w:pPr>
            <w:hyperlink r:id="rId105">
              <w:r>
                <w:rPr>
                  <w:rFonts w:ascii="Arial" w:cs="Arial" w:eastAsia="Arial" w:hAnsi="Arial"/>
                  <w:sz w:val="17"/>
                  <w:szCs w:val="17"/>
                  <w:color w:val="0000FF"/>
                </w:rPr>
                <w:t>(incorporated by reference to Exhibit 4.5 to the Company’s Registration Statement on Form S-1 filed on September 14, 2021)</w:t>
              </w:r>
            </w:hyperlink>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40" w:type="dxa"/>
            <w:vAlign w:val="bottom"/>
          </w:tcPr>
          <w:p>
            <w:pPr>
              <w:ind w:lef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42"/>
          </w:tcPr>
          <w:p>
            <w:pPr>
              <w:spacing w:after="0"/>
              <w:rPr>
                <w:rFonts w:ascii="Arial" w:cs="Arial" w:eastAsia="Arial" w:hAnsi="Arial"/>
                <w:sz w:val="18"/>
                <w:szCs w:val="18"/>
                <w:color w:val="0000FF"/>
              </w:rPr>
            </w:pPr>
            <w:hyperlink r:id="rId106">
              <w:r>
                <w:rPr>
                  <w:rFonts w:ascii="Arial" w:cs="Arial" w:eastAsia="Arial" w:hAnsi="Arial"/>
                  <w:sz w:val="18"/>
                  <w:szCs w:val="18"/>
                  <w:color w:val="0000FF"/>
                </w:rPr>
                <w:t>Description of Registrant’s Securities Investor Agreement by and between 210 Capital, LLC and Greenidge Generation</w:t>
              </w:r>
            </w:hyperlink>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2"/>
          </w:tcPr>
          <w:p>
            <w:pPr>
              <w:spacing w:after="0" w:line="153" w:lineRule="exact"/>
              <w:rPr>
                <w:rFonts w:ascii="Arial" w:cs="Arial" w:eastAsia="Arial" w:hAnsi="Arial"/>
                <w:sz w:val="17"/>
                <w:szCs w:val="17"/>
                <w:color w:val="0000FF"/>
              </w:rPr>
            </w:pPr>
            <w:hyperlink r:id="rId106">
              <w:r>
                <w:rPr>
                  <w:rFonts w:ascii="Arial" w:cs="Arial" w:eastAsia="Arial" w:hAnsi="Arial"/>
                  <w:sz w:val="17"/>
                  <w:szCs w:val="17"/>
                  <w:color w:val="0000FF"/>
                </w:rPr>
                <w:t>Holdings Inc. filed on September 9, 2021 (incorporated by reference to Exhibit 4.6 to the Company’s Annual Report on</w:t>
              </w:r>
            </w:hyperlink>
          </w:p>
        </w:tc>
        <w:tc>
          <w:tcPr>
            <w:tcW w:w="720" w:type="dxa"/>
            <w:vAlign w:val="bottom"/>
            <w:gridSpan w:val="20"/>
          </w:tcPr>
          <w:p>
            <w:pPr>
              <w:spacing w:after="0" w:line="153" w:lineRule="exact"/>
              <w:rPr>
                <w:rFonts w:ascii="Arial" w:cs="Arial" w:eastAsia="Arial" w:hAnsi="Arial"/>
                <w:sz w:val="17"/>
                <w:szCs w:val="17"/>
                <w:color w:val="0000FF"/>
              </w:rPr>
            </w:pPr>
            <w:hyperlink r:id="rId106">
              <w:r>
                <w:rPr>
                  <w:rFonts w:ascii="Arial" w:cs="Arial" w:eastAsia="Arial" w:hAnsi="Arial"/>
                  <w:sz w:val="17"/>
                  <w:szCs w:val="17"/>
                  <w:color w:val="0000FF"/>
                </w:rPr>
                <w:t>Form</w:t>
              </w:r>
            </w:hyperlink>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4"/>
          </w:tcPr>
          <w:p>
            <w:pPr>
              <w:spacing w:after="0" w:line="165" w:lineRule="exact"/>
              <w:rPr>
                <w:rFonts w:ascii="Arial" w:cs="Arial" w:eastAsia="Arial" w:hAnsi="Arial"/>
                <w:sz w:val="18"/>
                <w:szCs w:val="18"/>
                <w:color w:val="0000FF"/>
                <w:w w:val="97"/>
              </w:rPr>
            </w:pPr>
            <w:hyperlink r:id="rId106">
              <w:r>
                <w:rPr>
                  <w:rFonts w:ascii="Arial" w:cs="Arial" w:eastAsia="Arial" w:hAnsi="Arial"/>
                  <w:sz w:val="18"/>
                  <w:szCs w:val="18"/>
                  <w:color w:val="0000FF"/>
                  <w:w w:val="97"/>
                </w:rPr>
                <w:t>10-K filed on March 31, 2022).</w:t>
              </w:r>
            </w:hyperlink>
          </w:p>
        </w:tc>
        <w:tc>
          <w:tcPr>
            <w:tcW w:w="7300" w:type="dxa"/>
            <w:vAlign w:val="bottom"/>
            <w:tcBorders>
              <w:top w:val="single" w:sz="8" w:color="0000FF"/>
            </w:tcBorders>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40" w:type="dxa"/>
            <w:vAlign w:val="bottom"/>
          </w:tcPr>
          <w:p>
            <w:pPr>
              <w:ind w:left="20"/>
              <w:spacing w:after="0" w:line="205"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42"/>
          </w:tcPr>
          <w:p>
            <w:pPr>
              <w:spacing w:after="0" w:line="205" w:lineRule="exact"/>
              <w:rPr>
                <w:rFonts w:ascii="Arial" w:cs="Arial" w:eastAsia="Arial" w:hAnsi="Arial"/>
                <w:sz w:val="18"/>
                <w:szCs w:val="18"/>
                <w:color w:val="0000FF"/>
              </w:rPr>
            </w:pPr>
            <w:hyperlink r:id="rId107">
              <w:r>
                <w:rPr>
                  <w:rFonts w:ascii="Arial" w:cs="Arial" w:eastAsia="Arial" w:hAnsi="Arial"/>
                  <w:sz w:val="18"/>
                  <w:szCs w:val="18"/>
                  <w:color w:val="0000FF"/>
                </w:rPr>
                <w:t>Purchase and Sale Agreement, dated October 21, 2021, between LSC Communications MCL LLC and 300 Jones Road LLC.</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35"/>
          </w:tcPr>
          <w:p>
            <w:pPr>
              <w:spacing w:after="0" w:line="152" w:lineRule="exact"/>
              <w:rPr>
                <w:rFonts w:ascii="Arial" w:cs="Arial" w:eastAsia="Arial" w:hAnsi="Arial"/>
                <w:sz w:val="17"/>
                <w:szCs w:val="17"/>
                <w:color w:val="0000FF"/>
              </w:rPr>
            </w:pPr>
            <w:hyperlink r:id="rId107">
              <w:r>
                <w:rPr>
                  <w:rFonts w:ascii="Arial" w:cs="Arial" w:eastAsia="Arial" w:hAnsi="Arial"/>
                  <w:sz w:val="17"/>
                  <w:szCs w:val="17"/>
                  <w:color w:val="0000FF"/>
                </w:rPr>
                <w:t>(incorporated by reference to Exhibit 10.8 to the Company’s Registration Statement on Form S-1 filed on December 1, 2021)</w:t>
              </w:r>
            </w:hyperlink>
          </w:p>
        </w:tc>
        <w:tc>
          <w:tcPr>
            <w:tcW w:w="6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rPr>
            </w:pPr>
            <w:hyperlink r:id="rId108">
              <w:r>
                <w:rPr>
                  <w:rFonts w:ascii="Arial" w:cs="Arial" w:eastAsia="Arial" w:hAnsi="Arial"/>
                  <w:sz w:val="18"/>
                  <w:szCs w:val="18"/>
                  <w:color w:val="0000FF"/>
                </w:rPr>
                <w:t>Greenidge Generation Holdings Inc. 2021 Equity Incentive Plan (incorporated by reference to Exhibit 10.1 to the Registration</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6"/>
          </w:tcPr>
          <w:p>
            <w:pPr>
              <w:spacing w:after="0" w:line="152" w:lineRule="exact"/>
              <w:rPr>
                <w:rFonts w:ascii="Arial" w:cs="Arial" w:eastAsia="Arial" w:hAnsi="Arial"/>
                <w:sz w:val="17"/>
                <w:szCs w:val="17"/>
                <w:color w:val="0000FF"/>
              </w:rPr>
            </w:pPr>
            <w:hyperlink r:id="rId108">
              <w:r>
                <w:rPr>
                  <w:rFonts w:ascii="Arial" w:cs="Arial" w:eastAsia="Arial" w:hAnsi="Arial"/>
                  <w:sz w:val="17"/>
                  <w:szCs w:val="17"/>
                  <w:color w:val="0000FF"/>
                </w:rPr>
                <w:t>Statement on Form S-1/A filed on September 14, 2021).</w:t>
              </w:r>
            </w:hyperlink>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w w:val="98"/>
              </w:rPr>
            </w:pPr>
            <w:hyperlink r:id="rId109">
              <w:r>
                <w:rPr>
                  <w:rFonts w:ascii="Arial" w:cs="Arial" w:eastAsia="Arial" w:hAnsi="Arial"/>
                  <w:sz w:val="18"/>
                  <w:szCs w:val="18"/>
                  <w:color w:val="0000FF"/>
                  <w:w w:val="98"/>
                </w:rPr>
                <w:t>Form of Stock Option Agreement for Greenidge Generation Holdings Inc. 2021 Equity Incentive Plan (incorporated by reference</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3"/>
          </w:tcPr>
          <w:p>
            <w:pPr>
              <w:spacing w:after="0" w:line="152" w:lineRule="exact"/>
              <w:rPr>
                <w:rFonts w:ascii="Arial" w:cs="Arial" w:eastAsia="Arial" w:hAnsi="Arial"/>
                <w:sz w:val="17"/>
                <w:szCs w:val="17"/>
                <w:color w:val="0000FF"/>
              </w:rPr>
            </w:pPr>
            <w:hyperlink r:id="rId109">
              <w:r>
                <w:rPr>
                  <w:rFonts w:ascii="Arial" w:cs="Arial" w:eastAsia="Arial" w:hAnsi="Arial"/>
                  <w:sz w:val="17"/>
                  <w:szCs w:val="17"/>
                  <w:color w:val="0000FF"/>
                </w:rPr>
                <w:t>to Exhibit 10.2 to the Registration Statement on Form S-4 filed on May 4, 2021).</w:t>
              </w:r>
            </w:hyperlink>
          </w:p>
        </w:tc>
        <w:tc>
          <w:tcPr>
            <w:tcW w:w="3720" w:type="dxa"/>
            <w:vAlign w:val="bottom"/>
            <w:tcBorders>
              <w:top w:val="single" w:sz="8" w:color="0000FF"/>
            </w:tcBorders>
            <w:gridSpan w:val="2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rPr>
            </w:pPr>
            <w:hyperlink r:id="rId110">
              <w:r>
                <w:rPr>
                  <w:rFonts w:ascii="Arial" w:cs="Arial" w:eastAsia="Arial" w:hAnsi="Arial"/>
                  <w:sz w:val="18"/>
                  <w:szCs w:val="18"/>
                  <w:color w:val="0000FF"/>
                </w:rPr>
                <w:t>Form of Restricted Stock Award Agreement for Greenidge Generation Holdings Inc. 2021 Equity Incentive Plan (incorporated</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37"/>
          </w:tcPr>
          <w:p>
            <w:pPr>
              <w:spacing w:after="0" w:line="152" w:lineRule="exact"/>
              <w:rPr>
                <w:rFonts w:ascii="Arial" w:cs="Arial" w:eastAsia="Arial" w:hAnsi="Arial"/>
                <w:sz w:val="17"/>
                <w:szCs w:val="17"/>
                <w:color w:val="0000FF"/>
              </w:rPr>
            </w:pPr>
            <w:hyperlink r:id="rId110">
              <w:r>
                <w:rPr>
                  <w:rFonts w:ascii="Arial" w:cs="Arial" w:eastAsia="Arial" w:hAnsi="Arial"/>
                  <w:sz w:val="17"/>
                  <w:szCs w:val="17"/>
                  <w:color w:val="0000FF"/>
                </w:rPr>
                <w:t>by reference to Exhibit 10.3 to the Registration Statement on Form S-4 filed on May 4, 2021).</w:t>
              </w:r>
            </w:hyperlink>
          </w:p>
        </w:tc>
        <w:tc>
          <w:tcPr>
            <w:tcW w:w="2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0" w:type="dxa"/>
            <w:vAlign w:val="bottom"/>
            <w:gridSpan w:val="8"/>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rPr>
            </w:pPr>
            <w:hyperlink r:id="rId111">
              <w:r>
                <w:rPr>
                  <w:rFonts w:ascii="Arial" w:cs="Arial" w:eastAsia="Arial" w:hAnsi="Arial"/>
                  <w:sz w:val="18"/>
                  <w:szCs w:val="18"/>
                  <w:color w:val="0000FF"/>
                </w:rPr>
                <w:t>Form of Restricted Stock Unit Award Agreement for the Greenidge Generation Holdings Inc. 2021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0" w:type="dxa"/>
            <w:vAlign w:val="bottom"/>
            <w:gridSpan w:val="8"/>
            <w:shd w:val="clear" w:color="auto" w:fill="0000FF"/>
          </w:tcPr>
          <w:p>
            <w:pPr>
              <w:spacing w:after="0" w:line="20" w:lineRule="exact"/>
              <w:rPr>
                <w:sz w:val="1"/>
                <w:szCs w:val="1"/>
                <w:color w:val="auto"/>
              </w:rPr>
            </w:pPr>
          </w:p>
        </w:tc>
        <w:tc>
          <w:tcPr>
            <w:tcW w:w="3260" w:type="dxa"/>
            <w:vAlign w:val="bottom"/>
            <w:gridSpan w:val="6"/>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bottom w:val="single" w:sz="8" w:color="0000FF"/>
            </w:tcBorders>
            <w:gridSpan w:val="28"/>
          </w:tcPr>
          <w:p>
            <w:pPr>
              <w:spacing w:after="0" w:line="152" w:lineRule="exact"/>
              <w:rPr>
                <w:rFonts w:ascii="Arial" w:cs="Arial" w:eastAsia="Arial" w:hAnsi="Arial"/>
                <w:sz w:val="17"/>
                <w:szCs w:val="17"/>
                <w:color w:val="0000FF"/>
              </w:rPr>
            </w:pPr>
            <w:hyperlink r:id="rId111">
              <w:r>
                <w:rPr>
                  <w:rFonts w:ascii="Arial" w:cs="Arial" w:eastAsia="Arial" w:hAnsi="Arial"/>
                  <w:sz w:val="17"/>
                  <w:szCs w:val="17"/>
                  <w:color w:val="0000FF"/>
                </w:rPr>
                <w:t>(incorporated by reference to Exhibit 10.7 to the Company’s Quarterly Report on Form 10-Q filed on November 15, 2021).</w:t>
              </w:r>
            </w:hyperlink>
          </w:p>
        </w:tc>
        <w:tc>
          <w:tcPr>
            <w:tcW w:w="50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10000" w:type="dxa"/>
            <w:vAlign w:val="bottom"/>
            <w:gridSpan w:val="42"/>
          </w:tcPr>
          <w:p>
            <w:pPr>
              <w:spacing w:after="0"/>
              <w:rPr>
                <w:rFonts w:ascii="Arial" w:cs="Arial" w:eastAsia="Arial" w:hAnsi="Arial"/>
                <w:sz w:val="18"/>
                <w:szCs w:val="18"/>
                <w:color w:val="0000FF"/>
              </w:rPr>
            </w:pPr>
            <w:hyperlink r:id="rId112">
              <w:r>
                <w:rPr>
                  <w:rFonts w:ascii="Arial" w:cs="Arial" w:eastAsia="Arial" w:hAnsi="Arial"/>
                  <w:sz w:val="18"/>
                  <w:szCs w:val="18"/>
                  <w:color w:val="0000FF"/>
                </w:rPr>
                <w:t>Executive Employment Agreement, dated November 12, 2021, between Greenidge Generation Holdings Inc. and Robert</w:t>
              </w:r>
            </w:hyperlink>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5"/>
          </w:tcPr>
          <w:p>
            <w:pPr>
              <w:spacing w:after="0" w:line="153" w:lineRule="exact"/>
              <w:rPr>
                <w:rFonts w:ascii="Arial" w:cs="Arial" w:eastAsia="Arial" w:hAnsi="Arial"/>
                <w:sz w:val="17"/>
                <w:szCs w:val="17"/>
                <w:color w:val="0000FF"/>
              </w:rPr>
            </w:pPr>
            <w:hyperlink r:id="rId112">
              <w:r>
                <w:rPr>
                  <w:rFonts w:ascii="Arial" w:cs="Arial" w:eastAsia="Arial" w:hAnsi="Arial"/>
                  <w:sz w:val="17"/>
                  <w:szCs w:val="17"/>
                  <w:color w:val="0000FF"/>
                </w:rPr>
                <w:t>Loughran (incorporated by reference to Exhibit 10.3 to the Company’s Quarterly Report on Form 10-Q filed on November</w:t>
              </w:r>
            </w:hyperlink>
          </w:p>
        </w:tc>
        <w:tc>
          <w:tcPr>
            <w:tcW w:w="600" w:type="dxa"/>
            <w:vAlign w:val="bottom"/>
            <w:gridSpan w:val="17"/>
          </w:tcPr>
          <w:p>
            <w:pPr>
              <w:jc w:val="right"/>
              <w:ind w:right="260"/>
              <w:spacing w:after="0" w:line="153" w:lineRule="exact"/>
              <w:rPr>
                <w:rFonts w:ascii="Arial" w:cs="Arial" w:eastAsia="Arial" w:hAnsi="Arial"/>
                <w:sz w:val="17"/>
                <w:szCs w:val="17"/>
                <w:color w:val="0000FF"/>
              </w:rPr>
            </w:pPr>
            <w:hyperlink r:id="rId112">
              <w:r>
                <w:rPr>
                  <w:rFonts w:ascii="Arial" w:cs="Arial" w:eastAsia="Arial" w:hAnsi="Arial"/>
                  <w:sz w:val="17"/>
                  <w:szCs w:val="17"/>
                  <w:color w:val="0000FF"/>
                </w:rPr>
                <w:t>15,</w:t>
              </w:r>
            </w:hyperlink>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0000FF"/>
              <w:bottom w:val="single" w:sz="8" w:color="0000FF"/>
            </w:tcBorders>
            <w:gridSpan w:val="2"/>
          </w:tcPr>
          <w:p>
            <w:pPr>
              <w:spacing w:after="0" w:line="165"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2021).</w:t>
              </w:r>
            </w:hyperlink>
          </w:p>
        </w:tc>
        <w:tc>
          <w:tcPr>
            <w:tcW w:w="15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40" w:type="dxa"/>
            <w:vAlign w:val="bottom"/>
          </w:tcPr>
          <w:p>
            <w:pPr>
              <w:ind w:left="20"/>
              <w:spacing w:after="0" w:line="205" w:lineRule="exact"/>
              <w:rPr>
                <w:sz w:val="20"/>
                <w:szCs w:val="20"/>
                <w:color w:val="auto"/>
              </w:rPr>
            </w:pPr>
            <w:r>
              <w:rPr>
                <w:rFonts w:ascii="Arial" w:cs="Arial" w:eastAsia="Arial" w:hAnsi="Arial"/>
                <w:sz w:val="18"/>
                <w:szCs w:val="18"/>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42"/>
          </w:tcPr>
          <w:p>
            <w:pPr>
              <w:spacing w:after="0" w:line="205" w:lineRule="exact"/>
              <w:rPr>
                <w:rFonts w:ascii="Arial" w:cs="Arial" w:eastAsia="Arial" w:hAnsi="Arial"/>
                <w:sz w:val="18"/>
                <w:szCs w:val="18"/>
                <w:color w:val="0000FF"/>
              </w:rPr>
            </w:pPr>
            <w:hyperlink r:id="rId113">
              <w:r>
                <w:rPr>
                  <w:rFonts w:ascii="Arial" w:cs="Arial" w:eastAsia="Arial" w:hAnsi="Arial"/>
                  <w:sz w:val="18"/>
                  <w:szCs w:val="18"/>
                  <w:color w:val="0000FF"/>
                </w:rPr>
                <w:t>Agreement between Greenidge Generation and Empire Pipeline Inc. (incorporated by reference to Exhibit 10.7 to the</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rPr>
            </w:pPr>
            <w:hyperlink r:id="rId113">
              <w:r>
                <w:rPr>
                  <w:rFonts w:ascii="Arial" w:cs="Arial" w:eastAsia="Arial" w:hAnsi="Arial"/>
                  <w:sz w:val="17"/>
                  <w:szCs w:val="17"/>
                  <w:color w:val="0000FF"/>
                </w:rPr>
                <w:t>Registration Statement on Form S-4/A filed on June 25, 2021).</w:t>
              </w:r>
            </w:hyperlink>
          </w:p>
        </w:tc>
        <w:tc>
          <w:tcPr>
            <w:tcW w:w="42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74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rPr>
            </w:pPr>
            <w:hyperlink r:id="rId114">
              <w:r>
                <w:rPr>
                  <w:rFonts w:ascii="Arial" w:cs="Arial" w:eastAsia="Arial" w:hAnsi="Arial"/>
                  <w:sz w:val="18"/>
                  <w:szCs w:val="18"/>
                  <w:color w:val="0000FF"/>
                </w:rPr>
                <w:t>Purchase Agreement, dated as of September 15, 2021, between Greenidge Generation Holdings Inc. and B. Riley Principal</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31"/>
          </w:tcPr>
          <w:p>
            <w:pPr>
              <w:spacing w:after="0" w:line="152" w:lineRule="exact"/>
              <w:rPr>
                <w:rFonts w:ascii="Arial" w:cs="Arial" w:eastAsia="Arial" w:hAnsi="Arial"/>
                <w:sz w:val="17"/>
                <w:szCs w:val="17"/>
                <w:color w:val="0000FF"/>
              </w:rPr>
            </w:pPr>
            <w:hyperlink r:id="rId114">
              <w:r>
                <w:rPr>
                  <w:rFonts w:ascii="Arial" w:cs="Arial" w:eastAsia="Arial" w:hAnsi="Arial"/>
                  <w:sz w:val="17"/>
                  <w:szCs w:val="17"/>
                  <w:color w:val="0000FF"/>
                </w:rPr>
                <w:t>Capital, LLC (incorporated by reference to Exhibit 10.1 to the Report on Form 8-K furnished on September 15, 2021).</w:t>
              </w:r>
            </w:hyperlink>
          </w:p>
        </w:tc>
        <w:tc>
          <w:tcPr>
            <w:tcW w:w="3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60" w:type="dxa"/>
            <w:vAlign w:val="bottom"/>
            <w:gridSpan w:val="16"/>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42"/>
          </w:tcPr>
          <w:p>
            <w:pPr>
              <w:spacing w:after="0"/>
              <w:rPr>
                <w:rFonts w:ascii="Arial" w:cs="Arial" w:eastAsia="Arial" w:hAnsi="Arial"/>
                <w:sz w:val="18"/>
                <w:szCs w:val="18"/>
                <w:color w:val="0000FF"/>
              </w:rPr>
            </w:pPr>
            <w:hyperlink r:id="rId115">
              <w:r>
                <w:rPr>
                  <w:rFonts w:ascii="Arial" w:cs="Arial" w:eastAsia="Arial" w:hAnsi="Arial"/>
                  <w:sz w:val="18"/>
                  <w:szCs w:val="18"/>
                  <w:color w:val="0000FF"/>
                </w:rPr>
                <w:t>Form of Indemnification Agreement with Directors and Officers of Greenidge Generation Holdings Inc. (incorporated by</w:t>
              </w:r>
            </w:hyperlink>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115">
              <w:r>
                <w:rPr>
                  <w:rFonts w:ascii="Arial" w:cs="Arial" w:eastAsia="Arial" w:hAnsi="Arial"/>
                  <w:sz w:val="17"/>
                  <w:szCs w:val="17"/>
                  <w:color w:val="0000FF"/>
                </w:rPr>
                <w:t>reference to Exhibit 10.6 to the Company’s Quarterly Report on Form 10-Q filed on November 15, 2021).</w:t>
              </w:r>
            </w:hyperlink>
          </w:p>
        </w:tc>
        <w:tc>
          <w:tcPr>
            <w:tcW w:w="74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681"/>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top w:val="single" w:sz="8" w:color="0000FF"/>
            </w:tcBorders>
            <w:gridSpan w:val="8"/>
          </w:tcPr>
          <w:p>
            <w:pPr>
              <w:ind w:left="4300"/>
              <w:spacing w:after="0"/>
              <w:rPr>
                <w:sz w:val="20"/>
                <w:szCs w:val="20"/>
                <w:color w:val="auto"/>
              </w:rPr>
            </w:pPr>
            <w:r>
              <w:rPr>
                <w:rFonts w:ascii="Arial" w:cs="Arial" w:eastAsia="Arial" w:hAnsi="Arial"/>
                <w:sz w:val="18"/>
                <w:szCs w:val="18"/>
                <w:color w:val="auto"/>
                <w:w w:val="99"/>
              </w:rPr>
              <w:t>81</w:t>
            </w: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10.10†</w:t>
            </w:r>
          </w:p>
        </w:tc>
        <w:tc>
          <w:tcPr>
            <w:tcW w:w="9580" w:type="dxa"/>
            <w:vAlign w:val="bottom"/>
            <w:gridSpan w:val="2"/>
          </w:tcPr>
          <w:p>
            <w:pPr>
              <w:spacing w:after="0"/>
              <w:rPr>
                <w:rFonts w:ascii="Arial" w:cs="Arial" w:eastAsia="Arial" w:hAnsi="Arial"/>
                <w:sz w:val="18"/>
                <w:szCs w:val="18"/>
                <w:color w:val="0000FF"/>
                <w:w w:val="98"/>
              </w:rPr>
            </w:pPr>
            <w:hyperlink r:id="rId118">
              <w:r>
                <w:rPr>
                  <w:rFonts w:ascii="Arial" w:cs="Arial" w:eastAsia="Arial" w:hAnsi="Arial"/>
                  <w:sz w:val="18"/>
                  <w:szCs w:val="18"/>
                  <w:color w:val="0000FF"/>
                  <w:w w:val="98"/>
                </w:rPr>
                <w:t>Executive Employment Agreement, dated November 15, 2021, between Greenidge Generation Holdings Inc. and Terence</w:t>
              </w:r>
            </w:hyperlink>
          </w:p>
        </w:tc>
      </w:tr>
      <w:tr>
        <w:trPr>
          <w:trHeight w:val="153"/>
        </w:trPr>
        <w:tc>
          <w:tcPr>
            <w:tcW w:w="1220" w:type="dxa"/>
            <w:vAlign w:val="bottom"/>
          </w:tcPr>
          <w:p>
            <w:pPr>
              <w:spacing w:after="0"/>
              <w:rPr>
                <w:sz w:val="13"/>
                <w:szCs w:val="13"/>
                <w:color w:val="auto"/>
              </w:rPr>
            </w:pPr>
          </w:p>
        </w:tc>
        <w:tc>
          <w:tcPr>
            <w:tcW w:w="950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rPr>
            </w:pPr>
            <w:hyperlink r:id="rId118">
              <w:r>
                <w:rPr>
                  <w:rFonts w:ascii="Arial" w:cs="Arial" w:eastAsia="Arial" w:hAnsi="Arial"/>
                  <w:sz w:val="17"/>
                  <w:szCs w:val="17"/>
                  <w:color w:val="0000FF"/>
                </w:rPr>
                <w:t>Burke (incorporated by reference to Exhibit 10.12 to the Company’s Annual Report on Form 10-K filed on March 31, 2022)</w:t>
              </w:r>
            </w:hyperlink>
          </w:p>
        </w:tc>
        <w:tc>
          <w:tcPr>
            <w:tcW w:w="80" w:type="dxa"/>
            <w:vAlign w:val="bottom"/>
            <w:tcBorders>
              <w:bottom w:val="single" w:sz="8" w:color="0000FF"/>
            </w:tcBorders>
          </w:tcPr>
          <w:p>
            <w:pPr>
              <w:jc w:val="right"/>
              <w:spacing w:after="0" w:line="153" w:lineRule="exact"/>
              <w:rPr>
                <w:rFonts w:ascii="Arial" w:cs="Arial" w:eastAsia="Arial" w:hAnsi="Arial"/>
                <w:sz w:val="17"/>
                <w:szCs w:val="17"/>
                <w:color w:val="0000FF"/>
              </w:rPr>
            </w:pPr>
            <w:hyperlink r:id="rId118">
              <w:r>
                <w:rPr>
                  <w:rFonts w:ascii="Arial" w:cs="Arial" w:eastAsia="Arial" w:hAnsi="Arial"/>
                  <w:sz w:val="17"/>
                  <w:szCs w:val="17"/>
                  <w:color w:val="0000FF"/>
                </w:rPr>
                <w:t>.</w:t>
              </w:r>
            </w:hyperlink>
          </w:p>
        </w:tc>
      </w:tr>
    </w:tbl>
    <w:p>
      <w:pPr>
        <w:spacing w:after="0" w:line="65"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br w:type="column"/>
      </w:r>
    </w:p>
    <w:p>
      <w:pPr>
        <w:ind w:right="300"/>
        <w:spacing w:after="0" w:line="238" w:lineRule="auto"/>
        <w:rPr>
          <w:rFonts w:ascii="Arial" w:cs="Arial" w:eastAsia="Arial" w:hAnsi="Arial"/>
          <w:sz w:val="18"/>
          <w:szCs w:val="18"/>
          <w:color w:val="0000FF"/>
        </w:rPr>
      </w:pPr>
      <w:hyperlink r:id="rId119">
        <w:r>
          <w:rPr>
            <w:rFonts w:ascii="Arial" w:cs="Arial" w:eastAsia="Arial" w:hAnsi="Arial"/>
            <w:sz w:val="18"/>
            <w:szCs w:val="18"/>
            <w:u w:val="single" w:color="auto"/>
            <w:color w:val="0000FF"/>
          </w:rPr>
          <w:t>Letter Agreement, dated December 28, 2021, between Greenidge Generation Holdings Inc. and Jeffrey Kirt (incorporated by</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reference to Exhibit 10.14 to the Company’s Annual Report on Form 10-K filed on March 31, 2022)</w:t>
        </w:r>
        <w:r>
          <w:rPr>
            <w:rFonts w:ascii="Arial" w:cs="Arial" w:eastAsia="Arial" w:hAnsi="Arial"/>
            <w:sz w:val="18"/>
            <w:szCs w:val="18"/>
            <w:color w:val="000000"/>
          </w:rPr>
          <w:t>.</w:t>
        </w:r>
      </w:hyperlink>
    </w:p>
    <w:p>
      <w:pPr>
        <w:spacing w:after="0" w:line="40" w:lineRule="exact"/>
        <w:rPr>
          <w:sz w:val="20"/>
          <w:szCs w:val="20"/>
          <w:color w:val="auto"/>
        </w:rPr>
      </w:pPr>
    </w:p>
    <w:p>
      <w:pPr>
        <w:ind w:right="620"/>
        <w:spacing w:after="0" w:line="235" w:lineRule="auto"/>
        <w:rPr>
          <w:rFonts w:ascii="Arial" w:cs="Arial" w:eastAsia="Arial" w:hAnsi="Arial"/>
          <w:sz w:val="17"/>
          <w:szCs w:val="17"/>
          <w:u w:val="single" w:color="auto"/>
          <w:color w:val="0000FF"/>
        </w:rPr>
      </w:pPr>
      <w:hyperlink r:id="rId120">
        <w:r>
          <w:rPr>
            <w:rFonts w:ascii="Arial" w:cs="Arial" w:eastAsia="Arial" w:hAnsi="Arial"/>
            <w:sz w:val="17"/>
            <w:szCs w:val="17"/>
            <w:u w:val="single" w:color="auto"/>
            <w:color w:val="0000FF"/>
          </w:rPr>
          <w:t>Bridge Promissory Note, dated March 18, 2022, by Greenidge Generation Holdings Inc., as borrower, in favor of B. Riley</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Commercial Capital, LLC (incorporated by reference to Exhibit 10.1 to the Report on Form 8-K filed on March 24, 2022)</w:t>
        </w:r>
      </w:hyperlink>
    </w:p>
    <w:p>
      <w:pPr>
        <w:spacing w:after="0" w:line="28" w:lineRule="exact"/>
        <w:rPr>
          <w:sz w:val="20"/>
          <w:szCs w:val="20"/>
          <w:color w:val="auto"/>
        </w:rPr>
      </w:pPr>
    </w:p>
    <w:p>
      <w:pPr>
        <w:jc w:val="both"/>
        <w:ind w:right="120"/>
        <w:spacing w:after="0" w:line="219" w:lineRule="auto"/>
        <w:rPr>
          <w:rFonts w:ascii="Arial" w:cs="Arial" w:eastAsia="Arial" w:hAnsi="Arial"/>
          <w:sz w:val="17"/>
          <w:szCs w:val="17"/>
          <w:u w:val="single" w:color="auto"/>
          <w:color w:val="0000FF"/>
        </w:rPr>
      </w:pPr>
      <w:hyperlink r:id="rId121">
        <w:r>
          <w:rPr>
            <w:rFonts w:ascii="Arial" w:cs="Arial" w:eastAsia="Arial" w:hAnsi="Arial"/>
            <w:sz w:val="17"/>
            <w:szCs w:val="17"/>
            <w:u w:val="single" w:color="auto"/>
            <w:color w:val="0000FF"/>
          </w:rPr>
          <w:t>Master Equipment Finance Agreement, dated as of March 21, 2022, by and among GTX Gen 1 Collateral LLC, GNY Collateral</w:t>
        </w:r>
      </w:hyperlink>
      <w:r>
        <w:rPr>
          <w:rFonts w:ascii="Arial" w:cs="Arial" w:eastAsia="Arial" w:hAnsi="Arial"/>
          <w:sz w:val="17"/>
          <w:szCs w:val="17"/>
          <w:u w:val="single" w:color="auto"/>
          <w:color w:val="0000FF"/>
        </w:rPr>
        <w:t xml:space="preserve"> </w:t>
      </w:r>
      <w:hyperlink r:id="rId121">
        <w:r>
          <w:rPr>
            <w:rFonts w:ascii="Arial" w:cs="Arial" w:eastAsia="Arial" w:hAnsi="Arial"/>
            <w:sz w:val="17"/>
            <w:szCs w:val="17"/>
            <w:u w:val="single" w:color="auto"/>
            <w:color w:val="0000FF"/>
          </w:rPr>
          <w:t>LLC, GSC Collateral LLC, Greenidge Generation Holdings, Inc., each guarantor party thereto, and NYDIG ABL LLC, as lender,</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servicer and collateral agent (incorporated by reference to Exhibit 10.2 to the Report on Form 8-K filed on March 24, 2022)</w:t>
        </w:r>
      </w:hyperlink>
    </w:p>
    <w:p>
      <w:pPr>
        <w:spacing w:after="0" w:line="1" w:lineRule="exact"/>
        <w:rPr>
          <w:sz w:val="20"/>
          <w:szCs w:val="20"/>
          <w:color w:val="auto"/>
        </w:rPr>
      </w:pPr>
    </w:p>
    <w:p>
      <w:pPr>
        <w:sectPr>
          <w:pgSz w:w="11900" w:h="16838" w:orient="portrait"/>
          <w:cols w:equalWidth="0" w:num="2">
            <w:col w:w="660" w:space="580"/>
            <w:col w:w="10000"/>
          </w:cols>
          <w:pgMar w:left="320" w:top="1151"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1240" w:type="dxa"/>
            <w:vAlign w:val="bottom"/>
          </w:tcPr>
          <w:p>
            <w:pPr>
              <w:ind w:left="20"/>
              <w:spacing w:after="0" w:line="191" w:lineRule="exact"/>
              <w:rPr>
                <w:sz w:val="20"/>
                <w:szCs w:val="20"/>
                <w:color w:val="auto"/>
              </w:rPr>
            </w:pPr>
            <w:r>
              <w:rPr>
                <w:rFonts w:ascii="Arial" w:cs="Arial" w:eastAsia="Arial" w:hAnsi="Arial"/>
                <w:sz w:val="18"/>
                <w:szCs w:val="18"/>
                <w:color w:val="auto"/>
              </w:rPr>
              <w:t>10.14</w:t>
            </w:r>
          </w:p>
        </w:tc>
        <w:tc>
          <w:tcPr>
            <w:tcW w:w="10040" w:type="dxa"/>
            <w:vAlign w:val="bottom"/>
            <w:gridSpan w:val="36"/>
          </w:tcPr>
          <w:p>
            <w:pPr>
              <w:spacing w:after="0" w:line="191" w:lineRule="exact"/>
              <w:rPr>
                <w:rFonts w:ascii="Arial" w:cs="Arial" w:eastAsia="Arial" w:hAnsi="Arial"/>
                <w:sz w:val="18"/>
                <w:szCs w:val="18"/>
                <w:color w:val="0000FF"/>
              </w:rPr>
            </w:pPr>
            <w:hyperlink r:id="rId122">
              <w:r>
                <w:rPr>
                  <w:rFonts w:ascii="Arial" w:cs="Arial" w:eastAsia="Arial" w:hAnsi="Arial"/>
                  <w:sz w:val="18"/>
                  <w:szCs w:val="18"/>
                  <w:color w:val="0000FF"/>
                </w:rPr>
                <w:t>Purchase Agreement, dated as of April 7, 2022, between Greenidge Generation Holdings Inc. and B. Riley Principal Capital,</w:t>
              </w:r>
            </w:hyperlink>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70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122">
              <w:r>
                <w:rPr>
                  <w:rFonts w:ascii="Arial" w:cs="Arial" w:eastAsia="Arial" w:hAnsi="Arial"/>
                  <w:sz w:val="17"/>
                  <w:szCs w:val="17"/>
                  <w:color w:val="0000FF"/>
                </w:rPr>
                <w:t>LLC (incorporated by reference to Exhibit 10.1 to the Company’s Report on Form 8-K filed on April 8, 2022)</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10.15</w:t>
            </w:r>
          </w:p>
        </w:tc>
        <w:tc>
          <w:tcPr>
            <w:tcW w:w="1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40" w:type="dxa"/>
            <w:vAlign w:val="bottom"/>
            <w:vMerge w:val="continue"/>
          </w:tcPr>
          <w:p>
            <w:pPr>
              <w:spacing w:after="0"/>
              <w:rPr>
                <w:sz w:val="22"/>
                <w:szCs w:val="22"/>
                <w:color w:val="auto"/>
              </w:rPr>
            </w:pPr>
          </w:p>
        </w:tc>
        <w:tc>
          <w:tcPr>
            <w:tcW w:w="10040" w:type="dxa"/>
            <w:vAlign w:val="bottom"/>
            <w:gridSpan w:val="36"/>
            <w:vMerge w:val="restart"/>
          </w:tcPr>
          <w:p>
            <w:pPr>
              <w:spacing w:after="0"/>
              <w:rPr>
                <w:rFonts w:ascii="Arial" w:cs="Arial" w:eastAsia="Arial" w:hAnsi="Arial"/>
                <w:sz w:val="18"/>
                <w:szCs w:val="18"/>
                <w:color w:val="0000FF"/>
              </w:rPr>
            </w:pPr>
            <w:hyperlink r:id="rId123">
              <w:r>
                <w:rPr>
                  <w:rFonts w:ascii="Arial" w:cs="Arial" w:eastAsia="Arial" w:hAnsi="Arial"/>
                  <w:sz w:val="18"/>
                  <w:szCs w:val="18"/>
                  <w:color w:val="0000FF"/>
                </w:rPr>
                <w:t>Registration Rights Agreement, dated as of April 7, 2022, between Greenidge Generation Holdings Inc. and B. Riley Principal</w:t>
              </w:r>
            </w:hyperlink>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0040" w:type="dxa"/>
            <w:vAlign w:val="bottom"/>
            <w:gridSpan w:val="3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5"/>
          </w:tcPr>
          <w:p>
            <w:pPr>
              <w:spacing w:after="0" w:line="152" w:lineRule="exact"/>
              <w:rPr>
                <w:rFonts w:ascii="Arial" w:cs="Arial" w:eastAsia="Arial" w:hAnsi="Arial"/>
                <w:sz w:val="17"/>
                <w:szCs w:val="17"/>
                <w:color w:val="0000FF"/>
              </w:rPr>
            </w:pPr>
            <w:hyperlink r:id="rId123">
              <w:r>
                <w:rPr>
                  <w:rFonts w:ascii="Arial" w:cs="Arial" w:eastAsia="Arial" w:hAnsi="Arial"/>
                  <w:sz w:val="17"/>
                  <w:szCs w:val="17"/>
                  <w:color w:val="0000FF"/>
                </w:rPr>
                <w:t>Capital, LLC (incorporated by reference to Exhibit 10.2 to the Company’s Report on Form 8-K filed on April 8, 2022)</w:t>
              </w:r>
            </w:hyperlink>
          </w:p>
        </w:tc>
        <w:tc>
          <w:tcPr>
            <w:tcW w:w="76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240" w:type="dxa"/>
            <w:vAlign w:val="bottom"/>
          </w:tcPr>
          <w:p>
            <w:pPr>
              <w:ind w:left="20"/>
              <w:spacing w:after="0"/>
              <w:rPr>
                <w:sz w:val="20"/>
                <w:szCs w:val="20"/>
                <w:color w:val="auto"/>
              </w:rPr>
            </w:pPr>
            <w:r>
              <w:rPr>
                <w:rFonts w:ascii="Arial" w:cs="Arial" w:eastAsia="Arial" w:hAnsi="Arial"/>
                <w:sz w:val="18"/>
                <w:szCs w:val="18"/>
                <w:color w:val="auto"/>
              </w:rPr>
              <w:t>10.16</w:t>
            </w:r>
          </w:p>
        </w:tc>
        <w:tc>
          <w:tcPr>
            <w:tcW w:w="10040" w:type="dxa"/>
            <w:vAlign w:val="bottom"/>
            <w:gridSpan w:val="36"/>
          </w:tcPr>
          <w:p>
            <w:pPr>
              <w:spacing w:after="0"/>
              <w:rPr>
                <w:rFonts w:ascii="Arial" w:cs="Arial" w:eastAsia="Arial" w:hAnsi="Arial"/>
                <w:sz w:val="18"/>
                <w:szCs w:val="18"/>
                <w:color w:val="0000FF"/>
              </w:rPr>
            </w:pPr>
            <w:hyperlink r:id="rId124">
              <w:r>
                <w:rPr>
                  <w:rFonts w:ascii="Arial" w:cs="Arial" w:eastAsia="Arial" w:hAnsi="Arial"/>
                  <w:sz w:val="18"/>
                  <w:szCs w:val="18"/>
                  <w:color w:val="0000FF"/>
                </w:rPr>
                <w:t>Amendment No. 1 to Common Stock Purchase Agreement, dated as of April 13, 2022, between Greenidge Generation</w:t>
              </w:r>
            </w:hyperlink>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9260" w:type="dxa"/>
            <w:vAlign w:val="bottom"/>
            <w:tcBorders>
              <w:top w:val="single" w:sz="8" w:color="0000FF"/>
            </w:tcBorders>
            <w:gridSpan w:val="19"/>
          </w:tcPr>
          <w:p>
            <w:pPr>
              <w:spacing w:after="0" w:line="153" w:lineRule="exact"/>
              <w:rPr>
                <w:rFonts w:ascii="Arial" w:cs="Arial" w:eastAsia="Arial" w:hAnsi="Arial"/>
                <w:sz w:val="17"/>
                <w:szCs w:val="17"/>
                <w:color w:val="0000FF"/>
              </w:rPr>
            </w:pPr>
            <w:hyperlink r:id="rId124">
              <w:r>
                <w:rPr>
                  <w:rFonts w:ascii="Arial" w:cs="Arial" w:eastAsia="Arial" w:hAnsi="Arial"/>
                  <w:sz w:val="17"/>
                  <w:szCs w:val="17"/>
                  <w:color w:val="0000FF"/>
                </w:rPr>
                <w:t>Holdings Inc. and B. Riley Principal Capital, LLC (incorporated by reference to Exhibit 10.1 to the Company’s Report on</w:t>
              </w:r>
            </w:hyperlink>
          </w:p>
        </w:tc>
        <w:tc>
          <w:tcPr>
            <w:tcW w:w="780" w:type="dxa"/>
            <w:vAlign w:val="bottom"/>
            <w:gridSpan w:val="17"/>
          </w:tcPr>
          <w:p>
            <w:pPr>
              <w:ind w:left="100"/>
              <w:spacing w:after="0" w:line="153" w:lineRule="exact"/>
              <w:rPr>
                <w:rFonts w:ascii="Arial" w:cs="Arial" w:eastAsia="Arial" w:hAnsi="Arial"/>
                <w:sz w:val="17"/>
                <w:szCs w:val="17"/>
                <w:color w:val="0000FF"/>
              </w:rPr>
            </w:pPr>
            <w:hyperlink r:id="rId124">
              <w:r>
                <w:rPr>
                  <w:rFonts w:ascii="Arial" w:cs="Arial" w:eastAsia="Arial" w:hAnsi="Arial"/>
                  <w:sz w:val="17"/>
                  <w:szCs w:val="17"/>
                  <w:color w:val="0000FF"/>
                </w:rPr>
                <w:t>Form 8-</w:t>
              </w:r>
            </w:hyperlink>
          </w:p>
        </w:tc>
        <w:tc>
          <w:tcPr>
            <w:tcW w:w="0" w:type="dxa"/>
            <w:vAlign w:val="bottom"/>
          </w:tcPr>
          <w:p>
            <w:pPr>
              <w:spacing w:after="0"/>
              <w:rPr>
                <w:sz w:val="1"/>
                <w:szCs w:val="1"/>
                <w:color w:val="auto"/>
              </w:rPr>
            </w:pPr>
          </w:p>
        </w:tc>
      </w:tr>
      <w:tr>
        <w:trPr>
          <w:trHeight w:val="166"/>
        </w:trPr>
        <w:tc>
          <w:tcPr>
            <w:tcW w:w="124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2"/>
          </w:tcPr>
          <w:p>
            <w:pPr>
              <w:spacing w:after="0" w:line="165" w:lineRule="exact"/>
              <w:rPr>
                <w:rFonts w:ascii="Arial" w:cs="Arial" w:eastAsia="Arial" w:hAnsi="Arial"/>
                <w:sz w:val="18"/>
                <w:szCs w:val="18"/>
                <w:color w:val="0000FF"/>
                <w:w w:val="97"/>
              </w:rPr>
            </w:pPr>
            <w:hyperlink r:id="rId124">
              <w:r>
                <w:rPr>
                  <w:rFonts w:ascii="Arial" w:cs="Arial" w:eastAsia="Arial" w:hAnsi="Arial"/>
                  <w:sz w:val="18"/>
                  <w:szCs w:val="18"/>
                  <w:color w:val="0000FF"/>
                  <w:w w:val="97"/>
                </w:rPr>
                <w:t>K filed on April 14, 2022)</w:t>
              </w:r>
            </w:hyperlink>
          </w:p>
        </w:tc>
        <w:tc>
          <w:tcPr>
            <w:tcW w:w="8040" w:type="dxa"/>
            <w:vAlign w:val="bottom"/>
            <w:tcBorders>
              <w:top w:val="single" w:sz="8" w:color="0000FF"/>
            </w:tcBorders>
            <w:gridSpan w:val="3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10.17</w:t>
            </w:r>
          </w:p>
        </w:tc>
        <w:tc>
          <w:tcPr>
            <w:tcW w:w="10040" w:type="dxa"/>
            <w:vAlign w:val="bottom"/>
            <w:gridSpan w:val="36"/>
          </w:tcPr>
          <w:p>
            <w:pPr>
              <w:spacing w:after="0" w:line="205"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Amended and Restated Bridge Promissory Note, dated August 10, 2022, by Greenidge Generation Holdings Inc., as borrower,</w:t>
              </w:r>
            </w:hyperlink>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r:id="rId125">
              <w:r>
                <w:rPr>
                  <w:rFonts w:ascii="Arial" w:cs="Arial" w:eastAsia="Arial" w:hAnsi="Arial"/>
                  <w:sz w:val="17"/>
                  <w:szCs w:val="17"/>
                  <w:color w:val="0000FF"/>
                </w:rPr>
                <w:t>in favor of B. Riley Commercial Capital, LLC (incorporated by reference to Exhibit 10.6 of the Company’s Form 10-Q filed on</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9680" w:type="dxa"/>
            <w:vAlign w:val="bottom"/>
            <w:tcBorders>
              <w:top w:val="single" w:sz="8" w:color="0000FF"/>
            </w:tcBorders>
            <w:gridSpan w:val="25"/>
          </w:tcPr>
          <w:p>
            <w:pPr>
              <w:spacing w:after="0" w:line="165" w:lineRule="exact"/>
              <w:rPr>
                <w:rFonts w:ascii="Arial" w:cs="Arial" w:eastAsia="Arial" w:hAnsi="Arial"/>
                <w:sz w:val="18"/>
                <w:szCs w:val="18"/>
                <w:color w:val="0000FF"/>
              </w:rPr>
            </w:pPr>
            <w:hyperlink r:id="rId125">
              <w:r>
                <w:rPr>
                  <w:rFonts w:ascii="Arial" w:cs="Arial" w:eastAsia="Arial" w:hAnsi="Arial"/>
                  <w:sz w:val="18"/>
                  <w:szCs w:val="18"/>
                  <w:color w:val="0000FF"/>
                </w:rPr>
                <w:t>August 15, 2022)</w:t>
              </w:r>
            </w:hyperlink>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10.18</w:t>
            </w:r>
          </w:p>
        </w:tc>
        <w:tc>
          <w:tcPr>
            <w:tcW w:w="10040" w:type="dxa"/>
            <w:vAlign w:val="bottom"/>
            <w:gridSpan w:val="36"/>
          </w:tcPr>
          <w:p>
            <w:pPr>
              <w:spacing w:after="0" w:line="205" w:lineRule="exact"/>
              <w:rPr>
                <w:rFonts w:ascii="Arial" w:cs="Arial" w:eastAsia="Arial" w:hAnsi="Arial"/>
                <w:sz w:val="18"/>
                <w:szCs w:val="18"/>
                <w:color w:val="0000FF"/>
              </w:rPr>
            </w:pPr>
            <w:hyperlink r:id="rId126">
              <w:r>
                <w:rPr>
                  <w:rFonts w:ascii="Arial" w:cs="Arial" w:eastAsia="Arial" w:hAnsi="Arial"/>
                  <w:sz w:val="18"/>
                  <w:szCs w:val="18"/>
                  <w:color w:val="0000FF"/>
                </w:rPr>
                <w:t>Executive Employment Agreement, dated as of August 15, 2022, by and between Greenidge Generation Holdings Inc. and</w:t>
              </w:r>
            </w:hyperlink>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126">
              <w:r>
                <w:rPr>
                  <w:rFonts w:ascii="Arial" w:cs="Arial" w:eastAsia="Arial" w:hAnsi="Arial"/>
                  <w:sz w:val="17"/>
                  <w:szCs w:val="17"/>
                  <w:color w:val="0000FF"/>
                </w:rPr>
                <w:t>Dale Irwin (incorporated by reference to Exhibit 10.7 of the Company’s Form 10-Q filed on August 15,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240" w:type="dxa"/>
            <w:vAlign w:val="bottom"/>
          </w:tcPr>
          <w:p>
            <w:pPr>
              <w:ind w:left="20"/>
              <w:spacing w:after="0"/>
              <w:rPr>
                <w:sz w:val="20"/>
                <w:szCs w:val="20"/>
                <w:color w:val="auto"/>
              </w:rPr>
            </w:pPr>
            <w:r>
              <w:rPr>
                <w:rFonts w:ascii="Arial" w:cs="Arial" w:eastAsia="Arial" w:hAnsi="Arial"/>
                <w:sz w:val="18"/>
                <w:szCs w:val="18"/>
                <w:color w:val="auto"/>
              </w:rPr>
              <w:t>10.19</w:t>
            </w:r>
          </w:p>
        </w:tc>
        <w:tc>
          <w:tcPr>
            <w:tcW w:w="10040" w:type="dxa"/>
            <w:vAlign w:val="bottom"/>
            <w:gridSpan w:val="36"/>
          </w:tcPr>
          <w:p>
            <w:pPr>
              <w:spacing w:after="0"/>
              <w:rPr>
                <w:rFonts w:ascii="Arial" w:cs="Arial" w:eastAsia="Arial" w:hAnsi="Arial"/>
                <w:sz w:val="18"/>
                <w:szCs w:val="18"/>
                <w:color w:val="0000FF"/>
                <w:w w:val="99"/>
              </w:rPr>
            </w:pPr>
            <w:hyperlink r:id="rId127">
              <w:r>
                <w:rPr>
                  <w:rFonts w:ascii="Arial" w:cs="Arial" w:eastAsia="Arial" w:hAnsi="Arial"/>
                  <w:sz w:val="18"/>
                  <w:szCs w:val="18"/>
                  <w:color w:val="0000FF"/>
                  <w:w w:val="99"/>
                </w:rPr>
                <w:t>At Market Issuance Sales Agreement, dated September 19, 2022, by and among Greenidge Generation Holdings Inc., B. Riley</w:t>
              </w:r>
            </w:hyperlink>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31"/>
          </w:tcPr>
          <w:p>
            <w:pPr>
              <w:spacing w:after="0" w:line="152" w:lineRule="exact"/>
              <w:rPr>
                <w:rFonts w:ascii="Arial" w:cs="Arial" w:eastAsia="Arial" w:hAnsi="Arial"/>
                <w:sz w:val="17"/>
                <w:szCs w:val="17"/>
                <w:color w:val="0000FF"/>
              </w:rPr>
            </w:pPr>
            <w:hyperlink r:id="rId127">
              <w:r>
                <w:rPr>
                  <w:rFonts w:ascii="Arial" w:cs="Arial" w:eastAsia="Arial" w:hAnsi="Arial"/>
                  <w:sz w:val="17"/>
                  <w:szCs w:val="17"/>
                  <w:color w:val="0000FF"/>
                </w:rPr>
                <w:t>Securities, Inc. and Northland Securities, Inc. (incorporated by reference to Exhibit 1.1 to the Company’s Registration Statement</w:t>
              </w:r>
            </w:hyperlink>
          </w:p>
        </w:tc>
        <w:tc>
          <w:tcPr>
            <w:tcW w:w="6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3320" w:type="dxa"/>
            <w:vAlign w:val="bottom"/>
            <w:tcBorders>
              <w:bottom w:val="single" w:sz="8" w:color="0000FF"/>
            </w:tcBorders>
            <w:gridSpan w:val="3"/>
          </w:tcPr>
          <w:p>
            <w:pPr>
              <w:spacing w:after="0" w:line="165" w:lineRule="exact"/>
              <w:rPr>
                <w:rFonts w:ascii="Arial" w:cs="Arial" w:eastAsia="Arial" w:hAnsi="Arial"/>
                <w:sz w:val="18"/>
                <w:szCs w:val="18"/>
                <w:color w:val="0000FF"/>
                <w:w w:val="97"/>
              </w:rPr>
            </w:pPr>
            <w:hyperlink r:id="rId127">
              <w:r>
                <w:rPr>
                  <w:rFonts w:ascii="Arial" w:cs="Arial" w:eastAsia="Arial" w:hAnsi="Arial"/>
                  <w:sz w:val="18"/>
                  <w:szCs w:val="18"/>
                  <w:color w:val="0000FF"/>
                  <w:w w:val="97"/>
                </w:rPr>
                <w:t>on Form S-3 filed on September 19, 2022)</w:t>
              </w:r>
            </w:hyperlink>
          </w:p>
        </w:tc>
        <w:tc>
          <w:tcPr>
            <w:tcW w:w="6700" w:type="dxa"/>
            <w:vAlign w:val="bottom"/>
            <w:gridSpan w:val="3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10.20</w:t>
            </w:r>
          </w:p>
        </w:tc>
        <w:tc>
          <w:tcPr>
            <w:tcW w:w="10040" w:type="dxa"/>
            <w:vAlign w:val="bottom"/>
            <w:gridSpan w:val="36"/>
          </w:tcPr>
          <w:p>
            <w:pPr>
              <w:spacing w:after="0" w:line="205" w:lineRule="exact"/>
              <w:rPr>
                <w:rFonts w:ascii="Arial" w:cs="Arial" w:eastAsia="Arial" w:hAnsi="Arial"/>
                <w:sz w:val="18"/>
                <w:szCs w:val="18"/>
                <w:color w:val="0000FF"/>
              </w:rPr>
            </w:pPr>
            <w:hyperlink r:id="rId128">
              <w:r>
                <w:rPr>
                  <w:rFonts w:ascii="Arial" w:cs="Arial" w:eastAsia="Arial" w:hAnsi="Arial"/>
                  <w:sz w:val="18"/>
                  <w:szCs w:val="18"/>
                  <w:color w:val="0000FF"/>
                </w:rPr>
                <w:t>Amendment No. 1 to At Market Issuance Sales Agreement, dated October 3, 2022, by and among Greenidge Generation</w:t>
              </w:r>
            </w:hyperlink>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46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28">
              <w:r>
                <w:rPr>
                  <w:rFonts w:ascii="Arial" w:cs="Arial" w:eastAsia="Arial" w:hAnsi="Arial"/>
                  <w:sz w:val="17"/>
                  <w:szCs w:val="17"/>
                  <w:color w:val="0000FF"/>
                </w:rPr>
                <w:t>Holdings Inc., B. Riley Securities, Inc. and Northland Securities, Inc. (incorporated by reference to Exhibit 10.1 of the</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240" w:type="dxa"/>
            <w:vAlign w:val="bottom"/>
          </w:tcPr>
          <w:p>
            <w:pPr>
              <w:spacing w:after="0"/>
              <w:rPr>
                <w:sz w:val="14"/>
                <w:szCs w:val="14"/>
                <w:color w:val="auto"/>
              </w:rPr>
            </w:pPr>
          </w:p>
        </w:tc>
        <w:tc>
          <w:tcPr>
            <w:tcW w:w="9080" w:type="dxa"/>
            <w:vAlign w:val="bottom"/>
            <w:tcBorders>
              <w:top w:val="single" w:sz="8" w:color="0000FF"/>
            </w:tcBorders>
            <w:gridSpan w:val="16"/>
          </w:tcPr>
          <w:p>
            <w:pPr>
              <w:spacing w:after="0" w:line="165" w:lineRule="exact"/>
              <w:rPr>
                <w:rFonts w:ascii="Arial" w:cs="Arial" w:eastAsia="Arial" w:hAnsi="Arial"/>
                <w:sz w:val="18"/>
                <w:szCs w:val="18"/>
                <w:color w:val="0000FF"/>
              </w:rPr>
            </w:pPr>
            <w:hyperlink r:id="rId128">
              <w:r>
                <w:rPr>
                  <w:rFonts w:ascii="Arial" w:cs="Arial" w:eastAsia="Arial" w:hAnsi="Arial"/>
                  <w:sz w:val="18"/>
                  <w:szCs w:val="18"/>
                  <w:color w:val="0000FF"/>
                </w:rPr>
                <w:t>Company’s Form 8-K filed on October 4, 2022)</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10.21</w:t>
            </w:r>
          </w:p>
        </w:tc>
        <w:tc>
          <w:tcPr>
            <w:tcW w:w="10040" w:type="dxa"/>
            <w:vAlign w:val="bottom"/>
            <w:gridSpan w:val="36"/>
          </w:tcPr>
          <w:p>
            <w:pPr>
              <w:spacing w:after="0" w:line="205" w:lineRule="exact"/>
              <w:rPr>
                <w:rFonts w:ascii="Arial" w:cs="Arial" w:eastAsia="Arial" w:hAnsi="Arial"/>
                <w:sz w:val="18"/>
                <w:szCs w:val="18"/>
                <w:color w:val="0000FF"/>
              </w:rPr>
            </w:pPr>
            <w:hyperlink r:id="rId129">
              <w:r>
                <w:rPr>
                  <w:rFonts w:ascii="Arial" w:cs="Arial" w:eastAsia="Arial" w:hAnsi="Arial"/>
                  <w:sz w:val="18"/>
                  <w:szCs w:val="18"/>
                  <w:color w:val="0000FF"/>
                </w:rPr>
                <w:t>Debt Settlement Agreement, dated as of January 30, 2023, by and among Greenidge Generation Holdings Inc., Greenidge</w:t>
              </w:r>
            </w:hyperlink>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129">
              <w:r>
                <w:rPr>
                  <w:rFonts w:ascii="Arial" w:cs="Arial" w:eastAsia="Arial" w:hAnsi="Arial"/>
                  <w:sz w:val="17"/>
                  <w:szCs w:val="17"/>
                  <w:color w:val="0000FF"/>
                </w:rPr>
                <w:t>Generation LLC, the other Subsidiaries of Greenidge Generation Holdings Inc., and NYDIG ABL LLC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240" w:type="dxa"/>
            <w:vAlign w:val="bottom"/>
          </w:tcPr>
          <w:p>
            <w:pPr>
              <w:spacing w:after="0"/>
              <w:rPr>
                <w:sz w:val="14"/>
                <w:szCs w:val="14"/>
                <w:color w:val="auto"/>
              </w:rPr>
            </w:pPr>
          </w:p>
        </w:tc>
        <w:tc>
          <w:tcPr>
            <w:tcW w:w="9200" w:type="dxa"/>
            <w:vAlign w:val="bottom"/>
            <w:tcBorders>
              <w:top w:val="single" w:sz="8" w:color="0000FF"/>
            </w:tcBorders>
            <w:gridSpan w:val="18"/>
          </w:tcPr>
          <w:p>
            <w:pPr>
              <w:spacing w:after="0" w:line="165" w:lineRule="exact"/>
              <w:rPr>
                <w:rFonts w:ascii="Arial" w:cs="Arial" w:eastAsia="Arial" w:hAnsi="Arial"/>
                <w:sz w:val="18"/>
                <w:szCs w:val="18"/>
                <w:color w:val="0000FF"/>
              </w:rPr>
            </w:pPr>
            <w:hyperlink r:id="rId129">
              <w:r>
                <w:rPr>
                  <w:rFonts w:ascii="Arial" w:cs="Arial" w:eastAsia="Arial" w:hAnsi="Arial"/>
                  <w:sz w:val="18"/>
                  <w:szCs w:val="18"/>
                  <w:color w:val="0000FF"/>
                </w:rPr>
                <w:t>reference to Exhibit 10.1 of the Company’s Form 8-K filed on January 30, 2023).</w:t>
              </w:r>
            </w:hyperlink>
          </w:p>
        </w:tc>
        <w:tc>
          <w:tcPr>
            <w:tcW w:w="4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10.22</w:t>
            </w:r>
          </w:p>
        </w:tc>
        <w:tc>
          <w:tcPr>
            <w:tcW w:w="10040" w:type="dxa"/>
            <w:vAlign w:val="bottom"/>
            <w:gridSpan w:val="36"/>
          </w:tcPr>
          <w:p>
            <w:pPr>
              <w:spacing w:after="0" w:line="205" w:lineRule="exact"/>
              <w:rPr>
                <w:rFonts w:ascii="Arial" w:cs="Arial" w:eastAsia="Arial" w:hAnsi="Arial"/>
                <w:sz w:val="18"/>
                <w:szCs w:val="18"/>
                <w:color w:val="0000FF"/>
                <w:w w:val="98"/>
              </w:rPr>
            </w:pPr>
            <w:hyperlink r:id="rId130">
              <w:r>
                <w:rPr>
                  <w:rFonts w:ascii="Arial" w:cs="Arial" w:eastAsia="Arial" w:hAnsi="Arial"/>
                  <w:sz w:val="18"/>
                  <w:szCs w:val="18"/>
                  <w:color w:val="0000FF"/>
                  <w:w w:val="98"/>
                </w:rPr>
                <w:t>Senior Secured Loan Agreement, dated as of January 30, 2023, by and among Greenidge Generation Holdings Inc., Greenidge</w:t>
              </w:r>
            </w:hyperlink>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960" w:type="dxa"/>
            <w:vAlign w:val="bottom"/>
            <w:tcBorders>
              <w:top w:val="single" w:sz="8" w:color="0000FF"/>
            </w:tcBorders>
            <w:gridSpan w:val="32"/>
          </w:tcPr>
          <w:p>
            <w:pPr>
              <w:spacing w:after="0" w:line="152" w:lineRule="exact"/>
              <w:rPr>
                <w:rFonts w:ascii="Arial" w:cs="Arial" w:eastAsia="Arial" w:hAnsi="Arial"/>
                <w:sz w:val="17"/>
                <w:szCs w:val="17"/>
                <w:color w:val="0000FF"/>
              </w:rPr>
            </w:pPr>
            <w:hyperlink r:id="rId130">
              <w:r>
                <w:rPr>
                  <w:rFonts w:ascii="Arial" w:cs="Arial" w:eastAsia="Arial" w:hAnsi="Arial"/>
                  <w:sz w:val="17"/>
                  <w:szCs w:val="17"/>
                  <w:color w:val="0000FF"/>
                </w:rPr>
                <w:t>Generation LLC, the Guarantors from time to time party thereto, the Lenders from time to time party thereto, and NYDIG ABL</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9740" w:type="dxa"/>
            <w:vAlign w:val="bottom"/>
            <w:tcBorders>
              <w:top w:val="single" w:sz="8" w:color="0000FF"/>
            </w:tcBorders>
            <w:gridSpan w:val="27"/>
          </w:tcPr>
          <w:p>
            <w:pPr>
              <w:spacing w:after="0" w:line="165" w:lineRule="exact"/>
              <w:rPr>
                <w:rFonts w:ascii="Arial" w:cs="Arial" w:eastAsia="Arial" w:hAnsi="Arial"/>
                <w:sz w:val="18"/>
                <w:szCs w:val="18"/>
                <w:color w:val="0000FF"/>
              </w:rPr>
            </w:pPr>
            <w:hyperlink r:id="rId130">
              <w:r>
                <w:rPr>
                  <w:rFonts w:ascii="Arial" w:cs="Arial" w:eastAsia="Arial" w:hAnsi="Arial"/>
                  <w:sz w:val="18"/>
                  <w:szCs w:val="18"/>
                  <w:color w:val="0000FF"/>
                </w:rPr>
                <w:t>LLC (incorporated by reference to Exhibit 10.2 of the Company’s Form 8-K filed on January 30, 2023).</w:t>
              </w:r>
            </w:hyperlink>
          </w:p>
        </w:tc>
        <w:tc>
          <w:tcPr>
            <w:tcW w:w="8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10.23</w:t>
            </w:r>
          </w:p>
        </w:tc>
        <w:tc>
          <w:tcPr>
            <w:tcW w:w="9640" w:type="dxa"/>
            <w:vAlign w:val="bottom"/>
            <w:tcBorders>
              <w:bottom w:val="single" w:sz="8" w:color="0000FF"/>
            </w:tcBorders>
            <w:gridSpan w:val="24"/>
          </w:tcPr>
          <w:p>
            <w:pPr>
              <w:spacing w:after="0" w:line="205" w:lineRule="exact"/>
              <w:rPr>
                <w:rFonts w:ascii="Arial" w:cs="Arial" w:eastAsia="Arial" w:hAnsi="Arial"/>
                <w:sz w:val="18"/>
                <w:szCs w:val="18"/>
                <w:color w:val="0000FF"/>
                <w:w w:val="98"/>
              </w:rPr>
            </w:pPr>
            <w:hyperlink r:id="rId131">
              <w:r>
                <w:rPr>
                  <w:rFonts w:ascii="Arial" w:cs="Arial" w:eastAsia="Arial" w:hAnsi="Arial"/>
                  <w:sz w:val="18"/>
                  <w:szCs w:val="18"/>
                  <w:color w:val="0000FF"/>
                  <w:w w:val="98"/>
                </w:rPr>
                <w:t>Membership Interest and Asset Purchase Agreement, dated January 30, 2023, by and among NYDIG ABL LLC, Greenidge</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10040" w:type="dxa"/>
            <w:vAlign w:val="bottom"/>
            <w:gridSpan w:val="36"/>
          </w:tcPr>
          <w:p>
            <w:pPr>
              <w:spacing w:after="0" w:line="152" w:lineRule="exact"/>
              <w:rPr>
                <w:rFonts w:ascii="Arial" w:cs="Arial" w:eastAsia="Arial" w:hAnsi="Arial"/>
                <w:sz w:val="17"/>
                <w:szCs w:val="17"/>
                <w:color w:val="0000FF"/>
              </w:rPr>
            </w:pPr>
            <w:hyperlink r:id="rId131">
              <w:r>
                <w:rPr>
                  <w:rFonts w:ascii="Arial" w:cs="Arial" w:eastAsia="Arial" w:hAnsi="Arial"/>
                  <w:sz w:val="17"/>
                  <w:szCs w:val="17"/>
                  <w:color w:val="0000FF"/>
                </w:rPr>
                <w:t>Generation Holdings, Inc., Greenidge Generation LLC, GSC Collateral LLC, and GNY Collateral LLC (incorporated by reference</w:t>
              </w:r>
            </w:hyperlink>
          </w:p>
        </w:tc>
        <w:tc>
          <w:tcPr>
            <w:tcW w:w="0" w:type="dxa"/>
            <w:vAlign w:val="bottom"/>
          </w:tcPr>
          <w:p>
            <w:pPr>
              <w:spacing w:after="0"/>
              <w:rPr>
                <w:sz w:val="1"/>
                <w:szCs w:val="1"/>
                <w:color w:val="auto"/>
              </w:rPr>
            </w:pPr>
          </w:p>
        </w:tc>
      </w:tr>
      <w:tr>
        <w:trPr>
          <w:trHeight w:val="166"/>
        </w:trPr>
        <w:tc>
          <w:tcPr>
            <w:tcW w:w="1240" w:type="dxa"/>
            <w:vAlign w:val="bottom"/>
          </w:tcPr>
          <w:p>
            <w:pPr>
              <w:spacing w:after="0"/>
              <w:rPr>
                <w:sz w:val="14"/>
                <w:szCs w:val="14"/>
                <w:color w:val="auto"/>
              </w:rPr>
            </w:pPr>
          </w:p>
        </w:tc>
        <w:tc>
          <w:tcPr>
            <w:tcW w:w="10000" w:type="dxa"/>
            <w:vAlign w:val="bottom"/>
            <w:tcBorders>
              <w:top w:val="single" w:sz="8" w:color="0000FF"/>
            </w:tcBorders>
            <w:gridSpan w:val="34"/>
          </w:tcPr>
          <w:p>
            <w:pPr>
              <w:spacing w:after="0" w:line="165" w:lineRule="exact"/>
              <w:rPr>
                <w:rFonts w:ascii="Arial" w:cs="Arial" w:eastAsia="Arial" w:hAnsi="Arial"/>
                <w:sz w:val="18"/>
                <w:szCs w:val="18"/>
                <w:color w:val="0000FF"/>
              </w:rPr>
            </w:pPr>
            <w:hyperlink r:id="rId131">
              <w:r>
                <w:rPr>
                  <w:rFonts w:ascii="Arial" w:cs="Arial" w:eastAsia="Arial" w:hAnsi="Arial"/>
                  <w:sz w:val="18"/>
                  <w:szCs w:val="18"/>
                  <w:color w:val="0000FF"/>
                </w:rPr>
                <w:t>to Exhibit 10.3 of the Company’s Form 8-K filed on January 30, 2023).</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10.24</w:t>
            </w:r>
          </w:p>
        </w:tc>
        <w:tc>
          <w:tcPr>
            <w:tcW w:w="10040" w:type="dxa"/>
            <w:vAlign w:val="bottom"/>
            <w:gridSpan w:val="36"/>
          </w:tcPr>
          <w:p>
            <w:pPr>
              <w:spacing w:after="0" w:line="205" w:lineRule="exact"/>
              <w:rPr>
                <w:rFonts w:ascii="Arial" w:cs="Arial" w:eastAsia="Arial" w:hAnsi="Arial"/>
                <w:sz w:val="18"/>
                <w:szCs w:val="18"/>
                <w:color w:val="0000FF"/>
              </w:rPr>
            </w:pPr>
            <w:hyperlink r:id="rId132">
              <w:r>
                <w:rPr>
                  <w:rFonts w:ascii="Arial" w:cs="Arial" w:eastAsia="Arial" w:hAnsi="Arial"/>
                  <w:sz w:val="18"/>
                  <w:szCs w:val="18"/>
                  <w:color w:val="0000FF"/>
                </w:rPr>
                <w:t>Form of Hosting Services Agreement, dated as of January 30, 2023, between Greenidge South Carolina LLC and separate</w:t>
              </w:r>
            </w:hyperlink>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7"/>
          </w:tcPr>
          <w:p>
            <w:pPr>
              <w:spacing w:after="0" w:line="152" w:lineRule="exact"/>
              <w:rPr>
                <w:rFonts w:ascii="Arial" w:cs="Arial" w:eastAsia="Arial" w:hAnsi="Arial"/>
                <w:sz w:val="17"/>
                <w:szCs w:val="17"/>
                <w:color w:val="0000FF"/>
              </w:rPr>
            </w:pPr>
            <w:hyperlink r:id="rId132">
              <w:r>
                <w:rPr>
                  <w:rFonts w:ascii="Arial" w:cs="Arial" w:eastAsia="Arial" w:hAnsi="Arial"/>
                  <w:sz w:val="17"/>
                  <w:szCs w:val="17"/>
                  <w:color w:val="0000FF"/>
                </w:rPr>
                <w:t>NYDIG subsidiaries (incorporated by reference to Exhibit 10.4 of the Company’s Form 8-K filed on January 30, 2023).</w:t>
              </w:r>
            </w:hyperlink>
          </w:p>
        </w:tc>
        <w:tc>
          <w:tcPr>
            <w:tcW w:w="4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40" w:type="dxa"/>
            <w:vAlign w:val="bottom"/>
          </w:tcPr>
          <w:p>
            <w:pPr>
              <w:ind w:left="20"/>
              <w:spacing w:after="0"/>
              <w:rPr>
                <w:sz w:val="20"/>
                <w:szCs w:val="20"/>
                <w:color w:val="auto"/>
              </w:rPr>
            </w:pPr>
            <w:r>
              <w:rPr>
                <w:rFonts w:ascii="Arial" w:cs="Arial" w:eastAsia="Arial" w:hAnsi="Arial"/>
                <w:sz w:val="18"/>
                <w:szCs w:val="18"/>
                <w:color w:val="auto"/>
              </w:rPr>
              <w:t>10.25</w:t>
            </w:r>
          </w:p>
        </w:tc>
        <w:tc>
          <w:tcPr>
            <w:tcW w:w="10040" w:type="dxa"/>
            <w:vAlign w:val="bottom"/>
            <w:gridSpan w:val="36"/>
          </w:tcPr>
          <w:p>
            <w:pPr>
              <w:spacing w:after="0"/>
              <w:rPr>
                <w:rFonts w:ascii="Arial" w:cs="Arial" w:eastAsia="Arial" w:hAnsi="Arial"/>
                <w:sz w:val="18"/>
                <w:szCs w:val="18"/>
                <w:color w:val="0000FF"/>
                <w:w w:val="99"/>
              </w:rPr>
            </w:pPr>
            <w:hyperlink r:id="rId133">
              <w:r>
                <w:rPr>
                  <w:rFonts w:ascii="Arial" w:cs="Arial" w:eastAsia="Arial" w:hAnsi="Arial"/>
                  <w:sz w:val="18"/>
                  <w:szCs w:val="18"/>
                  <w:color w:val="0000FF"/>
                  <w:w w:val="99"/>
                </w:rPr>
                <w:t>Board Observation Rights Letter, dated as of January 30, 2023, between Greenidge Generation Holding, Inc. and NYDIG ABL</w:t>
              </w:r>
            </w:hyperlink>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820" w:type="dxa"/>
            <w:vAlign w:val="bottom"/>
            <w:tcBorders>
              <w:top w:val="single" w:sz="8" w:color="0000FF"/>
            </w:tcBorders>
            <w:gridSpan w:val="29"/>
          </w:tcPr>
          <w:p>
            <w:pPr>
              <w:spacing w:after="0" w:line="152" w:lineRule="exact"/>
              <w:rPr>
                <w:rFonts w:ascii="Arial" w:cs="Arial" w:eastAsia="Arial" w:hAnsi="Arial"/>
                <w:sz w:val="17"/>
                <w:szCs w:val="17"/>
                <w:color w:val="0000FF"/>
              </w:rPr>
            </w:pPr>
            <w:hyperlink r:id="rId133">
              <w:r>
                <w:rPr>
                  <w:rFonts w:ascii="Arial" w:cs="Arial" w:eastAsia="Arial" w:hAnsi="Arial"/>
                  <w:sz w:val="17"/>
                  <w:szCs w:val="17"/>
                  <w:color w:val="0000FF"/>
                </w:rPr>
                <w:t>LLC (incorporated by reference to Exhibit 10.5 of the Company’s Form 8-K filed on January 30, 2023).</w:t>
              </w:r>
            </w:hyperlink>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40" w:type="dxa"/>
            <w:vAlign w:val="bottom"/>
          </w:tcPr>
          <w:p>
            <w:pPr>
              <w:ind w:left="20"/>
              <w:spacing w:after="0"/>
              <w:rPr>
                <w:sz w:val="20"/>
                <w:szCs w:val="20"/>
                <w:color w:val="auto"/>
              </w:rPr>
            </w:pPr>
            <w:r>
              <w:rPr>
                <w:rFonts w:ascii="Arial" w:cs="Arial" w:eastAsia="Arial" w:hAnsi="Arial"/>
                <w:sz w:val="18"/>
                <w:szCs w:val="18"/>
                <w:color w:val="auto"/>
              </w:rPr>
              <w:t>10.26</w:t>
            </w:r>
          </w:p>
        </w:tc>
        <w:tc>
          <w:tcPr>
            <w:tcW w:w="10040" w:type="dxa"/>
            <w:vAlign w:val="bottom"/>
            <w:gridSpan w:val="36"/>
          </w:tcPr>
          <w:p>
            <w:pPr>
              <w:spacing w:after="0"/>
              <w:rPr>
                <w:rFonts w:ascii="Arial" w:cs="Arial" w:eastAsia="Arial" w:hAnsi="Arial"/>
                <w:sz w:val="18"/>
                <w:szCs w:val="18"/>
                <w:color w:val="0000FF"/>
              </w:rPr>
            </w:pPr>
            <w:hyperlink r:id="rId125">
              <w:r>
                <w:rPr>
                  <w:rFonts w:ascii="Arial" w:cs="Arial" w:eastAsia="Arial" w:hAnsi="Arial"/>
                  <w:sz w:val="18"/>
                  <w:szCs w:val="18"/>
                  <w:color w:val="0000FF"/>
                </w:rPr>
                <w:t>Consent and Amendment No. 1 to Amended and Restated Bridge Promissory Note, dated as of January 30, 2023, between</w:t>
              </w:r>
            </w:hyperlink>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964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125">
              <w:r>
                <w:rPr>
                  <w:rFonts w:ascii="Arial" w:cs="Arial" w:eastAsia="Arial" w:hAnsi="Arial"/>
                  <w:sz w:val="17"/>
                  <w:szCs w:val="17"/>
                  <w:color w:val="0000FF"/>
                </w:rPr>
                <w:t>Greenidge Generation Holdings Inc. and B. Riley Commercial Capital, LLC (incorporated by reference to Exhibit 10.6 of the</w:t>
              </w:r>
            </w:hyperlink>
          </w:p>
        </w:tc>
        <w:tc>
          <w:tcPr>
            <w:tcW w:w="4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9620" w:type="dxa"/>
            <w:vAlign w:val="bottom"/>
            <w:tcBorders>
              <w:top w:val="single" w:sz="8" w:color="0000FF"/>
            </w:tcBorders>
            <w:gridSpan w:val="23"/>
          </w:tcPr>
          <w:p>
            <w:pPr>
              <w:spacing w:after="0" w:line="165" w:lineRule="exact"/>
              <w:rPr>
                <w:rFonts w:ascii="Arial" w:cs="Arial" w:eastAsia="Arial" w:hAnsi="Arial"/>
                <w:sz w:val="18"/>
                <w:szCs w:val="18"/>
                <w:color w:val="0000FF"/>
              </w:rPr>
            </w:pPr>
            <w:hyperlink r:id="rId125">
              <w:r>
                <w:rPr>
                  <w:rFonts w:ascii="Arial" w:cs="Arial" w:eastAsia="Arial" w:hAnsi="Arial"/>
                  <w:sz w:val="18"/>
                  <w:szCs w:val="18"/>
                  <w:color w:val="0000FF"/>
                </w:rPr>
                <w:t>Company’s Form 8-K filed on January 30, 2023).</w:t>
              </w:r>
            </w:hyperlink>
          </w:p>
        </w:tc>
        <w:tc>
          <w:tcPr>
            <w:tcW w:w="4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10.27*†</w:t>
            </w:r>
          </w:p>
        </w:tc>
        <w:tc>
          <w:tcPr>
            <w:tcW w:w="10040" w:type="dxa"/>
            <w:vAlign w:val="bottom"/>
            <w:gridSpan w:val="36"/>
          </w:tcPr>
          <w:p>
            <w:pPr>
              <w:spacing w:after="0" w:line="205" w:lineRule="exact"/>
              <w:rPr>
                <w:sz w:val="20"/>
                <w:szCs w:val="20"/>
                <w:color w:val="auto"/>
              </w:rPr>
            </w:pPr>
            <w:r>
              <w:rPr>
                <w:rFonts w:ascii="Arial" w:cs="Arial" w:eastAsia="Arial" w:hAnsi="Arial"/>
                <w:sz w:val="18"/>
                <w:szCs w:val="18"/>
                <w:color w:val="0000FF"/>
              </w:rPr>
              <w:t>Offer Letter, dated October 7, 2022, between Greenidge Generation Holdings Inc. and David Anderson.</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10.28*†</w:t>
            </w:r>
          </w:p>
        </w:tc>
        <w:tc>
          <w:tcPr>
            <w:tcW w:w="8140" w:type="dxa"/>
            <w:vAlign w:val="bottom"/>
            <w:tcBorders>
              <w:bottom w:val="single" w:sz="8" w:color="0000FF"/>
            </w:tcBorders>
            <w:gridSpan w:val="11"/>
          </w:tcPr>
          <w:p>
            <w:pPr>
              <w:spacing w:after="0" w:line="205" w:lineRule="exact"/>
              <w:rPr>
                <w:sz w:val="20"/>
                <w:szCs w:val="20"/>
                <w:color w:val="auto"/>
              </w:rPr>
            </w:pPr>
            <w:r>
              <w:rPr>
                <w:rFonts w:ascii="Arial" w:cs="Arial" w:eastAsia="Arial" w:hAnsi="Arial"/>
                <w:sz w:val="18"/>
                <w:szCs w:val="18"/>
                <w:color w:val="0000FF"/>
                <w:w w:val="97"/>
              </w:rPr>
              <w:t>Offer Letter, dated October 7, 2022, between Greenidge Generation Holdings Inc. and Scott MacKenzie.</w:t>
            </w:r>
          </w:p>
        </w:tc>
        <w:tc>
          <w:tcPr>
            <w:tcW w:w="19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10.29*†</w:t>
            </w:r>
          </w:p>
        </w:tc>
        <w:tc>
          <w:tcPr>
            <w:tcW w:w="4160" w:type="dxa"/>
            <w:vAlign w:val="bottom"/>
            <w:tcBorders>
              <w:bottom w:val="single" w:sz="8" w:color="0000FF"/>
            </w:tcBorders>
            <w:gridSpan w:val="6"/>
          </w:tcPr>
          <w:p>
            <w:pPr>
              <w:spacing w:after="0" w:line="205" w:lineRule="exact"/>
              <w:rPr>
                <w:rFonts w:ascii="Arial" w:cs="Arial" w:eastAsia="Arial" w:hAnsi="Arial"/>
                <w:sz w:val="18"/>
                <w:szCs w:val="18"/>
                <w:color w:val="0000FF"/>
                <w:w w:val="97"/>
              </w:rPr>
            </w:pPr>
            <w:hyperlink r:id="rId134">
              <w:r>
                <w:rPr>
                  <w:rFonts w:ascii="Arial" w:cs="Arial" w:eastAsia="Arial" w:hAnsi="Arial"/>
                  <w:sz w:val="18"/>
                  <w:szCs w:val="18"/>
                  <w:color w:val="0000FF"/>
                  <w:w w:val="97"/>
                </w:rPr>
                <w:t>Form of Stock Option Inducement Award Agreement.</w:t>
              </w:r>
            </w:hyperlink>
          </w:p>
        </w:tc>
        <w:tc>
          <w:tcPr>
            <w:tcW w:w="58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40" w:type="dxa"/>
            <w:vAlign w:val="bottom"/>
          </w:tcPr>
          <w:p>
            <w:pPr>
              <w:ind w:left="20"/>
              <w:spacing w:after="0" w:line="205" w:lineRule="exact"/>
              <w:rPr>
                <w:sz w:val="20"/>
                <w:szCs w:val="20"/>
                <w:color w:val="auto"/>
              </w:rPr>
            </w:pPr>
            <w:r>
              <w:rPr>
                <w:rFonts w:ascii="Arial" w:cs="Arial" w:eastAsia="Arial" w:hAnsi="Arial"/>
                <w:sz w:val="18"/>
                <w:szCs w:val="18"/>
                <w:color w:val="auto"/>
              </w:rPr>
              <w:t>10.30*†</w:t>
            </w:r>
          </w:p>
        </w:tc>
        <w:tc>
          <w:tcPr>
            <w:tcW w:w="10040" w:type="dxa"/>
            <w:vAlign w:val="bottom"/>
            <w:gridSpan w:val="36"/>
          </w:tcPr>
          <w:p>
            <w:pPr>
              <w:spacing w:after="0" w:line="205" w:lineRule="exact"/>
              <w:rPr>
                <w:sz w:val="20"/>
                <w:szCs w:val="20"/>
                <w:color w:val="auto"/>
              </w:rPr>
            </w:pPr>
            <w:r>
              <w:rPr>
                <w:rFonts w:ascii="Arial" w:cs="Arial" w:eastAsia="Arial" w:hAnsi="Arial"/>
                <w:sz w:val="18"/>
                <w:szCs w:val="18"/>
                <w:color w:val="0000FF"/>
              </w:rPr>
              <w:t>Letter Agreement, dated October 10, 2022, between Greenidge Generation Holdings Inc. and Jeffrey Kirt.</w:t>
            </w:r>
          </w:p>
        </w:tc>
        <w:tc>
          <w:tcPr>
            <w:tcW w:w="0" w:type="dxa"/>
            <w:vAlign w:val="bottom"/>
          </w:tcPr>
          <w:p>
            <w:pPr>
              <w:spacing w:after="0"/>
              <w:rPr>
                <w:sz w:val="1"/>
                <w:szCs w:val="1"/>
                <w:color w:val="auto"/>
              </w:rPr>
            </w:pPr>
          </w:p>
        </w:tc>
      </w:tr>
      <w:tr>
        <w:trPr>
          <w:trHeight w:val="668"/>
        </w:trPr>
        <w:tc>
          <w:tcPr>
            <w:tcW w:w="1240" w:type="dxa"/>
            <w:vAlign w:val="bottom"/>
          </w:tcPr>
          <w:p>
            <w:pPr>
              <w:spacing w:after="0"/>
              <w:rPr>
                <w:sz w:val="24"/>
                <w:szCs w:val="24"/>
                <w:color w:val="auto"/>
              </w:rPr>
            </w:pPr>
          </w:p>
        </w:tc>
        <w:tc>
          <w:tcPr>
            <w:tcW w:w="5460" w:type="dxa"/>
            <w:vAlign w:val="bottom"/>
            <w:tcBorders>
              <w:top w:val="single" w:sz="8" w:color="0000FF"/>
            </w:tcBorders>
            <w:gridSpan w:val="7"/>
          </w:tcPr>
          <w:p>
            <w:pPr>
              <w:ind w:left="4300"/>
              <w:spacing w:after="0"/>
              <w:rPr>
                <w:sz w:val="20"/>
                <w:szCs w:val="20"/>
                <w:color w:val="auto"/>
              </w:rPr>
            </w:pPr>
            <w:r>
              <w:rPr>
                <w:rFonts w:ascii="Arial" w:cs="Arial" w:eastAsia="Arial" w:hAnsi="Arial"/>
                <w:sz w:val="18"/>
                <w:szCs w:val="18"/>
                <w:color w:val="auto"/>
              </w:rPr>
              <w:t>82</w:t>
            </w:r>
          </w:p>
        </w:tc>
        <w:tc>
          <w:tcPr>
            <w:tcW w:w="800" w:type="dxa"/>
            <w:vAlign w:val="bottom"/>
            <w:tcBorders>
              <w:top w:val="single" w:sz="8" w:color="0000FF"/>
            </w:tcBorders>
          </w:tcPr>
          <w:p>
            <w:pPr>
              <w:spacing w:after="0"/>
              <w:rPr>
                <w:sz w:val="24"/>
                <w:szCs w:val="24"/>
                <w:color w:val="auto"/>
              </w:rPr>
            </w:pPr>
          </w:p>
        </w:tc>
        <w:tc>
          <w:tcPr>
            <w:tcW w:w="1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2" w:name="page83"/>
    <w:bookmarkEnd w:id="82"/>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21.1</w:t>
            </w:r>
          </w:p>
        </w:tc>
        <w:tc>
          <w:tcPr>
            <w:tcW w:w="9820" w:type="dxa"/>
            <w:vAlign w:val="bottom"/>
            <w:gridSpan w:val="10"/>
          </w:tcPr>
          <w:p>
            <w:pPr>
              <w:spacing w:after="0"/>
              <w:rPr>
                <w:sz w:val="20"/>
                <w:szCs w:val="20"/>
                <w:color w:val="auto"/>
              </w:rPr>
            </w:pPr>
            <w:r>
              <w:rPr>
                <w:rFonts w:ascii="Arial" w:cs="Arial" w:eastAsia="Arial" w:hAnsi="Arial"/>
                <w:sz w:val="18"/>
                <w:szCs w:val="18"/>
                <w:color w:val="0000FF"/>
              </w:rPr>
              <w:t>Subsidiaries of Greenidge Generation Holdings Inc.</w:t>
            </w: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23.1</w:t>
            </w:r>
          </w:p>
        </w:tc>
        <w:tc>
          <w:tcPr>
            <w:tcW w:w="4020" w:type="dxa"/>
            <w:vAlign w:val="bottom"/>
            <w:tcBorders>
              <w:top w:val="single" w:sz="8" w:color="0000FF"/>
            </w:tcBorders>
            <w:gridSpan w:val="4"/>
          </w:tcPr>
          <w:p>
            <w:pPr>
              <w:spacing w:after="0" w:line="205" w:lineRule="exact"/>
              <w:rPr>
                <w:sz w:val="20"/>
                <w:szCs w:val="20"/>
                <w:color w:val="auto"/>
              </w:rPr>
            </w:pPr>
            <w:r>
              <w:rPr>
                <w:rFonts w:ascii="Arial" w:cs="Arial" w:eastAsia="Arial" w:hAnsi="Arial"/>
                <w:sz w:val="18"/>
                <w:szCs w:val="18"/>
                <w:color w:val="0000FF"/>
              </w:rPr>
              <w:t>Consent of Armanino LLP</w:t>
            </w:r>
          </w:p>
        </w:tc>
        <w:tc>
          <w:tcPr>
            <w:tcW w:w="5800" w:type="dxa"/>
            <w:vAlign w:val="bottom"/>
            <w:gridSpan w:val="6"/>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24.1</w:t>
            </w:r>
          </w:p>
        </w:tc>
        <w:tc>
          <w:tcPr>
            <w:tcW w:w="370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97"/>
              </w:rPr>
              <w:t>Power of Attorney (included on signature page)</w:t>
            </w:r>
          </w:p>
        </w:tc>
        <w:tc>
          <w:tcPr>
            <w:tcW w:w="6120" w:type="dxa"/>
            <w:vAlign w:val="bottom"/>
            <w:gridSpan w:val="7"/>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31.1*</w:t>
            </w:r>
          </w:p>
        </w:tc>
        <w:tc>
          <w:tcPr>
            <w:tcW w:w="9820" w:type="dxa"/>
            <w:vAlign w:val="bottom"/>
            <w:gridSpan w:val="10"/>
          </w:tcPr>
          <w:p>
            <w:pPr>
              <w:spacing w:after="0" w:line="205" w:lineRule="exact"/>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 Exchange Act of</w:t>
            </w:r>
          </w:p>
        </w:tc>
      </w:tr>
      <w:tr>
        <w:trPr>
          <w:trHeight w:val="152"/>
        </w:trPr>
        <w:tc>
          <w:tcPr>
            <w:tcW w:w="122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5"/>
          </w:tcPr>
          <w:p>
            <w:pPr>
              <w:spacing w:after="0" w:line="152"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500" w:type="dxa"/>
            <w:vAlign w:val="bottom"/>
            <w:tcBorders>
              <w:top w:val="single" w:sz="8" w:color="0000FF"/>
            </w:tcBorders>
            <w:gridSpan w:val="4"/>
          </w:tcPr>
          <w:p>
            <w:pPr>
              <w:spacing w:after="0"/>
              <w:rPr>
                <w:sz w:val="13"/>
                <w:szCs w:val="13"/>
                <w:color w:val="auto"/>
              </w:rPr>
            </w:pPr>
          </w:p>
        </w:tc>
        <w:tc>
          <w:tcPr>
            <w:tcW w:w="200" w:type="dxa"/>
            <w:vAlign w:val="bottom"/>
          </w:tcPr>
          <w:p>
            <w:pPr>
              <w:spacing w:after="0"/>
              <w:rPr>
                <w:sz w:val="13"/>
                <w:szCs w:val="13"/>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82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52"/>
        </w:trPr>
        <w:tc>
          <w:tcPr>
            <w:tcW w:w="122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5"/>
          </w:tcPr>
          <w:p>
            <w:pPr>
              <w:spacing w:after="0" w:line="152"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440" w:type="dxa"/>
            <w:vAlign w:val="bottom"/>
            <w:tcBorders>
              <w:top w:val="single" w:sz="8" w:color="0000FF"/>
            </w:tcBorders>
            <w:gridSpan w:val="3"/>
          </w:tcPr>
          <w:p>
            <w:pPr>
              <w:spacing w:after="0"/>
              <w:rPr>
                <w:sz w:val="13"/>
                <w:szCs w:val="13"/>
                <w:color w:val="auto"/>
              </w:rPr>
            </w:pPr>
          </w:p>
        </w:tc>
        <w:tc>
          <w:tcPr>
            <w:tcW w:w="260" w:type="dxa"/>
            <w:vAlign w:val="bottom"/>
            <w:gridSpan w:val="2"/>
          </w:tcPr>
          <w:p>
            <w:pPr>
              <w:spacing w:after="0"/>
              <w:rPr>
                <w:sz w:val="13"/>
                <w:szCs w:val="13"/>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82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52"/>
        </w:trPr>
        <w:tc>
          <w:tcPr>
            <w:tcW w:w="1220" w:type="dxa"/>
            <w:vAlign w:val="bottom"/>
          </w:tcPr>
          <w:p>
            <w:pPr>
              <w:spacing w:after="0"/>
              <w:rPr>
                <w:sz w:val="13"/>
                <w:szCs w:val="13"/>
                <w:color w:val="auto"/>
              </w:rPr>
            </w:pPr>
          </w:p>
        </w:tc>
        <w:tc>
          <w:tcPr>
            <w:tcW w:w="9500" w:type="dxa"/>
            <w:vAlign w:val="bottom"/>
            <w:tcBorders>
              <w:top w:val="single" w:sz="8" w:color="0000FF"/>
            </w:tcBorders>
            <w:gridSpan w:val="7"/>
          </w:tcPr>
          <w:p>
            <w:pPr>
              <w:spacing w:after="0" w:line="152" w:lineRule="exact"/>
              <w:rPr>
                <w:sz w:val="20"/>
                <w:szCs w:val="20"/>
                <w:color w:val="auto"/>
              </w:rPr>
            </w:pPr>
            <w:r>
              <w:rPr>
                <w:rFonts w:ascii="Arial" w:cs="Arial" w:eastAsia="Arial" w:hAnsi="Arial"/>
                <w:sz w:val="17"/>
                <w:szCs w:val="17"/>
                <w:color w:val="0000FF"/>
              </w:rPr>
              <w:t>Sarbanes-Oxley Act of 2002.</w:t>
            </w:r>
          </w:p>
        </w:tc>
        <w:tc>
          <w:tcPr>
            <w:tcW w:w="320" w:type="dxa"/>
            <w:vAlign w:val="bottom"/>
            <w:gridSpan w:val="3"/>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82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52"/>
        </w:trPr>
        <w:tc>
          <w:tcPr>
            <w:tcW w:w="1220" w:type="dxa"/>
            <w:vAlign w:val="bottom"/>
          </w:tcPr>
          <w:p>
            <w:pPr>
              <w:spacing w:after="0"/>
              <w:rPr>
                <w:sz w:val="13"/>
                <w:szCs w:val="13"/>
                <w:color w:val="auto"/>
              </w:rPr>
            </w:pPr>
          </w:p>
        </w:tc>
        <w:tc>
          <w:tcPr>
            <w:tcW w:w="9440" w:type="dxa"/>
            <w:vAlign w:val="bottom"/>
            <w:tcBorders>
              <w:top w:val="single" w:sz="8" w:color="0000FF"/>
            </w:tcBorders>
            <w:gridSpan w:val="6"/>
          </w:tcPr>
          <w:p>
            <w:pPr>
              <w:spacing w:after="0" w:line="152" w:lineRule="exact"/>
              <w:rPr>
                <w:sz w:val="20"/>
                <w:szCs w:val="20"/>
                <w:color w:val="auto"/>
              </w:rPr>
            </w:pPr>
            <w:r>
              <w:rPr>
                <w:rFonts w:ascii="Arial" w:cs="Arial" w:eastAsia="Arial" w:hAnsi="Arial"/>
                <w:sz w:val="17"/>
                <w:szCs w:val="17"/>
                <w:color w:val="0000FF"/>
              </w:rPr>
              <w:t>Sarbanes-Oxley Act of 2002.</w:t>
            </w:r>
          </w:p>
        </w:tc>
        <w:tc>
          <w:tcPr>
            <w:tcW w:w="380" w:type="dxa"/>
            <w:vAlign w:val="bottom"/>
            <w:gridSpan w:val="4"/>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7560" w:type="dxa"/>
            <w:vAlign w:val="bottom"/>
            <w:gridSpan w:val="8"/>
          </w:tcPr>
          <w:p>
            <w:pPr>
              <w:spacing w:after="0" w:line="20" w:lineRule="exact"/>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820" w:type="dxa"/>
            <w:vAlign w:val="bottom"/>
            <w:gridSpan w:val="10"/>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r>
      <w:tr>
        <w:trPr>
          <w:trHeight w:val="212"/>
        </w:trPr>
        <w:tc>
          <w:tcPr>
            <w:tcW w:w="1220" w:type="dxa"/>
            <w:vAlign w:val="bottom"/>
          </w:tcPr>
          <w:p>
            <w:pPr>
              <w:spacing w:after="0"/>
              <w:rPr>
                <w:sz w:val="18"/>
                <w:szCs w:val="18"/>
                <w:color w:val="auto"/>
              </w:rPr>
            </w:pPr>
          </w:p>
        </w:tc>
        <w:tc>
          <w:tcPr>
            <w:tcW w:w="982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39"/>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5"/>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5"/>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82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45" w:lineRule="exact"/>
        <w:rPr>
          <w:sz w:val="20"/>
          <w:szCs w:val="20"/>
          <w:color w:val="auto"/>
        </w:rPr>
      </w:pPr>
    </w:p>
    <w:p>
      <w:pPr>
        <w:ind w:left="920" w:hanging="896"/>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 w:lineRule="exact"/>
        <w:rPr>
          <w:sz w:val="20"/>
          <w:szCs w:val="20"/>
          <w:color w:val="auto"/>
        </w:rPr>
      </w:pPr>
    </w:p>
    <w:p>
      <w:pPr>
        <w:ind w:left="920" w:right="100" w:hanging="896"/>
        <w:spacing w:after="0" w:line="222"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certifications furnished in Exhibits 32.1 and 32.2 hereto are deemed to accompany this Annual Report on Form 10-K and will not be deemed "filed" for purposes of Section 18 of the Securities Exchange Act of 1934, as amended, and are not to be incorporated by reference into any of the Registrant’s filings under the Securities Act of 1933, as amended or the Securities Exchange Act of 1934, as amended, irrespective of general incorporation language contained in any such filing.</w:t>
      </w:r>
    </w:p>
    <w:p>
      <w:pPr>
        <w:spacing w:after="0" w:line="29" w:lineRule="exact"/>
        <w:rPr>
          <w:sz w:val="20"/>
          <w:szCs w:val="20"/>
          <w:color w:val="auto"/>
        </w:rPr>
      </w:pPr>
    </w:p>
    <w:p>
      <w:pPr>
        <w:ind w:left="920" w:right="400" w:hanging="896"/>
        <w:spacing w:after="0" w:line="247" w:lineRule="auto"/>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Certain schedules and exhibits have been omitted pursuant to Item 601(a)(5) or Item 601(b)(2) of Regulation S-K. We hereby undertake to furnish copies of the omitted schedule or exhibit upon request by the Securities and Exchange Commission.</w:t>
      </w:r>
    </w:p>
    <w:p>
      <w:pPr>
        <w:spacing w:after="0" w:line="22" w:lineRule="exact"/>
        <w:rPr>
          <w:sz w:val="20"/>
          <w:szCs w:val="20"/>
          <w:color w:val="auto"/>
        </w:rPr>
      </w:pPr>
    </w:p>
    <w:p>
      <w:pPr>
        <w:ind w:left="920" w:hanging="896"/>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26"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auto"/>
        </w:rPr>
        <w:t>GREENIDGE GENERATION HOLDINGS INC.</w:t>
      </w:r>
    </w:p>
    <w:p>
      <w:pPr>
        <w:spacing w:after="0" w:line="324" w:lineRule="exact"/>
        <w:rPr>
          <w:sz w:val="20"/>
          <w:szCs w:val="20"/>
          <w:color w:val="auto"/>
        </w:rPr>
      </w:pPr>
    </w:p>
    <w:p>
      <w:pPr>
        <w:ind w:left="20"/>
        <w:spacing w:after="0"/>
        <w:tabs>
          <w:tab w:leader="none" w:pos="5440" w:val="left"/>
          <w:tab w:leader="none" w:pos="5920" w:val="left"/>
        </w:tabs>
        <w:rPr>
          <w:sz w:val="20"/>
          <w:szCs w:val="20"/>
          <w:color w:val="auto"/>
        </w:rPr>
      </w:pPr>
      <w:r>
        <w:rPr>
          <w:rFonts w:ascii="Arial" w:cs="Arial" w:eastAsia="Arial" w:hAnsi="Arial"/>
          <w:sz w:val="18"/>
          <w:szCs w:val="18"/>
          <w:color w:val="auto"/>
        </w:rPr>
        <w:t>Date: March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C.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12065</wp:posOffset>
            </wp:positionV>
            <wp:extent cx="33820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line="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C. Anderson</w:t>
      </w:r>
    </w:p>
    <w:p>
      <w:pPr>
        <w:spacing w:after="0" w:line="3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Each person whose signature appears below constitutes and appoints David Anderson and Robert Loughran, and each one of them, as his or her true and lawful attorneys-in-fact and agents, with full power of substitution and resubstitution,</w:t>
      </w: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1152" w:right="499" w:bottom="1440" w:gutter="0" w:footer="0" w:header="0"/>
        </w:sectPr>
      </w:pPr>
    </w:p>
    <w:bookmarkStart w:id="83" w:name="page84"/>
    <w:bookmarkEnd w:id="83"/>
    <w:p>
      <w:pPr>
        <w:ind w:right="40"/>
        <w:spacing w:after="0" w:line="246" w:lineRule="auto"/>
        <w:rPr>
          <w:sz w:val="20"/>
          <w:szCs w:val="20"/>
          <w:color w:val="auto"/>
        </w:rPr>
      </w:pPr>
      <w:r>
        <w:rPr>
          <w:rFonts w:ascii="Arial" w:cs="Arial" w:eastAsia="Arial" w:hAnsi="Arial"/>
          <w:sz w:val="18"/>
          <w:szCs w:val="18"/>
          <w:color w:val="auto"/>
        </w:rPr>
        <w:t>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466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7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Date</w:t>
            </w:r>
          </w:p>
        </w:tc>
      </w:tr>
      <w:tr>
        <w:trPr>
          <w:trHeight w:val="183"/>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Chief Executive Officer (Principal Executive Officer and</w:t>
            </w:r>
          </w:p>
        </w:tc>
        <w:tc>
          <w:tcPr>
            <w:tcW w:w="2720" w:type="dxa"/>
            <w:vAlign w:val="bottom"/>
          </w:tcPr>
          <w:p>
            <w:pPr>
              <w:spacing w:after="0"/>
              <w:rPr>
                <w:sz w:val="15"/>
                <w:szCs w:val="15"/>
                <w:color w:val="auto"/>
              </w:rPr>
            </w:pPr>
          </w:p>
        </w:tc>
      </w:tr>
      <w:tr>
        <w:trPr>
          <w:trHeight w:val="226"/>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C. Anderson</w:t>
            </w:r>
          </w:p>
        </w:tc>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David C. Anderson</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8"/>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and Accounting</w:t>
            </w:r>
          </w:p>
        </w:tc>
        <w:tc>
          <w:tcPr>
            <w:tcW w:w="2720" w:type="dxa"/>
            <w:vAlign w:val="bottom"/>
          </w:tcPr>
          <w:p>
            <w:pPr>
              <w:spacing w:after="0"/>
              <w:rPr>
                <w:sz w:val="24"/>
                <w:szCs w:val="24"/>
                <w:color w:val="auto"/>
              </w:rPr>
            </w:pPr>
          </w:p>
        </w:tc>
      </w:tr>
      <w:tr>
        <w:trPr>
          <w:trHeight w:val="226"/>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Loughran</w:t>
            </w:r>
          </w:p>
        </w:tc>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Robert Loughran</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31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M. Bursky</w:t>
            </w:r>
          </w:p>
        </w:tc>
        <w:tc>
          <w:tcPr>
            <w:tcW w:w="8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Andrew M. Bursky</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31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Fazio</w:t>
            </w:r>
          </w:p>
        </w:tc>
        <w:tc>
          <w:tcPr>
            <w:tcW w:w="8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Directors</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Timothy Fazio</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Filippelli</w:t>
            </w:r>
          </w:p>
        </w:tc>
        <w:tc>
          <w:tcPr>
            <w:tcW w:w="8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David Filippelli</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Jordan Kovler</w:t>
            </w:r>
          </w:p>
        </w:tc>
        <w:tc>
          <w:tcPr>
            <w:tcW w:w="8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Jordan Kovler</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Jerome Lay</w:t>
            </w:r>
          </w:p>
        </w:tc>
        <w:tc>
          <w:tcPr>
            <w:tcW w:w="8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Jerome Lay</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31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Lowe</w:t>
            </w:r>
          </w:p>
        </w:tc>
        <w:tc>
          <w:tcPr>
            <w:tcW w:w="8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Timothy Lowe</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31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Neuscheler</w:t>
            </w:r>
          </w:p>
        </w:tc>
        <w:tc>
          <w:tcPr>
            <w:tcW w:w="8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Michael Neuscheler</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(Ted) Rogers</w:t>
            </w:r>
          </w:p>
        </w:tc>
        <w:tc>
          <w:tcPr>
            <w:tcW w:w="8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Vice Chairman of the Board of Directors</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George (Ted) Rogers</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7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Rothaupt</w:t>
            </w:r>
          </w:p>
        </w:tc>
        <w:tc>
          <w:tcPr>
            <w:tcW w:w="8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20"/>
              <w:spacing w:after="0"/>
              <w:rPr>
                <w:sz w:val="20"/>
                <w:szCs w:val="20"/>
                <w:color w:val="auto"/>
              </w:rPr>
            </w:pPr>
            <w:r>
              <w:rPr>
                <w:rFonts w:ascii="Arial" w:cs="Arial" w:eastAsia="Arial" w:hAnsi="Arial"/>
                <w:sz w:val="18"/>
                <w:szCs w:val="18"/>
                <w:color w:val="auto"/>
              </w:rPr>
              <w:t>March 31, 2023</w:t>
            </w:r>
          </w:p>
        </w:tc>
      </w:tr>
      <w:tr>
        <w:trPr>
          <w:trHeight w:val="218"/>
        </w:trPr>
        <w:tc>
          <w:tcPr>
            <w:tcW w:w="3680" w:type="dxa"/>
            <w:vAlign w:val="bottom"/>
          </w:tcPr>
          <w:p>
            <w:pPr>
              <w:ind w:left="20"/>
              <w:spacing w:after="0"/>
              <w:rPr>
                <w:sz w:val="20"/>
                <w:szCs w:val="20"/>
                <w:color w:val="auto"/>
              </w:rPr>
            </w:pPr>
            <w:r>
              <w:rPr>
                <w:rFonts w:ascii="Arial" w:cs="Arial" w:eastAsia="Arial" w:hAnsi="Arial"/>
                <w:sz w:val="18"/>
                <w:szCs w:val="18"/>
                <w:color w:val="auto"/>
              </w:rPr>
              <w:t>Daniel Rothaupt</w:t>
            </w: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742"/>
        </w:trPr>
        <w:tc>
          <w:tcPr>
            <w:tcW w:w="3680" w:type="dxa"/>
            <w:vAlign w:val="bottom"/>
          </w:tcPr>
          <w:p>
            <w:pPr>
              <w:spacing w:after="0"/>
              <w:rPr>
                <w:sz w:val="24"/>
                <w:szCs w:val="24"/>
                <w:color w:val="auto"/>
              </w:rPr>
            </w:pPr>
          </w:p>
        </w:tc>
        <w:tc>
          <w:tcPr>
            <w:tcW w:w="4740" w:type="dxa"/>
            <w:vAlign w:val="bottom"/>
            <w:gridSpan w:val="2"/>
          </w:tcPr>
          <w:p>
            <w:pPr>
              <w:jc w:val="right"/>
              <w:ind w:right="261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52"/>
        </w:trPr>
        <w:tc>
          <w:tcPr>
            <w:tcW w:w="3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0" w:type="dxa"/>
            <w:vAlign w:val="bottom"/>
            <w:gridSpan w:val="7"/>
          </w:tcPr>
          <w:p>
            <w:pPr>
              <w:jc w:val="center"/>
              <w:ind w:left="1732"/>
              <w:spacing w:after="0"/>
              <w:rPr>
                <w:sz w:val="20"/>
                <w:szCs w:val="20"/>
                <w:color w:val="auto"/>
              </w:rPr>
            </w:pPr>
            <w:r>
              <w:rPr>
                <w:rFonts w:ascii="Arial" w:cs="Arial" w:eastAsia="Arial" w:hAnsi="Arial"/>
                <w:sz w:val="18"/>
                <w:szCs w:val="18"/>
                <w:b w:val="1"/>
                <w:bCs w:val="1"/>
                <w:color w:val="auto"/>
                <w:w w:val="97"/>
              </w:rPr>
              <w:t>INDEX TO CONSOLIDATED FINANCIAL STATEMENTS</w:t>
            </w:r>
          </w:p>
        </w:tc>
        <w:tc>
          <w:tcPr>
            <w:tcW w:w="1820" w:type="dxa"/>
            <w:vAlign w:val="bottom"/>
          </w:tcPr>
          <w:p>
            <w:pPr>
              <w:spacing w:after="0"/>
              <w:rPr>
                <w:sz w:val="20"/>
                <w:szCs w:val="20"/>
                <w:color w:val="auto"/>
              </w:rPr>
            </w:pPr>
          </w:p>
        </w:tc>
      </w:tr>
      <w:tr>
        <w:trPr>
          <w:trHeight w:val="425"/>
        </w:trPr>
        <w:tc>
          <w:tcPr>
            <w:tcW w:w="2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0000FF"/>
              </w:rPr>
              <w:t>Report of Independent Registered Public Accounting Firm (PCAOB ID:</w:t>
            </w:r>
            <w:r>
              <w:rPr>
                <w:rFonts w:ascii="Arial" w:cs="Arial" w:eastAsia="Arial" w:hAnsi="Arial"/>
                <w:sz w:val="18"/>
                <w:szCs w:val="18"/>
                <w:color w:val="000000"/>
              </w:rPr>
              <w:t>32</w:t>
            </w:r>
            <w:r>
              <w:rPr>
                <w:rFonts w:ascii="Arial" w:cs="Arial" w:eastAsia="Arial" w:hAnsi="Arial"/>
                <w:sz w:val="18"/>
                <w:szCs w:val="18"/>
                <w:u w:val="single" w:color="auto"/>
                <w:color w:val="0000FF"/>
              </w:rPr>
              <w:t>)</w:t>
            </w:r>
          </w:p>
        </w:tc>
        <w:tc>
          <w:tcPr>
            <w:tcW w:w="1820" w:type="dxa"/>
            <w:vAlign w:val="bottom"/>
          </w:tcPr>
          <w:p>
            <w:pPr>
              <w:ind w:left="1540"/>
              <w:spacing w:after="0"/>
              <w:rPr>
                <w:sz w:val="20"/>
                <w:szCs w:val="20"/>
                <w:color w:val="auto"/>
              </w:rPr>
            </w:pPr>
            <w:r>
              <w:rPr>
                <w:rFonts w:ascii="Arial" w:cs="Arial" w:eastAsia="Arial" w:hAnsi="Arial"/>
                <w:sz w:val="18"/>
                <w:szCs w:val="18"/>
                <w:color w:val="auto"/>
                <w:w w:val="96"/>
              </w:rPr>
              <w:t>F-2</w:t>
            </w:r>
          </w:p>
        </w:tc>
      </w:tr>
      <w:tr>
        <w:trPr>
          <w:trHeight w:val="205"/>
        </w:trPr>
        <w:tc>
          <w:tcPr>
            <w:tcW w:w="20" w:type="dxa"/>
            <w:vAlign w:val="bottom"/>
          </w:tcPr>
          <w:p>
            <w:pPr>
              <w:spacing w:after="0"/>
              <w:rPr>
                <w:sz w:val="17"/>
                <w:szCs w:val="17"/>
                <w:color w:val="auto"/>
              </w:rPr>
            </w:pPr>
          </w:p>
        </w:tc>
        <w:tc>
          <w:tcPr>
            <w:tcW w:w="5140" w:type="dxa"/>
            <w:vAlign w:val="bottom"/>
            <w:tcBorders>
              <w:top w:val="single" w:sz="8" w:color="0000FF"/>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97"/>
              </w:rPr>
              <w:t>Consolidated Balance Sheets as of December 31, 2022 and 2021</w:t>
            </w:r>
          </w:p>
        </w:tc>
        <w:tc>
          <w:tcPr>
            <w:tcW w:w="380" w:type="dxa"/>
            <w:vAlign w:val="bottom"/>
            <w:tcBorders>
              <w:top w:val="single" w:sz="8" w:color="0000FF"/>
            </w:tcBorders>
          </w:tcPr>
          <w:p>
            <w:pPr>
              <w:spacing w:after="0"/>
              <w:rPr>
                <w:sz w:val="17"/>
                <w:szCs w:val="17"/>
                <w:color w:val="auto"/>
              </w:rPr>
            </w:pPr>
          </w:p>
        </w:tc>
        <w:tc>
          <w:tcPr>
            <w:tcW w:w="3880" w:type="dxa"/>
            <w:vAlign w:val="bottom"/>
            <w:gridSpan w:val="4"/>
          </w:tcPr>
          <w:p>
            <w:pPr>
              <w:spacing w:after="0"/>
              <w:rPr>
                <w:sz w:val="17"/>
                <w:szCs w:val="17"/>
                <w:color w:val="auto"/>
              </w:rPr>
            </w:pPr>
          </w:p>
        </w:tc>
        <w:tc>
          <w:tcPr>
            <w:tcW w:w="1820" w:type="dxa"/>
            <w:vAlign w:val="bottom"/>
          </w:tcPr>
          <w:p>
            <w:pPr>
              <w:ind w:left="1540"/>
              <w:spacing w:after="0" w:line="205" w:lineRule="exact"/>
              <w:rPr>
                <w:sz w:val="20"/>
                <w:szCs w:val="20"/>
                <w:color w:val="auto"/>
              </w:rPr>
            </w:pPr>
            <w:r>
              <w:rPr>
                <w:rFonts w:ascii="Arial" w:cs="Arial" w:eastAsia="Arial" w:hAnsi="Arial"/>
                <w:sz w:val="18"/>
                <w:szCs w:val="18"/>
                <w:color w:val="auto"/>
                <w:w w:val="96"/>
              </w:rPr>
              <w:t>F-3</w:t>
            </w:r>
          </w:p>
        </w:tc>
      </w:tr>
      <w:tr>
        <w:trPr>
          <w:trHeight w:val="205"/>
        </w:trPr>
        <w:tc>
          <w:tcPr>
            <w:tcW w:w="20" w:type="dxa"/>
            <w:vAlign w:val="bottom"/>
          </w:tcPr>
          <w:p>
            <w:pPr>
              <w:spacing w:after="0"/>
              <w:rPr>
                <w:sz w:val="17"/>
                <w:szCs w:val="17"/>
                <w:color w:val="auto"/>
              </w:rPr>
            </w:pPr>
          </w:p>
        </w:tc>
        <w:tc>
          <w:tcPr>
            <w:tcW w:w="7060" w:type="dxa"/>
            <w:vAlign w:val="bottom"/>
            <w:tcBorders>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97"/>
              </w:rPr>
              <w:t>Consolidated Statements of Operations for the Years ended December 31, 2022 and 2021</w:t>
            </w:r>
          </w:p>
        </w:tc>
        <w:tc>
          <w:tcPr>
            <w:tcW w:w="2340" w:type="dxa"/>
            <w:vAlign w:val="bottom"/>
            <w:gridSpan w:val="3"/>
          </w:tcPr>
          <w:p>
            <w:pPr>
              <w:spacing w:after="0"/>
              <w:rPr>
                <w:sz w:val="17"/>
                <w:szCs w:val="17"/>
                <w:color w:val="auto"/>
              </w:rPr>
            </w:pPr>
          </w:p>
        </w:tc>
        <w:tc>
          <w:tcPr>
            <w:tcW w:w="1820" w:type="dxa"/>
            <w:vAlign w:val="bottom"/>
          </w:tcPr>
          <w:p>
            <w:pPr>
              <w:ind w:left="1540"/>
              <w:spacing w:after="0" w:line="205" w:lineRule="exact"/>
              <w:rPr>
                <w:sz w:val="20"/>
                <w:szCs w:val="20"/>
                <w:color w:val="auto"/>
              </w:rPr>
            </w:pPr>
            <w:r>
              <w:rPr>
                <w:rFonts w:ascii="Arial" w:cs="Arial" w:eastAsia="Arial" w:hAnsi="Arial"/>
                <w:sz w:val="18"/>
                <w:szCs w:val="18"/>
                <w:color w:val="auto"/>
                <w:w w:val="96"/>
              </w:rPr>
              <w:t>F-4</w:t>
            </w:r>
          </w:p>
        </w:tc>
      </w:tr>
      <w:tr>
        <w:trPr>
          <w:trHeight w:val="205"/>
        </w:trPr>
        <w:tc>
          <w:tcPr>
            <w:tcW w:w="20" w:type="dxa"/>
            <w:vAlign w:val="bottom"/>
          </w:tcPr>
          <w:p>
            <w:pPr>
              <w:spacing w:after="0"/>
              <w:rPr>
                <w:sz w:val="17"/>
                <w:szCs w:val="17"/>
                <w:color w:val="auto"/>
              </w:rPr>
            </w:pPr>
          </w:p>
        </w:tc>
        <w:tc>
          <w:tcPr>
            <w:tcW w:w="780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97"/>
              </w:rPr>
              <w:t>Consolidated Statements of Stockholders’ Equity for the Years ended December 31, 2022 and 2021</w:t>
            </w:r>
          </w:p>
        </w:tc>
        <w:tc>
          <w:tcPr>
            <w:tcW w:w="1600" w:type="dxa"/>
            <w:vAlign w:val="bottom"/>
          </w:tcPr>
          <w:p>
            <w:pPr>
              <w:spacing w:after="0"/>
              <w:rPr>
                <w:sz w:val="17"/>
                <w:szCs w:val="17"/>
                <w:color w:val="auto"/>
              </w:rPr>
            </w:pPr>
          </w:p>
        </w:tc>
        <w:tc>
          <w:tcPr>
            <w:tcW w:w="1820" w:type="dxa"/>
            <w:vAlign w:val="bottom"/>
          </w:tcPr>
          <w:p>
            <w:pPr>
              <w:ind w:left="1540"/>
              <w:spacing w:after="0" w:line="205" w:lineRule="exact"/>
              <w:rPr>
                <w:sz w:val="20"/>
                <w:szCs w:val="20"/>
                <w:color w:val="auto"/>
              </w:rPr>
            </w:pPr>
            <w:r>
              <w:rPr>
                <w:rFonts w:ascii="Arial" w:cs="Arial" w:eastAsia="Arial" w:hAnsi="Arial"/>
                <w:sz w:val="18"/>
                <w:szCs w:val="18"/>
                <w:color w:val="auto"/>
                <w:w w:val="96"/>
              </w:rPr>
              <w:t>F-5</w:t>
            </w:r>
          </w:p>
        </w:tc>
      </w:tr>
      <w:tr>
        <w:trPr>
          <w:trHeight w:val="205"/>
        </w:trPr>
        <w:tc>
          <w:tcPr>
            <w:tcW w:w="20" w:type="dxa"/>
            <w:vAlign w:val="bottom"/>
          </w:tcPr>
          <w:p>
            <w:pPr>
              <w:spacing w:after="0"/>
              <w:rPr>
                <w:sz w:val="17"/>
                <w:szCs w:val="17"/>
                <w:color w:val="auto"/>
              </w:rPr>
            </w:pPr>
          </w:p>
        </w:tc>
        <w:tc>
          <w:tcPr>
            <w:tcW w:w="712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7"/>
              </w:rPr>
              <w:t>Consolidated Statements of Cash Flows for the Years ended December 31, 2022 and 2021</w:t>
            </w:r>
          </w:p>
        </w:tc>
        <w:tc>
          <w:tcPr>
            <w:tcW w:w="2280" w:type="dxa"/>
            <w:vAlign w:val="bottom"/>
            <w:gridSpan w:val="2"/>
          </w:tcPr>
          <w:p>
            <w:pPr>
              <w:spacing w:after="0"/>
              <w:rPr>
                <w:sz w:val="17"/>
                <w:szCs w:val="17"/>
                <w:color w:val="auto"/>
              </w:rPr>
            </w:pPr>
          </w:p>
        </w:tc>
        <w:tc>
          <w:tcPr>
            <w:tcW w:w="1820" w:type="dxa"/>
            <w:vAlign w:val="bottom"/>
          </w:tcPr>
          <w:p>
            <w:pPr>
              <w:ind w:left="1540"/>
              <w:spacing w:after="0" w:line="205" w:lineRule="exact"/>
              <w:rPr>
                <w:sz w:val="20"/>
                <w:szCs w:val="20"/>
                <w:color w:val="auto"/>
              </w:rPr>
            </w:pPr>
            <w:r>
              <w:rPr>
                <w:rFonts w:ascii="Arial" w:cs="Arial" w:eastAsia="Arial" w:hAnsi="Arial"/>
                <w:sz w:val="18"/>
                <w:szCs w:val="18"/>
                <w:color w:val="auto"/>
                <w:w w:val="96"/>
              </w:rPr>
              <w:t>F-6</w:t>
            </w:r>
          </w:p>
        </w:tc>
      </w:tr>
      <w:tr>
        <w:trPr>
          <w:trHeight w:val="205"/>
        </w:trPr>
        <w:tc>
          <w:tcPr>
            <w:tcW w:w="20" w:type="dxa"/>
            <w:vAlign w:val="bottom"/>
          </w:tcPr>
          <w:p>
            <w:pPr>
              <w:spacing w:after="0"/>
              <w:rPr>
                <w:sz w:val="17"/>
                <w:szCs w:val="17"/>
                <w:color w:val="auto"/>
              </w:rPr>
            </w:pPr>
          </w:p>
        </w:tc>
        <w:tc>
          <w:tcPr>
            <w:tcW w:w="9400" w:type="dxa"/>
            <w:vAlign w:val="bottom"/>
            <w:gridSpan w:val="7"/>
          </w:tcPr>
          <w:p>
            <w:pPr>
              <w:spacing w:after="0" w:line="205" w:lineRule="exact"/>
              <w:rPr>
                <w:sz w:val="20"/>
                <w:szCs w:val="20"/>
                <w:color w:val="auto"/>
              </w:rPr>
            </w:pPr>
            <w:r>
              <w:rPr>
                <w:rFonts w:ascii="Arial" w:cs="Arial" w:eastAsia="Arial" w:hAnsi="Arial"/>
                <w:sz w:val="18"/>
                <w:szCs w:val="18"/>
                <w:color w:val="0000FF"/>
              </w:rPr>
              <w:t>Notes to Consolidated Financial Statements</w:t>
            </w:r>
          </w:p>
        </w:tc>
        <w:tc>
          <w:tcPr>
            <w:tcW w:w="1820" w:type="dxa"/>
            <w:vAlign w:val="bottom"/>
          </w:tcPr>
          <w:p>
            <w:pPr>
              <w:ind w:left="1540"/>
              <w:spacing w:after="0" w:line="205" w:lineRule="exact"/>
              <w:rPr>
                <w:sz w:val="20"/>
                <w:szCs w:val="20"/>
                <w:color w:val="auto"/>
              </w:rPr>
            </w:pPr>
            <w:r>
              <w:rPr>
                <w:rFonts w:ascii="Arial" w:cs="Arial" w:eastAsia="Arial" w:hAnsi="Arial"/>
                <w:sz w:val="18"/>
                <w:szCs w:val="18"/>
                <w:color w:val="auto"/>
                <w:w w:val="96"/>
              </w:rPr>
              <w:t>F-7</w:t>
            </w:r>
          </w:p>
        </w:tc>
      </w:tr>
      <w:tr>
        <w:trPr>
          <w:trHeight w:val="906"/>
        </w:trPr>
        <w:tc>
          <w:tcPr>
            <w:tcW w:w="20" w:type="dxa"/>
            <w:vAlign w:val="bottom"/>
          </w:tcPr>
          <w:p>
            <w:pPr>
              <w:spacing w:after="0"/>
              <w:rPr>
                <w:sz w:val="24"/>
                <w:szCs w:val="24"/>
                <w:color w:val="auto"/>
              </w:rPr>
            </w:pPr>
          </w:p>
        </w:tc>
        <w:tc>
          <w:tcPr>
            <w:tcW w:w="3440" w:type="dxa"/>
            <w:vAlign w:val="bottom"/>
            <w:tcBorders>
              <w:top w:val="single" w:sz="8" w:color="0000FF"/>
            </w:tcBorders>
          </w:tcPr>
          <w:p>
            <w:pPr>
              <w:spacing w:after="0"/>
              <w:rPr>
                <w:sz w:val="24"/>
                <w:szCs w:val="24"/>
                <w:color w:val="auto"/>
              </w:rPr>
            </w:pPr>
          </w:p>
        </w:tc>
        <w:tc>
          <w:tcPr>
            <w:tcW w:w="1700" w:type="dxa"/>
            <w:vAlign w:val="bottom"/>
          </w:tcPr>
          <w:p>
            <w:pPr>
              <w:spacing w:after="0"/>
              <w:rPr>
                <w:sz w:val="24"/>
                <w:szCs w:val="24"/>
                <w:color w:val="auto"/>
              </w:rPr>
            </w:pPr>
          </w:p>
        </w:tc>
        <w:tc>
          <w:tcPr>
            <w:tcW w:w="4260" w:type="dxa"/>
            <w:vAlign w:val="bottom"/>
            <w:gridSpan w:val="5"/>
          </w:tcPr>
          <w:p>
            <w:pPr>
              <w:jc w:val="center"/>
              <w:ind w:right="3340"/>
              <w:spacing w:after="0"/>
              <w:rPr>
                <w:sz w:val="20"/>
                <w:szCs w:val="20"/>
                <w:color w:val="auto"/>
              </w:rPr>
            </w:pPr>
            <w:r>
              <w:rPr>
                <w:rFonts w:ascii="Arial" w:cs="Arial" w:eastAsia="Arial" w:hAnsi="Arial"/>
                <w:sz w:val="18"/>
                <w:szCs w:val="18"/>
                <w:color w:val="auto"/>
                <w:w w:val="88"/>
              </w:rPr>
              <w:t>F-1</w:t>
            </w:r>
          </w:p>
        </w:tc>
        <w:tc>
          <w:tcPr>
            <w:tcW w:w="182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85" w:name="page86"/>
    <w:bookmarkEnd w:id="8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and Stockholders</w:t>
      </w:r>
    </w:p>
    <w:p>
      <w:pPr>
        <w:spacing w:after="0" w:line="236" w:lineRule="auto"/>
        <w:rPr>
          <w:sz w:val="20"/>
          <w:szCs w:val="20"/>
          <w:color w:val="auto"/>
        </w:rPr>
      </w:pPr>
      <w:r>
        <w:rPr>
          <w:rFonts w:ascii="Arial" w:cs="Arial" w:eastAsia="Arial" w:hAnsi="Arial"/>
          <w:sz w:val="18"/>
          <w:szCs w:val="18"/>
          <w:color w:val="auto"/>
        </w:rPr>
        <w:t>of Greenidge Generation Holdings Inc. and Subsidiaries</w:t>
      </w:r>
    </w:p>
    <w:p>
      <w:pPr>
        <w:spacing w:after="0"/>
        <w:rPr>
          <w:sz w:val="20"/>
          <w:szCs w:val="20"/>
          <w:color w:val="auto"/>
        </w:rPr>
      </w:pPr>
      <w:r>
        <w:rPr>
          <w:rFonts w:ascii="Arial" w:cs="Arial" w:eastAsia="Arial" w:hAnsi="Arial"/>
          <w:sz w:val="18"/>
          <w:szCs w:val="18"/>
          <w:color w:val="auto"/>
        </w:rPr>
        <w:t>Fairfield, Connecticut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33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have audited the accompanying consolidated balance sheets of Greenidge Generation Holdings Inc. and subsidiaries ("the Company") as of December 31, 2022 and 2021, and the related consolidated statements of operations, stockholders’ equity, and cash flows for the years ended December 31, 2022 and 2021,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ended December 31, 2022 and 2021, in conformity with accounting principles generally accepted in the United States of America.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33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2 to the consolidated financial statements, the Company incurred a loss from operations and generated negative cash flows from operations during the year ended December 31, 2022. These conditions raise substantial doubt about the Company’s ability to continue as a going concern. Management’s plans regarding these matters also are described in Note 2. The consolidated financial statements do not include any adjustments that might result from the outcome of this uncertainty.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the effectiveness of the Company's internal control over financial reporting. Accordingly, we express no such opinion.</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Armanino LLP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86" w:name="page87"/>
    <w:bookmarkEnd w:id="86"/>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4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80" w:type="dxa"/>
            <w:vAlign w:val="bottom"/>
          </w:tcPr>
          <w:p>
            <w:pPr>
              <w:jc w:val="right"/>
              <w:ind w:right="41"/>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98"/>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82,599</w:t>
            </w:r>
          </w:p>
        </w:tc>
        <w:tc>
          <w:tcPr>
            <w:tcW w:w="0" w:type="dxa"/>
            <w:vAlign w:val="bottom"/>
          </w:tcPr>
          <w:p>
            <w:pPr>
              <w:spacing w:after="0"/>
              <w:rPr>
                <w:sz w:val="1"/>
                <w:szCs w:val="1"/>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Digital assets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09"/>
        </w:trPr>
        <w:tc>
          <w:tcPr>
            <w:tcW w:w="816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2,696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7,484</w:t>
            </w:r>
          </w:p>
        </w:tc>
        <w:tc>
          <w:tcPr>
            <w:tcW w:w="0" w:type="dxa"/>
            <w:vAlign w:val="bottom"/>
          </w:tcPr>
          <w:p>
            <w:pPr>
              <w:spacing w:after="0"/>
              <w:rPr>
                <w:sz w:val="1"/>
                <w:szCs w:val="1"/>
                <w:color w:val="auto"/>
              </w:rPr>
            </w:pPr>
          </w:p>
        </w:tc>
      </w:tr>
      <w:tr>
        <w:trPr>
          <w:trHeight w:val="209"/>
        </w:trPr>
        <w:tc>
          <w:tcPr>
            <w:tcW w:w="8160" w:type="dxa"/>
            <w:vAlign w:val="bottom"/>
          </w:tcPr>
          <w:p>
            <w:pPr>
              <w:ind w:left="240"/>
              <w:spacing w:after="0"/>
              <w:rPr>
                <w:sz w:val="20"/>
                <w:szCs w:val="20"/>
                <w:color w:val="auto"/>
              </w:rPr>
            </w:pPr>
            <w:r>
              <w:rPr>
                <w:rFonts w:ascii="Arial" w:cs="Arial" w:eastAsia="Arial" w:hAnsi="Arial"/>
                <w:sz w:val="16"/>
                <w:szCs w:val="16"/>
                <w:color w:val="auto"/>
              </w:rPr>
              <w:t>Emissions and carbon offset credits</w:t>
            </w: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1,260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receivable</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assets held for sale</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6,473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w:t>
            </w:r>
          </w:p>
        </w:tc>
        <w:tc>
          <w:tcPr>
            <w:tcW w:w="0" w:type="dxa"/>
            <w:vAlign w:val="bottom"/>
          </w:tcPr>
          <w:p>
            <w:pPr>
              <w:spacing w:after="0"/>
              <w:rPr>
                <w:sz w:val="1"/>
                <w:szCs w:val="1"/>
                <w:color w:val="auto"/>
              </w:rPr>
            </w:pPr>
          </w:p>
        </w:tc>
      </w:tr>
      <w:tr>
        <w:trPr>
          <w:trHeight w:val="208"/>
        </w:trPr>
        <w:tc>
          <w:tcPr>
            <w:tcW w:w="81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33,058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100,602</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130,417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216,012</w:t>
            </w:r>
          </w:p>
        </w:tc>
        <w:tc>
          <w:tcPr>
            <w:tcW w:w="0" w:type="dxa"/>
            <w:vAlign w:val="bottom"/>
          </w:tcPr>
          <w:p>
            <w:pPr>
              <w:spacing w:after="0"/>
              <w:rPr>
                <w:sz w:val="1"/>
                <w:szCs w:val="1"/>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Deferred tax assets</w:t>
            </w: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15,058</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long-term assets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25"/>
        </w:trPr>
        <w:tc>
          <w:tcPr>
            <w:tcW w:w="8160" w:type="dxa"/>
            <w:vAlign w:val="bottom"/>
          </w:tcPr>
          <w:p>
            <w:pPr>
              <w:ind w:left="240"/>
              <w:spacing w:after="0"/>
              <w:rPr>
                <w:sz w:val="20"/>
                <w:szCs w:val="20"/>
                <w:color w:val="auto"/>
              </w:rPr>
            </w:pPr>
            <w:r>
              <w:rPr>
                <w:rFonts w:ascii="Arial" w:cs="Arial" w:eastAsia="Arial" w:hAnsi="Arial"/>
                <w:sz w:val="16"/>
                <w:szCs w:val="16"/>
                <w:color w:val="auto"/>
              </w:rPr>
              <w:t>Long-term assets held for sale</w:t>
            </w:r>
          </w:p>
        </w:tc>
        <w:tc>
          <w:tcPr>
            <w:tcW w:w="1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7,942</w:t>
            </w:r>
          </w:p>
        </w:tc>
        <w:tc>
          <w:tcPr>
            <w:tcW w:w="0" w:type="dxa"/>
            <w:vAlign w:val="bottom"/>
          </w:tcPr>
          <w:p>
            <w:pPr>
              <w:spacing w:after="0"/>
              <w:rPr>
                <w:sz w:val="1"/>
                <w:szCs w:val="1"/>
                <w:color w:val="auto"/>
              </w:rPr>
            </w:pPr>
          </w:p>
        </w:tc>
      </w:tr>
      <w:tr>
        <w:trPr>
          <w:trHeight w:val="231"/>
        </w:trPr>
        <w:tc>
          <w:tcPr>
            <w:tcW w:w="81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163,767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341,267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9,608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5,749</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emissions expense</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09"/>
        </w:trPr>
        <w:tc>
          <w:tcPr>
            <w:tcW w:w="81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11,327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6,683</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Short-term environmental liability</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2,344</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Long-term debt, current portion</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67,161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19,577</w:t>
            </w:r>
          </w:p>
        </w:tc>
        <w:tc>
          <w:tcPr>
            <w:tcW w:w="0" w:type="dxa"/>
            <w:vAlign w:val="bottom"/>
          </w:tcPr>
          <w:p>
            <w:pPr>
              <w:spacing w:after="0"/>
              <w:rPr>
                <w:sz w:val="1"/>
                <w:szCs w:val="1"/>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Other short-term liabilities</w:t>
            </w: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liabilities held for sale</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3,974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4,003</w:t>
            </w:r>
          </w:p>
        </w:tc>
        <w:tc>
          <w:tcPr>
            <w:tcW w:w="0" w:type="dxa"/>
            <w:vAlign w:val="bottom"/>
          </w:tcPr>
          <w:p>
            <w:pPr>
              <w:spacing w:after="0"/>
              <w:rPr>
                <w:sz w:val="1"/>
                <w:szCs w:val="1"/>
                <w:color w:val="auto"/>
              </w:rPr>
            </w:pPr>
          </w:p>
        </w:tc>
      </w:tr>
      <w:tr>
        <w:trPr>
          <w:trHeight w:val="205"/>
        </w:trPr>
        <w:tc>
          <w:tcPr>
            <w:tcW w:w="816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98,722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41,726</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ind w:left="240"/>
              <w:spacing w:after="0"/>
              <w:rPr>
                <w:sz w:val="20"/>
                <w:szCs w:val="20"/>
                <w:color w:val="auto"/>
              </w:rPr>
            </w:pPr>
            <w:r>
              <w:rPr>
                <w:rFonts w:ascii="Arial" w:cs="Arial" w:eastAsia="Arial" w:hAnsi="Arial"/>
                <w:sz w:val="16"/>
                <w:szCs w:val="16"/>
                <w:color w:val="auto"/>
              </w:rPr>
              <w:t>Long-term debt, net of current portion and deferred financing fees</w:t>
            </w: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84,585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75,251</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Environmental liabilities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11,306</w:t>
            </w:r>
          </w:p>
        </w:tc>
        <w:tc>
          <w:tcPr>
            <w:tcW w:w="0" w:type="dxa"/>
            <w:vAlign w:val="bottom"/>
          </w:tcPr>
          <w:p>
            <w:pPr>
              <w:spacing w:after="0"/>
              <w:rPr>
                <w:sz w:val="1"/>
                <w:szCs w:val="1"/>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Other long-term liabilities</w:t>
            </w: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Long-term liabilities held for sale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5"/>
        </w:trPr>
        <w:tc>
          <w:tcPr>
            <w:tcW w:w="81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210,814</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128,844</w:t>
            </w:r>
          </w:p>
        </w:tc>
        <w:tc>
          <w:tcPr>
            <w:tcW w:w="0" w:type="dxa"/>
            <w:vAlign w:val="bottom"/>
          </w:tcPr>
          <w:p>
            <w:pPr>
              <w:spacing w:after="0"/>
              <w:rPr>
                <w:sz w:val="1"/>
                <w:szCs w:val="1"/>
                <w:color w:val="auto"/>
              </w:rPr>
            </w:pPr>
          </w:p>
        </w:tc>
      </w:tr>
      <w:tr>
        <w:trPr>
          <w:trHeight w:val="19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11)</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stock, par value $0.0001, 20,000,000 shares authorized, none outstanding</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160" w:type="dxa"/>
            <w:vAlign w:val="bottom"/>
          </w:tcPr>
          <w:p>
            <w:pPr>
              <w:ind w:left="240"/>
              <w:spacing w:after="0"/>
              <w:rPr>
                <w:sz w:val="20"/>
                <w:szCs w:val="20"/>
                <w:color w:val="auto"/>
              </w:rPr>
            </w:pPr>
            <w:r>
              <w:rPr>
                <w:rFonts w:ascii="Arial" w:cs="Arial" w:eastAsia="Arial" w:hAnsi="Arial"/>
                <w:sz w:val="16"/>
                <w:szCs w:val="16"/>
                <w:color w:val="auto"/>
                <w:w w:val="99"/>
              </w:rPr>
              <w:t>Common stock, par value $0.0001, 3,000,000,000 shares authorized, 46,252,779 and 40,865,336 shares issued</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60" w:type="dxa"/>
            <w:vAlign w:val="bottom"/>
          </w:tcPr>
          <w:p>
            <w:pPr>
              <w:ind w:left="240"/>
              <w:spacing w:after="0"/>
              <w:rPr>
                <w:sz w:val="20"/>
                <w:szCs w:val="20"/>
                <w:color w:val="auto"/>
              </w:rPr>
            </w:pPr>
            <w:r>
              <w:rPr>
                <w:rFonts w:ascii="Arial" w:cs="Arial" w:eastAsia="Arial" w:hAnsi="Arial"/>
                <w:sz w:val="16"/>
                <w:szCs w:val="16"/>
                <w:color w:val="auto"/>
              </w:rPr>
              <w:t>and outstanding as of December 31, 2022 and 2021, respectively</w:t>
            </w:r>
          </w:p>
        </w:tc>
        <w:tc>
          <w:tcPr>
            <w:tcW w:w="10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Cumulative translation adjustment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293,769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281,815</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(340,464)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(69,396)</w:t>
            </w:r>
          </w:p>
        </w:tc>
        <w:tc>
          <w:tcPr>
            <w:tcW w:w="0" w:type="dxa"/>
            <w:vAlign w:val="bottom"/>
          </w:tcPr>
          <w:p>
            <w:pPr>
              <w:spacing w:after="0"/>
              <w:rPr>
                <w:sz w:val="1"/>
                <w:szCs w:val="1"/>
                <w:color w:val="auto"/>
              </w:rPr>
            </w:pPr>
          </w:p>
        </w:tc>
      </w:tr>
      <w:tr>
        <w:trPr>
          <w:trHeight w:val="205"/>
        </w:trPr>
        <w:tc>
          <w:tcPr>
            <w:tcW w:w="81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(47,047)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212,423</w:t>
            </w: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163,767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341,267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Years Ended December 31,</w:t>
            </w:r>
          </w:p>
        </w:tc>
      </w:tr>
      <w:tr>
        <w:trPr>
          <w:trHeight w:val="204"/>
        </w:trPr>
        <w:tc>
          <w:tcPr>
            <w:tcW w:w="8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5"/>
        </w:trPr>
        <w:tc>
          <w:tcPr>
            <w:tcW w:w="8260" w:type="dxa"/>
            <w:vAlign w:val="bottom"/>
          </w:tcPr>
          <w:p>
            <w:pPr>
              <w:ind w:left="180"/>
              <w:spacing w:after="0"/>
              <w:rPr>
                <w:sz w:val="20"/>
                <w:szCs w:val="20"/>
                <w:color w:val="auto"/>
              </w:rPr>
            </w:pPr>
            <w:r>
              <w:rPr>
                <w:rFonts w:ascii="Arial" w:cs="Arial" w:eastAsia="Arial" w:hAnsi="Arial"/>
                <w:sz w:val="18"/>
                <w:szCs w:val="18"/>
                <w:color w:val="auto"/>
              </w:rPr>
              <w:t>Cryptocurrency datacenter</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73,809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87,897</w:t>
            </w:r>
          </w:p>
        </w:tc>
      </w:tr>
      <w:tr>
        <w:trPr>
          <w:trHeight w:val="225"/>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and capacity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9,428</w:t>
            </w:r>
          </w:p>
        </w:tc>
      </w:tr>
      <w:tr>
        <w:trPr>
          <w:trHeight w:val="219"/>
        </w:trPr>
        <w:tc>
          <w:tcPr>
            <w:tcW w:w="8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97,325</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8260" w:type="dxa"/>
            <w:vAlign w:val="bottom"/>
          </w:tcPr>
          <w:p>
            <w:pPr>
              <w:ind w:left="180"/>
              <w:spacing w:after="0"/>
              <w:rPr>
                <w:sz w:val="20"/>
                <w:szCs w:val="20"/>
                <w:color w:val="auto"/>
              </w:rPr>
            </w:pPr>
            <w:r>
              <w:rPr>
                <w:rFonts w:ascii="Arial" w:cs="Arial" w:eastAsia="Arial" w:hAnsi="Arial"/>
                <w:sz w:val="18"/>
                <w:szCs w:val="18"/>
                <w:color w:val="auto"/>
              </w:rPr>
              <w:t>Cost of revenue - cryptocurrency datacenter (exclusive of 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19,159</w:t>
            </w:r>
          </w:p>
        </w:tc>
      </w:tr>
      <w:tr>
        <w:trPr>
          <w:trHeight w:val="22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 power and capacity (exclusive of 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w:t>
            </w:r>
          </w:p>
        </w:tc>
      </w:tr>
      <w:tr>
        <w:trPr>
          <w:trHeight w:val="225"/>
        </w:trPr>
        <w:tc>
          <w:tcPr>
            <w:tcW w:w="82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23,989</w:t>
            </w:r>
          </w:p>
        </w:tc>
      </w:tr>
      <w:tr>
        <w:trPr>
          <w:trHeight w:val="22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r>
      <w:tr>
        <w:trPr>
          <w:trHeight w:val="225"/>
        </w:trPr>
        <w:tc>
          <w:tcPr>
            <w:tcW w:w="8260" w:type="dxa"/>
            <w:vAlign w:val="bottom"/>
          </w:tcPr>
          <w:p>
            <w:pPr>
              <w:ind w:left="240"/>
              <w:spacing w:after="0"/>
              <w:rPr>
                <w:sz w:val="20"/>
                <w:szCs w:val="20"/>
                <w:color w:val="auto"/>
              </w:rPr>
            </w:pPr>
            <w:r>
              <w:rPr>
                <w:rFonts w:ascii="Arial" w:cs="Arial" w:eastAsia="Arial" w:hAnsi="Arial"/>
                <w:sz w:val="18"/>
                <w:szCs w:val="18"/>
                <w:color w:val="auto"/>
              </w:rPr>
              <w:t>Gain on sale of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long-lived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Remeasurement of environmental liability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r>
      <w:tr>
        <w:trPr>
          <w:trHeight w:val="218"/>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64,541</w:t>
            </w:r>
          </w:p>
        </w:tc>
      </w:tr>
      <w:tr>
        <w:trPr>
          <w:trHeight w:val="218"/>
        </w:trPr>
        <w:tc>
          <w:tcPr>
            <w:tcW w:w="8260" w:type="dxa"/>
            <w:vAlign w:val="bottom"/>
          </w:tcPr>
          <w:p>
            <w:pPr>
              <w:ind w:left="20"/>
              <w:spacing w:after="0"/>
              <w:rPr>
                <w:sz w:val="20"/>
                <w:szCs w:val="20"/>
                <w:color w:val="auto"/>
              </w:rPr>
            </w:pPr>
            <w:r>
              <w:rPr>
                <w:rFonts w:ascii="Arial" w:cs="Arial" w:eastAsia="Arial" w:hAnsi="Arial"/>
                <w:sz w:val="18"/>
                <w:szCs w:val="18"/>
                <w:color w:val="auto"/>
              </w:rPr>
              <w:t>Operating (loss) income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32,784</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(3,689)</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 related party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(Loss) gain on sale of digital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continuing operations before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29,501</w:t>
            </w: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7,901</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w:t>
            </w: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(66,080)</w:t>
            </w: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per basic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8260" w:type="dxa"/>
            <w:vAlign w:val="bottom"/>
          </w:tcPr>
          <w:p>
            <w:pPr>
              <w:ind w:left="240"/>
              <w:spacing w:after="0"/>
              <w:rPr>
                <w:sz w:val="20"/>
                <w:szCs w:val="20"/>
                <w:color w:val="auto"/>
              </w:rPr>
            </w:pPr>
            <w:r>
              <w:rPr>
                <w:rFonts w:ascii="Arial" w:cs="Arial" w:eastAsia="Arial" w:hAnsi="Arial"/>
                <w:sz w:val="18"/>
                <w:szCs w:val="18"/>
                <w:color w:val="auto"/>
              </w:rPr>
              <w:t>(Loss) earnings per basic share from continuing operations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25"/>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per basic share from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9"/>
        </w:trPr>
        <w:tc>
          <w:tcPr>
            <w:tcW w:w="8260" w:type="dxa"/>
            <w:vAlign w:val="bottom"/>
          </w:tcPr>
          <w:p>
            <w:pPr>
              <w:ind w:left="20"/>
              <w:spacing w:after="0"/>
              <w:rPr>
                <w:sz w:val="20"/>
                <w:szCs w:val="20"/>
                <w:color w:val="auto"/>
              </w:rPr>
            </w:pPr>
            <w:r>
              <w:rPr>
                <w:rFonts w:ascii="Arial" w:cs="Arial" w:eastAsia="Arial" w:hAnsi="Arial"/>
                <w:sz w:val="18"/>
                <w:szCs w:val="18"/>
                <w:color w:val="auto"/>
              </w:rPr>
              <w:t>Loss per basic share</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2"/>
        </w:trPr>
        <w:tc>
          <w:tcPr>
            <w:tcW w:w="8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(Loss) earnings per diluted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earnings per diluted share from continuing operations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25"/>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Loss per diluted share from discontinued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diluted share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826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31,995</w:t>
            </w:r>
          </w:p>
        </w:tc>
      </w:tr>
      <w:tr>
        <w:trPr>
          <w:trHeight w:val="226"/>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36,635</w:t>
            </w: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88" w:name="page89"/>
    <w:bookmarkEnd w:id="88"/>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member unit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ind w:left="140"/>
              <w:spacing w:after="0"/>
              <w:rPr>
                <w:sz w:val="20"/>
                <w:szCs w:val="20"/>
                <w:color w:val="auto"/>
              </w:rPr>
            </w:pPr>
            <w:r>
              <w:rPr>
                <w:rFonts w:ascii="Arial" w:cs="Arial" w:eastAsia="Arial" w:hAnsi="Arial"/>
                <w:sz w:val="11"/>
                <w:szCs w:val="11"/>
                <w:b w:val="1"/>
                <w:bCs w:val="1"/>
                <w:color w:val="auto"/>
              </w:rPr>
              <w:t>Common Units</w:t>
            </w:r>
          </w:p>
        </w:tc>
        <w:tc>
          <w:tcPr>
            <w:tcW w:w="1300" w:type="dxa"/>
            <w:vAlign w:val="bottom"/>
            <w:gridSpan w:val="4"/>
          </w:tcPr>
          <w:p>
            <w:pPr>
              <w:ind w:left="200"/>
              <w:spacing w:after="0"/>
              <w:rPr>
                <w:sz w:val="20"/>
                <w:szCs w:val="20"/>
                <w:color w:val="auto"/>
              </w:rPr>
            </w:pPr>
            <w:r>
              <w:rPr>
                <w:rFonts w:ascii="Arial" w:cs="Arial" w:eastAsia="Arial" w:hAnsi="Arial"/>
                <w:sz w:val="11"/>
                <w:szCs w:val="11"/>
                <w:b w:val="1"/>
                <w:bCs w:val="1"/>
                <w:color w:val="auto"/>
              </w:rPr>
              <w:t>Preferred Units</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Senior Priority Units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40" w:type="dxa"/>
            <w:vAlign w:val="bottom"/>
          </w:tcPr>
          <w:p>
            <w:pPr>
              <w:spacing w:after="0"/>
              <w:rPr>
                <w:sz w:val="17"/>
                <w:szCs w:val="17"/>
                <w:color w:val="auto"/>
              </w:rPr>
            </w:pPr>
          </w:p>
        </w:tc>
        <w:tc>
          <w:tcPr>
            <w:tcW w:w="1420" w:type="dxa"/>
            <w:vAlign w:val="bottom"/>
            <w:gridSpan w:val="4"/>
          </w:tcPr>
          <w:p>
            <w:pPr>
              <w:ind w:left="240"/>
              <w:spacing w:after="0"/>
              <w:rPr>
                <w:sz w:val="20"/>
                <w:szCs w:val="20"/>
                <w:color w:val="auto"/>
              </w:rPr>
            </w:pPr>
            <w:r>
              <w:rPr>
                <w:rFonts w:ascii="Arial" w:cs="Arial" w:eastAsia="Arial" w:hAnsi="Arial"/>
                <w:sz w:val="11"/>
                <w:szCs w:val="11"/>
                <w:b w:val="1"/>
                <w:bCs w:val="1"/>
                <w:color w:val="auto"/>
              </w:rPr>
              <w:t>Preferred Stock</w:t>
            </w:r>
          </w:p>
        </w:tc>
        <w:tc>
          <w:tcPr>
            <w:tcW w:w="1420" w:type="dxa"/>
            <w:vAlign w:val="bottom"/>
            <w:gridSpan w:val="4"/>
          </w:tcPr>
          <w:p>
            <w:pPr>
              <w:ind w:left="240"/>
              <w:spacing w:after="0"/>
              <w:rPr>
                <w:sz w:val="20"/>
                <w:szCs w:val="20"/>
                <w:color w:val="auto"/>
              </w:rPr>
            </w:pPr>
            <w:r>
              <w:rPr>
                <w:rFonts w:ascii="Arial" w:cs="Arial" w:eastAsia="Arial" w:hAnsi="Arial"/>
                <w:sz w:val="11"/>
                <w:szCs w:val="11"/>
                <w:b w:val="1"/>
                <w:bCs w:val="1"/>
                <w:color w:val="auto"/>
              </w:rPr>
              <w:t>Common Stock</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Additional</w:t>
            </w: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Total</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Cumulative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9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100"/>
              <w:spacing w:after="0" w:line="106" w:lineRule="exact"/>
              <w:rPr>
                <w:sz w:val="20"/>
                <w:szCs w:val="20"/>
                <w:color w:val="auto"/>
              </w:rPr>
            </w:pPr>
            <w:r>
              <w:rPr>
                <w:rFonts w:ascii="Arial" w:cs="Arial" w:eastAsia="Arial" w:hAnsi="Arial"/>
                <w:sz w:val="11"/>
                <w:szCs w:val="11"/>
                <w:b w:val="1"/>
                <w:bCs w:val="1"/>
                <w:color w:val="auto"/>
              </w:rPr>
              <w:t>Paid - In</w:t>
            </w:r>
          </w:p>
        </w:tc>
        <w:tc>
          <w:tcPr>
            <w:tcW w:w="540" w:type="dxa"/>
            <w:vAlign w:val="bottom"/>
            <w:gridSpan w:val="2"/>
            <w:vMerge w:val="restart"/>
          </w:tcPr>
          <w:p>
            <w:pPr>
              <w:jc w:val="right"/>
              <w:ind w:right="100"/>
              <w:spacing w:after="0" w:line="106" w:lineRule="exact"/>
              <w:rPr>
                <w:sz w:val="20"/>
                <w:szCs w:val="20"/>
                <w:color w:val="auto"/>
              </w:rPr>
            </w:pPr>
            <w:r>
              <w:rPr>
                <w:rFonts w:ascii="Arial" w:cs="Arial" w:eastAsia="Arial" w:hAnsi="Arial"/>
                <w:sz w:val="11"/>
                <w:szCs w:val="11"/>
                <w:b w:val="1"/>
                <w:bCs w:val="1"/>
                <w:color w:val="auto"/>
              </w:rPr>
              <w:t>Number</w:t>
            </w:r>
          </w:p>
        </w:tc>
        <w:tc>
          <w:tcPr>
            <w:tcW w:w="660" w:type="dxa"/>
            <w:vAlign w:val="bottom"/>
            <w:gridSpan w:val="2"/>
            <w:vMerge w:val="restart"/>
          </w:tcPr>
          <w:p>
            <w:pPr>
              <w:ind w:left="20"/>
              <w:spacing w:after="0" w:line="106" w:lineRule="exact"/>
              <w:rPr>
                <w:sz w:val="20"/>
                <w:szCs w:val="20"/>
                <w:color w:val="auto"/>
              </w:rPr>
            </w:pPr>
            <w:r>
              <w:rPr>
                <w:rFonts w:ascii="Arial" w:cs="Arial" w:eastAsia="Arial" w:hAnsi="Arial"/>
                <w:sz w:val="11"/>
                <w:szCs w:val="11"/>
                <w:b w:val="1"/>
                <w:bCs w:val="1"/>
                <w:color w:val="auto"/>
              </w:rPr>
              <w:t>Members'</w:t>
            </w:r>
          </w:p>
        </w:tc>
        <w:tc>
          <w:tcPr>
            <w:tcW w:w="640" w:type="dxa"/>
            <w:vAlign w:val="bottom"/>
            <w:gridSpan w:val="2"/>
            <w:vMerge w:val="restart"/>
          </w:tcPr>
          <w:p>
            <w:pPr>
              <w:ind w:left="40"/>
              <w:spacing w:after="0" w:line="106" w:lineRule="exact"/>
              <w:rPr>
                <w:sz w:val="20"/>
                <w:szCs w:val="20"/>
                <w:color w:val="auto"/>
              </w:rPr>
            </w:pPr>
            <w:r>
              <w:rPr>
                <w:rFonts w:ascii="Arial" w:cs="Arial" w:eastAsia="Arial" w:hAnsi="Arial"/>
                <w:sz w:val="11"/>
                <w:szCs w:val="11"/>
                <w:b w:val="1"/>
                <w:bCs w:val="1"/>
                <w:color w:val="auto"/>
              </w:rPr>
              <w:t>Number</w:t>
            </w:r>
          </w:p>
        </w:tc>
        <w:tc>
          <w:tcPr>
            <w:tcW w:w="660" w:type="dxa"/>
            <w:vAlign w:val="bottom"/>
            <w:gridSpan w:val="2"/>
            <w:vMerge w:val="restart"/>
          </w:tcPr>
          <w:p>
            <w:pPr>
              <w:jc w:val="center"/>
              <w:ind w:right="80"/>
              <w:spacing w:after="0" w:line="106" w:lineRule="exact"/>
              <w:rPr>
                <w:sz w:val="20"/>
                <w:szCs w:val="20"/>
                <w:color w:val="auto"/>
              </w:rPr>
            </w:pPr>
            <w:r>
              <w:rPr>
                <w:rFonts w:ascii="Arial" w:cs="Arial" w:eastAsia="Arial" w:hAnsi="Arial"/>
                <w:sz w:val="11"/>
                <w:szCs w:val="11"/>
                <w:b w:val="1"/>
                <w:bCs w:val="1"/>
                <w:color w:val="auto"/>
              </w:rPr>
              <w:t>Members'</w:t>
            </w:r>
          </w:p>
        </w:tc>
        <w:tc>
          <w:tcPr>
            <w:tcW w:w="640" w:type="dxa"/>
            <w:vAlign w:val="bottom"/>
            <w:gridSpan w:val="2"/>
            <w:vMerge w:val="restart"/>
          </w:tcPr>
          <w:p>
            <w:pPr>
              <w:ind w:left="40"/>
              <w:spacing w:after="0" w:line="106" w:lineRule="exact"/>
              <w:rPr>
                <w:sz w:val="20"/>
                <w:szCs w:val="20"/>
                <w:color w:val="auto"/>
              </w:rPr>
            </w:pPr>
            <w:r>
              <w:rPr>
                <w:rFonts w:ascii="Arial" w:cs="Arial" w:eastAsia="Arial" w:hAnsi="Arial"/>
                <w:sz w:val="11"/>
                <w:szCs w:val="11"/>
                <w:b w:val="1"/>
                <w:bCs w:val="1"/>
                <w:color w:val="auto"/>
              </w:rPr>
              <w:t>Number</w:t>
            </w:r>
          </w:p>
        </w:tc>
        <w:tc>
          <w:tcPr>
            <w:tcW w:w="660" w:type="dxa"/>
            <w:vAlign w:val="bottom"/>
            <w:gridSpan w:val="2"/>
            <w:vMerge w:val="restart"/>
          </w:tcPr>
          <w:p>
            <w:pPr>
              <w:jc w:val="center"/>
              <w:ind w:right="80"/>
              <w:spacing w:after="0" w:line="106" w:lineRule="exact"/>
              <w:rPr>
                <w:sz w:val="20"/>
                <w:szCs w:val="20"/>
                <w:color w:val="auto"/>
              </w:rPr>
            </w:pPr>
            <w:r>
              <w:rPr>
                <w:rFonts w:ascii="Arial" w:cs="Arial" w:eastAsia="Arial" w:hAnsi="Arial"/>
                <w:sz w:val="11"/>
                <w:szCs w:val="11"/>
                <w:b w:val="1"/>
                <w:bCs w:val="1"/>
                <w:color w:val="auto"/>
              </w:rPr>
              <w:t>Members'</w:t>
            </w:r>
          </w:p>
        </w:tc>
        <w:tc>
          <w:tcPr>
            <w:tcW w:w="680" w:type="dxa"/>
            <w:vAlign w:val="bottom"/>
            <w:gridSpan w:val="2"/>
            <w:vMerge w:val="restart"/>
          </w:tcPr>
          <w:p>
            <w:pPr>
              <w:jc w:val="center"/>
              <w:ind w:right="120"/>
              <w:spacing w:after="0" w:line="106" w:lineRule="exact"/>
              <w:rPr>
                <w:sz w:val="20"/>
                <w:szCs w:val="20"/>
                <w:color w:val="auto"/>
              </w:rPr>
            </w:pPr>
            <w:r>
              <w:rPr>
                <w:rFonts w:ascii="Arial" w:cs="Arial" w:eastAsia="Arial" w:hAnsi="Arial"/>
                <w:sz w:val="11"/>
                <w:szCs w:val="11"/>
                <w:b w:val="1"/>
                <w:bCs w:val="1"/>
                <w:color w:val="auto"/>
              </w:rPr>
              <w:t>Members'</w:t>
            </w:r>
          </w:p>
        </w:tc>
        <w:tc>
          <w:tcPr>
            <w:tcW w:w="800" w:type="dxa"/>
            <w:vAlign w:val="bottom"/>
            <w:gridSpan w:val="2"/>
            <w:vMerge w:val="restart"/>
          </w:tcPr>
          <w:p>
            <w:pPr>
              <w:ind w:left="40"/>
              <w:spacing w:after="0" w:line="106" w:lineRule="exact"/>
              <w:rPr>
                <w:sz w:val="20"/>
                <w:szCs w:val="20"/>
                <w:color w:val="auto"/>
              </w:rPr>
            </w:pPr>
            <w:r>
              <w:rPr>
                <w:rFonts w:ascii="Arial" w:cs="Arial" w:eastAsia="Arial" w:hAnsi="Arial"/>
                <w:sz w:val="12"/>
                <w:szCs w:val="12"/>
                <w:b w:val="1"/>
                <w:bCs w:val="1"/>
                <w:color w:val="auto"/>
              </w:rPr>
              <w:t>Translation</w:t>
            </w:r>
          </w:p>
        </w:tc>
        <w:tc>
          <w:tcPr>
            <w:tcW w:w="840" w:type="dxa"/>
            <w:vAlign w:val="bottom"/>
            <w:gridSpan w:val="2"/>
            <w:vMerge w:val="restart"/>
          </w:tcPr>
          <w:p>
            <w:pPr>
              <w:jc w:val="center"/>
              <w:ind w:right="80"/>
              <w:spacing w:after="0" w:line="106" w:lineRule="exact"/>
              <w:rPr>
                <w:sz w:val="20"/>
                <w:szCs w:val="20"/>
                <w:color w:val="auto"/>
              </w:rPr>
            </w:pPr>
            <w:r>
              <w:rPr>
                <w:rFonts w:ascii="Arial" w:cs="Arial" w:eastAsia="Arial" w:hAnsi="Arial"/>
                <w:sz w:val="11"/>
                <w:szCs w:val="11"/>
                <w:b w:val="1"/>
                <w:bCs w:val="1"/>
                <w:color w:val="auto"/>
              </w:rPr>
              <w:t>Accumulated</w:t>
            </w: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940" w:type="dxa"/>
            <w:vAlign w:val="bottom"/>
          </w:tcPr>
          <w:p>
            <w:pPr>
              <w:spacing w:after="0"/>
              <w:rPr>
                <w:sz w:val="2"/>
                <w:szCs w:val="2"/>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60" w:type="dxa"/>
            <w:vAlign w:val="bottom"/>
            <w:vMerge w:val="restart"/>
          </w:tcPr>
          <w:p>
            <w:pPr>
              <w:jc w:val="right"/>
              <w:ind w:right="13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line="20" w:lineRule="exact"/>
              <w:rPr>
                <w:sz w:val="1"/>
                <w:szCs w:val="1"/>
                <w:color w:val="auto"/>
              </w:rPr>
            </w:pPr>
          </w:p>
        </w:tc>
      </w:tr>
      <w:tr>
        <w:trPr>
          <w:trHeight w:val="159"/>
        </w:trPr>
        <w:tc>
          <w:tcPr>
            <w:tcW w:w="9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Capital</w:t>
            </w:r>
          </w:p>
        </w:tc>
        <w:tc>
          <w:tcPr>
            <w:tcW w:w="5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of Units</w:t>
            </w: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Capital</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Units</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Capital</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Units</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Capital</w:t>
            </w: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Capital</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Adjustment</w:t>
            </w: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Deficit</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40" w:type="dxa"/>
            <w:vAlign w:val="bottom"/>
            <w:tcBorders>
              <w:top w:val="single" w:sz="8" w:color="CCEEFF"/>
            </w:tcBorders>
            <w:shd w:val="clear" w:color="auto" w:fill="CCEEFF"/>
          </w:tcPr>
          <w:p>
            <w:pPr>
              <w:ind w:left="20"/>
              <w:spacing w:after="0" w:line="126" w:lineRule="exact"/>
              <w:rPr>
                <w:sz w:val="20"/>
                <w:szCs w:val="20"/>
                <w:color w:val="auto"/>
              </w:rPr>
            </w:pPr>
            <w:r>
              <w:rPr>
                <w:rFonts w:ascii="Arial" w:cs="Arial" w:eastAsia="Arial" w:hAnsi="Arial"/>
                <w:sz w:val="14"/>
                <w:szCs w:val="14"/>
                <w:b w:val="1"/>
                <w:bCs w:val="1"/>
                <w:color w:val="auto"/>
              </w:rPr>
              <w:t>Balance at</w:t>
            </w: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94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b w:val="1"/>
                <w:bCs w:val="1"/>
                <w:color w:val="auto"/>
              </w:rPr>
              <w:t>January 1,</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39,228</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39,074</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30,202</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$ 69,276</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  (24,916)</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$ 44,360</w:t>
            </w:r>
          </w:p>
        </w:tc>
        <w:tc>
          <w:tcPr>
            <w:tcW w:w="0" w:type="dxa"/>
            <w:vAlign w:val="bottom"/>
          </w:tcPr>
          <w:p>
            <w:pPr>
              <w:spacing w:after="0"/>
              <w:rPr>
                <w:sz w:val="1"/>
                <w:szCs w:val="1"/>
                <w:color w:val="auto"/>
              </w:rPr>
            </w:pPr>
          </w:p>
        </w:tc>
      </w:tr>
      <w:tr>
        <w:trPr>
          <w:trHeight w:val="186"/>
        </w:trPr>
        <w:tc>
          <w:tcPr>
            <w:tcW w:w="9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2021</w:t>
            </w:r>
          </w:p>
        </w:tc>
        <w:tc>
          <w:tcPr>
            <w:tcW w:w="8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40" w:type="dxa"/>
            <w:vAlign w:val="bottom"/>
          </w:tcPr>
          <w:p>
            <w:pPr>
              <w:ind w:left="20"/>
              <w:spacing w:after="0"/>
              <w:rPr>
                <w:sz w:val="20"/>
                <w:szCs w:val="20"/>
                <w:color w:val="auto"/>
              </w:rPr>
            </w:pPr>
            <w:r>
              <w:rPr>
                <w:rFonts w:ascii="Arial" w:cs="Arial" w:eastAsia="Arial" w:hAnsi="Arial"/>
                <w:sz w:val="14"/>
                <w:szCs w:val="14"/>
                <w:color w:val="auto"/>
              </w:rPr>
              <w:t>Contribution</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of Preferred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tcPr>
          <w:p>
            <w:pPr>
              <w:ind w:left="20"/>
              <w:spacing w:after="0"/>
              <w:rPr>
                <w:sz w:val="20"/>
                <w:szCs w:val="20"/>
                <w:color w:val="auto"/>
              </w:rPr>
            </w:pPr>
            <w:r>
              <w:rPr>
                <w:rFonts w:ascii="Arial" w:cs="Arial" w:eastAsia="Arial" w:hAnsi="Arial"/>
                <w:sz w:val="14"/>
                <w:szCs w:val="14"/>
                <w:color w:val="auto"/>
              </w:rPr>
              <w:t>Units, Senior</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ind w:left="20"/>
              <w:spacing w:after="0"/>
              <w:rPr>
                <w:sz w:val="20"/>
                <w:szCs w:val="20"/>
                <w:color w:val="auto"/>
              </w:rPr>
            </w:pPr>
            <w:r>
              <w:rPr>
                <w:rFonts w:ascii="Arial" w:cs="Arial" w:eastAsia="Arial" w:hAnsi="Arial"/>
                <w:sz w:val="14"/>
                <w:szCs w:val="14"/>
                <w:color w:val="auto"/>
              </w:rPr>
              <w:t>Priority Units,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and notes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payable to</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related party</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tcPr>
          <w:p>
            <w:pPr>
              <w:ind w:left="20"/>
              <w:spacing w:after="0"/>
              <w:rPr>
                <w:sz w:val="20"/>
                <w:szCs w:val="20"/>
                <w:color w:val="auto"/>
              </w:rPr>
            </w:pPr>
            <w:r>
              <w:rPr>
                <w:rFonts w:ascii="Arial" w:cs="Arial" w:eastAsia="Arial" w:hAnsi="Arial"/>
                <w:sz w:val="14"/>
                <w:szCs w:val="14"/>
                <w:color w:val="auto"/>
              </w:rPr>
              <w:t>for Greenidge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ind w:left="20"/>
              <w:spacing w:after="0"/>
              <w:rPr>
                <w:sz w:val="20"/>
                <w:szCs w:val="20"/>
                <w:color w:val="auto"/>
              </w:rPr>
            </w:pPr>
            <w:r>
              <w:rPr>
                <w:rFonts w:ascii="Arial" w:cs="Arial" w:eastAsia="Arial" w:hAnsi="Arial"/>
                <w:sz w:val="14"/>
                <w:szCs w:val="14"/>
                <w:color w:val="auto"/>
              </w:rPr>
              <w:t>class B</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common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40" w:type="dxa"/>
            <w:vAlign w:val="bottom"/>
          </w:tcPr>
          <w:p>
            <w:pPr>
              <w:ind w:left="20"/>
              <w:spacing w:after="0"/>
              <w:rPr>
                <w:sz w:val="20"/>
                <w:szCs w:val="20"/>
                <w:color w:val="auto"/>
              </w:rPr>
            </w:pPr>
            <w:r>
              <w:rPr>
                <w:rFonts w:ascii="Arial" w:cs="Arial" w:eastAsia="Arial" w:hAnsi="Arial"/>
                <w:sz w:val="14"/>
                <w:szCs w:val="14"/>
                <w:color w:val="auto"/>
              </w:rPr>
              <w:t>stock (Note 7)</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9"/>
              </w:rPr>
              <w:t>26,800,300</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72,045</w:t>
            </w: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560" w:type="dxa"/>
            <w:vAlign w:val="bottom"/>
          </w:tcPr>
          <w:p>
            <w:pPr>
              <w:ind w:left="20"/>
              <w:spacing w:after="0"/>
              <w:rPr>
                <w:sz w:val="20"/>
                <w:szCs w:val="20"/>
                <w:color w:val="auto"/>
              </w:rPr>
            </w:pPr>
            <w:r>
              <w:rPr>
                <w:rFonts w:ascii="Arial" w:cs="Arial" w:eastAsia="Arial" w:hAnsi="Arial"/>
                <w:sz w:val="14"/>
                <w:szCs w:val="14"/>
                <w:color w:val="auto"/>
                <w:w w:val="99"/>
              </w:rPr>
              <w:t>(39,228)</w:t>
            </w: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(39,074)</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(10,000)</w:t>
            </w: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(30,202)</w:t>
            </w: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9"/>
              </w:rPr>
              <w:t>(69,276)</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2,772</w:t>
            </w:r>
          </w:p>
        </w:tc>
        <w:tc>
          <w:tcPr>
            <w:tcW w:w="0" w:type="dxa"/>
            <w:vAlign w:val="bottom"/>
          </w:tcPr>
          <w:p>
            <w:pPr>
              <w:spacing w:after="0"/>
              <w:rPr>
                <w:sz w:val="1"/>
                <w:szCs w:val="1"/>
                <w:color w:val="auto"/>
              </w:rPr>
            </w:pPr>
          </w:p>
        </w:tc>
      </w:tr>
      <w:tr>
        <w:trPr>
          <w:trHeight w:val="207"/>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GGH</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 for</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Greenidge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B</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(Note 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1,199,700</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940" w:type="dxa"/>
            <w:vAlign w:val="bottom"/>
          </w:tcPr>
          <w:p>
            <w:pPr>
              <w:ind w:left="20"/>
              <w:spacing w:after="0"/>
              <w:rPr>
                <w:sz w:val="20"/>
                <w:szCs w:val="20"/>
                <w:color w:val="auto"/>
              </w:rPr>
            </w:pPr>
            <w:r>
              <w:rPr>
                <w:rFonts w:ascii="Arial" w:cs="Arial" w:eastAsia="Arial" w:hAnsi="Arial"/>
                <w:sz w:val="14"/>
                <w:szCs w:val="14"/>
                <w:color w:val="auto"/>
              </w:rPr>
              <w:t>Proceeds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from issuance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tcPr>
          <w:p>
            <w:pPr>
              <w:ind w:left="20"/>
              <w:spacing w:after="0"/>
              <w:rPr>
                <w:sz w:val="20"/>
                <w:szCs w:val="20"/>
                <w:color w:val="auto"/>
              </w:rPr>
            </w:pPr>
            <w:r>
              <w:rPr>
                <w:rFonts w:ascii="Arial" w:cs="Arial" w:eastAsia="Arial" w:hAnsi="Arial"/>
                <w:sz w:val="14"/>
                <w:szCs w:val="14"/>
                <w:color w:val="auto"/>
              </w:rPr>
              <w:t>of preferred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ind w:left="20"/>
              <w:spacing w:after="0"/>
              <w:rPr>
                <w:sz w:val="20"/>
                <w:szCs w:val="20"/>
                <w:color w:val="auto"/>
              </w:rPr>
            </w:pPr>
            <w:r>
              <w:rPr>
                <w:rFonts w:ascii="Arial" w:cs="Arial" w:eastAsia="Arial" w:hAnsi="Arial"/>
                <w:sz w:val="14"/>
                <w:szCs w:val="14"/>
                <w:color w:val="auto"/>
              </w:rPr>
              <w:t>stock, net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issuance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costs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tcPr>
          <w:p>
            <w:pPr>
              <w:ind w:left="20"/>
              <w:spacing w:after="0"/>
              <w:rPr>
                <w:sz w:val="20"/>
                <w:szCs w:val="20"/>
                <w:color w:val="auto"/>
              </w:rPr>
            </w:pPr>
            <w:r>
              <w:rPr>
                <w:rFonts w:ascii="Arial" w:cs="Arial" w:eastAsia="Arial" w:hAnsi="Arial"/>
                <w:sz w:val="14"/>
                <w:szCs w:val="14"/>
                <w:color w:val="auto"/>
              </w:rPr>
              <w:t>$3,387 (Note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4"/>
                <w:szCs w:val="14"/>
                <w:color w:val="auto"/>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1,620,000</w:t>
            </w:r>
          </w:p>
        </w:tc>
        <w:tc>
          <w:tcPr>
            <w:tcW w:w="80" w:type="dxa"/>
            <w:vAlign w:val="bottom"/>
          </w:tcPr>
          <w:p>
            <w:pPr>
              <w:spacing w:after="0"/>
              <w:rPr>
                <w:sz w:val="16"/>
                <w:szCs w:val="16"/>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37,112</w:t>
            </w: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37,113</w:t>
            </w:r>
          </w:p>
        </w:tc>
        <w:tc>
          <w:tcPr>
            <w:tcW w:w="0" w:type="dxa"/>
            <w:vAlign w:val="bottom"/>
          </w:tcPr>
          <w:p>
            <w:pPr>
              <w:spacing w:after="0"/>
              <w:rPr>
                <w:sz w:val="1"/>
                <w:szCs w:val="1"/>
                <w:color w:val="auto"/>
              </w:rPr>
            </w:pPr>
          </w:p>
        </w:tc>
      </w:tr>
      <w:tr>
        <w:trPr>
          <w:trHeight w:val="207"/>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3,770</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201"/>
        </w:trPr>
        <w:tc>
          <w:tcPr>
            <w:tcW w:w="940" w:type="dxa"/>
            <w:vAlign w:val="bottom"/>
          </w:tcPr>
          <w:p>
            <w:pPr>
              <w:ind w:left="20"/>
              <w:spacing w:after="0"/>
              <w:rPr>
                <w:sz w:val="20"/>
                <w:szCs w:val="20"/>
                <w:color w:val="auto"/>
              </w:rPr>
            </w:pPr>
            <w:r>
              <w:rPr>
                <w:rFonts w:ascii="Arial" w:cs="Arial" w:eastAsia="Arial" w:hAnsi="Arial"/>
                <w:sz w:val="14"/>
                <w:szCs w:val="14"/>
                <w:color w:val="auto"/>
              </w:rPr>
              <w:t>Proceeds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from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tcPr>
          <w:p>
            <w:pPr>
              <w:ind w:left="20"/>
              <w:spacing w:after="0"/>
              <w:rPr>
                <w:sz w:val="20"/>
                <w:szCs w:val="20"/>
                <w:color w:val="auto"/>
              </w:rPr>
            </w:pPr>
            <w:r>
              <w:rPr>
                <w:rFonts w:ascii="Arial" w:cs="Arial" w:eastAsia="Arial" w:hAnsi="Arial"/>
                <w:sz w:val="14"/>
                <w:szCs w:val="14"/>
                <w:color w:val="auto"/>
              </w:rPr>
              <w:t>options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4"/>
                <w:szCs w:val="14"/>
                <w:color w:val="auto"/>
              </w:rPr>
              <w:t>exercised</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160,000</w:t>
            </w: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6"/>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issued</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purchase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miners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160,000</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991</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201"/>
        </w:trPr>
        <w:tc>
          <w:tcPr>
            <w:tcW w:w="940" w:type="dxa"/>
            <w:vAlign w:val="bottom"/>
          </w:tcPr>
          <w:p>
            <w:pPr>
              <w:ind w:left="20"/>
              <w:spacing w:after="0"/>
              <w:rPr>
                <w:sz w:val="20"/>
                <w:szCs w:val="20"/>
                <w:color w:val="auto"/>
              </w:rPr>
            </w:pPr>
            <w:r>
              <w:rPr>
                <w:rFonts w:ascii="Arial" w:cs="Arial" w:eastAsia="Arial" w:hAnsi="Arial"/>
                <w:sz w:val="14"/>
                <w:szCs w:val="14"/>
                <w:color w:val="auto"/>
              </w:rPr>
              <w:t>Shares issued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to</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tcPr>
          <w:p>
            <w:pPr>
              <w:ind w:left="20"/>
              <w:spacing w:after="0"/>
              <w:rPr>
                <w:sz w:val="20"/>
                <w:szCs w:val="20"/>
                <w:color w:val="auto"/>
              </w:rPr>
            </w:pPr>
            <w:r>
              <w:rPr>
                <w:rFonts w:ascii="Arial" w:cs="Arial" w:eastAsia="Arial" w:hAnsi="Arial"/>
                <w:sz w:val="14"/>
                <w:szCs w:val="14"/>
                <w:color w:val="auto"/>
              </w:rPr>
              <w:t>Support.com</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upon Merger,</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net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issuance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tcPr>
          <w:p>
            <w:pPr>
              <w:ind w:left="20"/>
              <w:spacing w:after="0"/>
              <w:rPr>
                <w:sz w:val="20"/>
                <w:szCs w:val="20"/>
                <w:color w:val="auto"/>
              </w:rPr>
            </w:pPr>
            <w:r>
              <w:rPr>
                <w:rFonts w:ascii="Arial" w:cs="Arial" w:eastAsia="Arial" w:hAnsi="Arial"/>
                <w:sz w:val="14"/>
                <w:szCs w:val="14"/>
                <w:color w:val="auto"/>
              </w:rPr>
              <w:t>costs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ind w:left="20"/>
              <w:spacing w:after="0"/>
              <w:rPr>
                <w:sz w:val="20"/>
                <w:szCs w:val="20"/>
                <w:color w:val="auto"/>
              </w:rPr>
            </w:pPr>
            <w:r>
              <w:rPr>
                <w:rFonts w:ascii="Arial" w:cs="Arial" w:eastAsia="Arial" w:hAnsi="Arial"/>
                <w:sz w:val="14"/>
                <w:szCs w:val="14"/>
                <w:color w:val="auto"/>
              </w:rPr>
              <w:t>$2,297 (Note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40" w:type="dxa"/>
            <w:vAlign w:val="bottom"/>
          </w:tcPr>
          <w:p>
            <w:pPr>
              <w:ind w:left="20"/>
              <w:spacing w:after="0"/>
              <w:rPr>
                <w:sz w:val="20"/>
                <w:szCs w:val="20"/>
                <w:color w:val="auto"/>
              </w:rPr>
            </w:pPr>
            <w:r>
              <w:rPr>
                <w:rFonts w:ascii="Arial" w:cs="Arial" w:eastAsia="Arial" w:hAnsi="Arial"/>
                <w:sz w:val="14"/>
                <w:szCs w:val="14"/>
                <w:color w:val="auto"/>
              </w:rPr>
              <w:t>7)</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2,960,731</w:t>
            </w: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91,588</w:t>
            </w: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91,588</w:t>
            </w:r>
          </w:p>
        </w:tc>
        <w:tc>
          <w:tcPr>
            <w:tcW w:w="0" w:type="dxa"/>
            <w:vAlign w:val="bottom"/>
          </w:tcPr>
          <w:p>
            <w:pPr>
              <w:spacing w:after="0"/>
              <w:rPr>
                <w:sz w:val="1"/>
                <w:szCs w:val="1"/>
                <w:color w:val="auto"/>
              </w:rPr>
            </w:pPr>
          </w:p>
        </w:tc>
      </w:tr>
      <w:tr>
        <w:trPr>
          <w:trHeight w:val="207"/>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for</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investor fee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associated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successful</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completion of</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 (Note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562,174</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17,826</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17,826</w:t>
            </w:r>
          </w:p>
        </w:tc>
        <w:tc>
          <w:tcPr>
            <w:tcW w:w="0" w:type="dxa"/>
            <w:vAlign w:val="bottom"/>
          </w:tcPr>
          <w:p>
            <w:pPr>
              <w:spacing w:after="0"/>
              <w:rPr>
                <w:sz w:val="1"/>
                <w:szCs w:val="1"/>
                <w:color w:val="auto"/>
              </w:rPr>
            </w:pPr>
          </w:p>
        </w:tc>
      </w:tr>
      <w:tr>
        <w:trPr>
          <w:trHeight w:val="201"/>
        </w:trPr>
        <w:tc>
          <w:tcPr>
            <w:tcW w:w="940" w:type="dxa"/>
            <w:vAlign w:val="bottom"/>
          </w:tcPr>
          <w:p>
            <w:pPr>
              <w:ind w:left="20"/>
              <w:spacing w:after="0"/>
              <w:rPr>
                <w:sz w:val="20"/>
                <w:szCs w:val="20"/>
                <w:color w:val="auto"/>
              </w:rPr>
            </w:pPr>
            <w:r>
              <w:rPr>
                <w:rFonts w:ascii="Arial" w:cs="Arial" w:eastAsia="Arial" w:hAnsi="Arial"/>
                <w:sz w:val="14"/>
                <w:szCs w:val="14"/>
                <w:color w:val="auto"/>
              </w:rPr>
              <w:t>Issuance of</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warrants to</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tcPr>
          <w:p>
            <w:pPr>
              <w:ind w:left="20"/>
              <w:spacing w:after="0"/>
              <w:rPr>
                <w:sz w:val="20"/>
                <w:szCs w:val="20"/>
                <w:color w:val="auto"/>
              </w:rPr>
            </w:pPr>
            <w:r>
              <w:rPr>
                <w:rFonts w:ascii="Arial" w:cs="Arial" w:eastAsia="Arial" w:hAnsi="Arial"/>
                <w:sz w:val="14"/>
                <w:szCs w:val="14"/>
                <w:color w:val="auto"/>
              </w:rPr>
              <w:t>advisor in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ind w:left="20"/>
              <w:spacing w:after="0"/>
              <w:rPr>
                <w:sz w:val="20"/>
                <w:szCs w:val="20"/>
                <w:color w:val="auto"/>
              </w:rPr>
            </w:pPr>
            <w:r>
              <w:rPr>
                <w:rFonts w:ascii="Arial" w:cs="Arial" w:eastAsia="Arial" w:hAnsi="Arial"/>
                <w:sz w:val="14"/>
                <w:szCs w:val="14"/>
                <w:color w:val="auto"/>
              </w:rPr>
              <w:t>connection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with</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completion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Merger (Note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40" w:type="dxa"/>
            <w:vAlign w:val="bottom"/>
          </w:tcPr>
          <w:p>
            <w:pPr>
              <w:ind w:left="20"/>
              <w:spacing w:after="0"/>
              <w:rPr>
                <w:sz w:val="20"/>
                <w:szCs w:val="20"/>
                <w:color w:val="auto"/>
              </w:rPr>
            </w:pPr>
            <w:r>
              <w:rPr>
                <w:rFonts w:ascii="Arial" w:cs="Arial" w:eastAsia="Arial" w:hAnsi="Arial"/>
                <w:sz w:val="14"/>
                <w:szCs w:val="14"/>
                <w:color w:val="auto"/>
              </w:rPr>
              <w:t>7)</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8,779</w:t>
            </w:r>
          </w:p>
        </w:tc>
        <w:tc>
          <w:tcPr>
            <w:tcW w:w="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8,779</w:t>
            </w:r>
          </w:p>
        </w:tc>
        <w:tc>
          <w:tcPr>
            <w:tcW w:w="0" w:type="dxa"/>
            <w:vAlign w:val="bottom"/>
          </w:tcPr>
          <w:p>
            <w:pPr>
              <w:spacing w:after="0"/>
              <w:rPr>
                <w:sz w:val="1"/>
                <w:szCs w:val="1"/>
                <w:color w:val="auto"/>
              </w:rPr>
            </w:pPr>
          </w:p>
        </w:tc>
      </w:tr>
      <w:tr>
        <w:trPr>
          <w:trHeight w:val="206"/>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 (Note 7) (1,620,000)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6,480,000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940" w:type="dxa"/>
            <w:vAlign w:val="bottom"/>
          </w:tcPr>
          <w:p>
            <w:pPr>
              <w:ind w:left="20"/>
              <w:spacing w:after="0"/>
              <w:rPr>
                <w:sz w:val="20"/>
                <w:szCs w:val="20"/>
                <w:color w:val="auto"/>
              </w:rPr>
            </w:pPr>
            <w:r>
              <w:rPr>
                <w:rFonts w:ascii="Arial" w:cs="Arial" w:eastAsia="Arial" w:hAnsi="Arial"/>
                <w:sz w:val="14"/>
                <w:szCs w:val="14"/>
                <w:color w:val="auto"/>
              </w:rPr>
              <w:t>Shares issued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upon exercise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40" w:type="dxa"/>
            <w:vAlign w:val="bottom"/>
          </w:tcPr>
          <w:p>
            <w:pPr>
              <w:ind w:left="20"/>
              <w:spacing w:after="0"/>
              <w:rPr>
                <w:sz w:val="20"/>
                <w:szCs w:val="20"/>
                <w:color w:val="auto"/>
              </w:rPr>
            </w:pPr>
            <w:r>
              <w:rPr>
                <w:rFonts w:ascii="Arial" w:cs="Arial" w:eastAsia="Arial" w:hAnsi="Arial"/>
                <w:sz w:val="14"/>
                <w:szCs w:val="14"/>
                <w:color w:val="auto"/>
              </w:rPr>
              <w:t>of warrants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344,800</w:t>
            </w: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2,155</w:t>
            </w:r>
          </w:p>
        </w:tc>
        <w:tc>
          <w:tcPr>
            <w:tcW w:w="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2,155</w:t>
            </w:r>
          </w:p>
        </w:tc>
        <w:tc>
          <w:tcPr>
            <w:tcW w:w="0" w:type="dxa"/>
            <w:vAlign w:val="bottom"/>
          </w:tcPr>
          <w:p>
            <w:pPr>
              <w:spacing w:after="0"/>
              <w:rPr>
                <w:sz w:val="1"/>
                <w:szCs w:val="1"/>
                <w:color w:val="auto"/>
              </w:rPr>
            </w:pPr>
          </w:p>
        </w:tc>
      </w:tr>
      <w:tr>
        <w:trPr>
          <w:trHeight w:val="206"/>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net of</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$3,510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2,132,500</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47,443</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47,443</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Restricted</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 award</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issuance, net</w:t>
      </w:r>
    </w:p>
    <w:p>
      <w:pPr>
        <w:sectPr>
          <w:pgSz w:w="11900" w:h="16936" w:orient="portrait"/>
          <w:cols w:equalWidth="0" w:num="1">
            <w:col w:w="11340"/>
          </w:cols>
          <w:pgMar w:left="320" w:top="753" w:right="239" w:bottom="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940" w:type="dxa"/>
            <w:vAlign w:val="bottom"/>
          </w:tcPr>
          <w:p>
            <w:pPr>
              <w:ind w:left="20"/>
              <w:spacing w:after="0"/>
              <w:rPr>
                <w:sz w:val="20"/>
                <w:szCs w:val="20"/>
                <w:color w:val="auto"/>
              </w:rPr>
            </w:pPr>
            <w:r>
              <w:rPr>
                <w:rFonts w:ascii="Arial" w:cs="Arial" w:eastAsia="Arial" w:hAnsi="Arial"/>
                <w:sz w:val="14"/>
                <w:szCs w:val="14"/>
                <w:color w:val="auto"/>
              </w:rPr>
              <w:t>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40" w:type="dxa"/>
            <w:vAlign w:val="bottom"/>
          </w:tcPr>
          <w:p>
            <w:pPr>
              <w:ind w:left="20"/>
              <w:spacing w:after="0"/>
              <w:rPr>
                <w:sz w:val="20"/>
                <w:szCs w:val="20"/>
                <w:color w:val="auto"/>
              </w:rPr>
            </w:pPr>
            <w:r>
              <w:rPr>
                <w:rFonts w:ascii="Arial" w:cs="Arial" w:eastAsia="Arial" w:hAnsi="Arial"/>
                <w:sz w:val="14"/>
                <w:szCs w:val="14"/>
                <w:color w:val="auto"/>
              </w:rPr>
              <w:t>withholdings</w:t>
            </w:r>
          </w:p>
        </w:tc>
        <w:tc>
          <w:tcPr>
            <w:tcW w:w="104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65,131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(894)</w:t>
            </w:r>
          </w:p>
        </w:tc>
        <w:tc>
          <w:tcPr>
            <w:tcW w:w="80" w:type="dxa"/>
            <w:vAlign w:val="bottom"/>
          </w:tcPr>
          <w:p>
            <w:pPr>
              <w:spacing w:after="0"/>
              <w:rPr>
                <w:sz w:val="16"/>
                <w:szCs w:val="16"/>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231"/>
        </w:trPr>
        <w:tc>
          <w:tcPr>
            <w:tcW w:w="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loss</w:t>
            </w: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(44,480)</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(44,480)</w:t>
            </w:r>
          </w:p>
        </w:tc>
        <w:tc>
          <w:tcPr>
            <w:tcW w:w="0" w:type="dxa"/>
            <w:vAlign w:val="bottom"/>
          </w:tcPr>
          <w:p>
            <w:pPr>
              <w:spacing w:after="0"/>
              <w:rPr>
                <w:sz w:val="1"/>
                <w:szCs w:val="1"/>
                <w:color w:val="auto"/>
              </w:rPr>
            </w:pPr>
          </w:p>
        </w:tc>
      </w:tr>
      <w:tr>
        <w:trPr>
          <w:trHeight w:val="126"/>
        </w:trPr>
        <w:tc>
          <w:tcPr>
            <w:tcW w:w="940" w:type="dxa"/>
            <w:vAlign w:val="bottom"/>
          </w:tcPr>
          <w:p>
            <w:pPr>
              <w:ind w:left="20"/>
              <w:spacing w:after="0" w:line="126" w:lineRule="exact"/>
              <w:rPr>
                <w:sz w:val="20"/>
                <w:szCs w:val="20"/>
                <w:color w:val="auto"/>
              </w:rPr>
            </w:pPr>
            <w:r>
              <w:rPr>
                <w:rFonts w:ascii="Arial" w:cs="Arial" w:eastAsia="Arial" w:hAnsi="Arial"/>
                <w:sz w:val="14"/>
                <w:szCs w:val="14"/>
                <w:b w:val="1"/>
                <w:bCs w:val="1"/>
                <w:color w:val="auto"/>
              </w:rPr>
              <w:t>Balance at</w:t>
            </w: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940" w:type="dxa"/>
            <w:vAlign w:val="bottom"/>
          </w:tcPr>
          <w:p>
            <w:pPr>
              <w:ind w:left="20"/>
              <w:spacing w:after="0" w:line="146" w:lineRule="exact"/>
              <w:rPr>
                <w:sz w:val="20"/>
                <w:szCs w:val="20"/>
                <w:color w:val="auto"/>
              </w:rPr>
            </w:pPr>
            <w:r>
              <w:rPr>
                <w:rFonts w:ascii="Arial" w:cs="Arial" w:eastAsia="Arial" w:hAnsi="Arial"/>
                <w:sz w:val="14"/>
                <w:szCs w:val="14"/>
                <w:b w:val="1"/>
                <w:bCs w:val="1"/>
                <w:color w:val="auto"/>
              </w:rPr>
              <w:t>December</w:t>
            </w:r>
          </w:p>
        </w:tc>
        <w:tc>
          <w:tcPr>
            <w:tcW w:w="1040" w:type="dxa"/>
            <w:vAlign w:val="bottom"/>
            <w:gridSpan w:val="3"/>
            <w:vMerge w:val="restart"/>
          </w:tcPr>
          <w:p>
            <w:pPr>
              <w:ind w:left="560"/>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40,865,336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281,815</w:t>
            </w:r>
          </w:p>
        </w:tc>
        <w:tc>
          <w:tcPr>
            <w:tcW w:w="80" w:type="dxa"/>
            <w:vAlign w:val="bottom"/>
          </w:tcPr>
          <w:p>
            <w:pPr>
              <w:spacing w:after="0"/>
              <w:rPr>
                <w:sz w:val="12"/>
                <w:szCs w:val="12"/>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3"/>
            <w:vMerge w:val="restart"/>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vMerge w:val="restart"/>
          </w:tcPr>
          <w:p>
            <w:pPr>
              <w:ind w:left="16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(69,396)</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212,423</w:t>
            </w:r>
          </w:p>
        </w:tc>
        <w:tc>
          <w:tcPr>
            <w:tcW w:w="0" w:type="dxa"/>
            <w:vAlign w:val="bottom"/>
          </w:tcPr>
          <w:p>
            <w:pPr>
              <w:spacing w:after="0"/>
              <w:rPr>
                <w:sz w:val="1"/>
                <w:szCs w:val="1"/>
                <w:color w:val="auto"/>
              </w:rPr>
            </w:pPr>
          </w:p>
        </w:tc>
      </w:tr>
      <w:tr>
        <w:trPr>
          <w:trHeight w:val="185"/>
        </w:trPr>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31, 2021</w:t>
            </w:r>
          </w:p>
        </w:tc>
        <w:tc>
          <w:tcPr>
            <w:tcW w:w="1040" w:type="dxa"/>
            <w:vAlign w:val="bottom"/>
            <w:gridSpan w:val="3"/>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compensation</w:t>
            </w:r>
          </w:p>
        </w:tc>
        <w:tc>
          <w:tcPr>
            <w:tcW w:w="1040" w:type="dxa"/>
            <w:vAlign w:val="bottom"/>
            <w:gridSpan w:val="3"/>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2,636</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3"/>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2,636</w:t>
            </w:r>
          </w:p>
        </w:tc>
        <w:tc>
          <w:tcPr>
            <w:tcW w:w="0" w:type="dxa"/>
            <w:vAlign w:val="bottom"/>
          </w:tcPr>
          <w:p>
            <w:pPr>
              <w:spacing w:after="0"/>
              <w:rPr>
                <w:sz w:val="1"/>
                <w:szCs w:val="1"/>
                <w:color w:val="auto"/>
              </w:rPr>
            </w:pPr>
          </w:p>
        </w:tc>
      </w:tr>
      <w:tr>
        <w:trPr>
          <w:trHeight w:val="181"/>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3"/>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40" w:type="dxa"/>
            <w:vAlign w:val="bottom"/>
          </w:tcPr>
          <w:p>
            <w:pPr>
              <w:ind w:left="20"/>
              <w:spacing w:after="0"/>
              <w:rPr>
                <w:sz w:val="20"/>
                <w:szCs w:val="20"/>
                <w:color w:val="auto"/>
              </w:rPr>
            </w:pPr>
            <w:r>
              <w:rPr>
                <w:rFonts w:ascii="Arial" w:cs="Arial" w:eastAsia="Arial" w:hAnsi="Arial"/>
                <w:sz w:val="14"/>
                <w:szCs w:val="14"/>
                <w:color w:val="auto"/>
              </w:rPr>
              <w:t>Issuance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40" w:type="dxa"/>
            <w:vAlign w:val="bottom"/>
          </w:tcPr>
          <w:p>
            <w:pPr>
              <w:ind w:left="20"/>
              <w:spacing w:after="0" w:line="133" w:lineRule="exact"/>
              <w:rPr>
                <w:sz w:val="20"/>
                <w:szCs w:val="20"/>
                <w:color w:val="auto"/>
              </w:rPr>
            </w:pPr>
            <w:r>
              <w:rPr>
                <w:rFonts w:ascii="Arial" w:cs="Arial" w:eastAsia="Arial" w:hAnsi="Arial"/>
                <w:sz w:val="14"/>
                <w:szCs w:val="14"/>
                <w:color w:val="auto"/>
              </w:rPr>
              <w:t>shares, net of</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40" w:type="dxa"/>
            <w:vAlign w:val="bottom"/>
          </w:tcPr>
          <w:p>
            <w:pPr>
              <w:ind w:left="20"/>
              <w:spacing w:after="0" w:line="146" w:lineRule="exact"/>
              <w:rPr>
                <w:sz w:val="20"/>
                <w:szCs w:val="20"/>
                <w:color w:val="auto"/>
              </w:rPr>
            </w:pPr>
            <w:r>
              <w:rPr>
                <w:rFonts w:ascii="Arial" w:cs="Arial" w:eastAsia="Arial" w:hAnsi="Arial"/>
                <w:sz w:val="14"/>
                <w:szCs w:val="14"/>
                <w:color w:val="auto"/>
              </w:rPr>
              <w:t>issuance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Arial" w:cs="Arial" w:eastAsia="Arial" w:hAnsi="Arial"/>
                <w:sz w:val="14"/>
                <w:szCs w:val="14"/>
                <w:color w:val="auto"/>
              </w:rPr>
              <w:t>costs</w:t>
            </w:r>
          </w:p>
        </w:tc>
        <w:tc>
          <w:tcPr>
            <w:tcW w:w="104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4,895,765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9,531</w:t>
            </w:r>
          </w:p>
        </w:tc>
        <w:tc>
          <w:tcPr>
            <w:tcW w:w="80" w:type="dxa"/>
            <w:vAlign w:val="bottom"/>
          </w:tcPr>
          <w:p>
            <w:pPr>
              <w:spacing w:after="0"/>
              <w:rPr>
                <w:sz w:val="15"/>
                <w:szCs w:val="15"/>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9,532</w:t>
            </w:r>
          </w:p>
        </w:tc>
        <w:tc>
          <w:tcPr>
            <w:tcW w:w="0" w:type="dxa"/>
            <w:vAlign w:val="bottom"/>
          </w:tcPr>
          <w:p>
            <w:pPr>
              <w:spacing w:after="0"/>
              <w:rPr>
                <w:sz w:val="1"/>
                <w:szCs w:val="1"/>
                <w:color w:val="auto"/>
              </w:rPr>
            </w:pPr>
          </w:p>
        </w:tc>
      </w:tr>
      <w:tr>
        <w:trPr>
          <w:trHeight w:val="169"/>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shares award</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issuance, net</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of</w:t>
            </w:r>
          </w:p>
        </w:tc>
        <w:tc>
          <w:tcPr>
            <w:tcW w:w="1040" w:type="dxa"/>
            <w:vAlign w:val="bottom"/>
            <w:gridSpan w:val="3"/>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489,382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3"/>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68"/>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1040" w:type="dxa"/>
            <w:vAlign w:val="bottom"/>
            <w:gridSpan w:val="3"/>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40" w:type="dxa"/>
            <w:vAlign w:val="bottom"/>
          </w:tcPr>
          <w:p>
            <w:pPr>
              <w:ind w:left="20"/>
              <w:spacing w:after="0"/>
              <w:rPr>
                <w:sz w:val="20"/>
                <w:szCs w:val="20"/>
                <w:color w:val="auto"/>
              </w:rPr>
            </w:pPr>
            <w:r>
              <w:rPr>
                <w:rFonts w:ascii="Arial" w:cs="Arial" w:eastAsia="Arial" w:hAnsi="Arial"/>
                <w:sz w:val="14"/>
                <w:szCs w:val="14"/>
                <w:color w:val="auto"/>
              </w:rPr>
              <w:t>Proceeds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40" w:type="dxa"/>
            <w:vAlign w:val="bottom"/>
          </w:tcPr>
          <w:p>
            <w:pPr>
              <w:ind w:left="20"/>
              <w:spacing w:after="0" w:line="133" w:lineRule="exact"/>
              <w:rPr>
                <w:sz w:val="20"/>
                <w:szCs w:val="20"/>
                <w:color w:val="auto"/>
              </w:rPr>
            </w:pPr>
            <w:r>
              <w:rPr>
                <w:rFonts w:ascii="Arial" w:cs="Arial" w:eastAsia="Arial" w:hAnsi="Arial"/>
                <w:sz w:val="14"/>
                <w:szCs w:val="14"/>
                <w:color w:val="auto"/>
              </w:rPr>
              <w:t>from stock</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40" w:type="dxa"/>
            <w:vAlign w:val="bottom"/>
          </w:tcPr>
          <w:p>
            <w:pPr>
              <w:ind w:left="20"/>
              <w:spacing w:after="0" w:line="146" w:lineRule="exact"/>
              <w:rPr>
                <w:sz w:val="20"/>
                <w:szCs w:val="20"/>
                <w:color w:val="auto"/>
              </w:rPr>
            </w:pPr>
            <w:r>
              <w:rPr>
                <w:rFonts w:ascii="Arial" w:cs="Arial" w:eastAsia="Arial" w:hAnsi="Arial"/>
                <w:sz w:val="14"/>
                <w:szCs w:val="14"/>
                <w:color w:val="auto"/>
              </w:rPr>
              <w:t>options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4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04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2,296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9"/>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currency</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translation</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w:t>
            </w: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93"/>
        </w:trPr>
        <w:tc>
          <w:tcPr>
            <w:tcW w:w="9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1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(271,068)</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(271,068)</w:t>
            </w:r>
          </w:p>
        </w:tc>
        <w:tc>
          <w:tcPr>
            <w:tcW w:w="0" w:type="dxa"/>
            <w:vAlign w:val="bottom"/>
          </w:tcPr>
          <w:p>
            <w:pPr>
              <w:spacing w:after="0"/>
              <w:rPr>
                <w:sz w:val="1"/>
                <w:szCs w:val="1"/>
                <w:color w:val="auto"/>
              </w:rPr>
            </w:pPr>
          </w:p>
        </w:tc>
      </w:tr>
      <w:tr>
        <w:trPr>
          <w:trHeight w:val="131"/>
        </w:trPr>
        <w:tc>
          <w:tcPr>
            <w:tcW w:w="94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4"/>
                <w:szCs w:val="14"/>
                <w:b w:val="1"/>
                <w:bCs w:val="1"/>
                <w:color w:val="auto"/>
              </w:rPr>
              <w:t>Balance at</w:t>
            </w: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b w:val="1"/>
                <w:bCs w:val="1"/>
                <w:color w:val="auto"/>
              </w:rPr>
              <w:t>December</w:t>
            </w:r>
          </w:p>
        </w:tc>
        <w:tc>
          <w:tcPr>
            <w:tcW w:w="1040" w:type="dxa"/>
            <w:vAlign w:val="bottom"/>
            <w:gridSpan w:val="3"/>
            <w:vMerge w:val="restart"/>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38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46,252,779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6"/>
              </w:rPr>
              <w:t>$ 293,769</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900" w:type="dxa"/>
            <w:vAlign w:val="bottom"/>
            <w:gridSpan w:val="3"/>
            <w:vMerge w:val="restart"/>
            <w:shd w:val="clear" w:color="auto" w:fill="CCEEFF"/>
          </w:tcPr>
          <w:p>
            <w:pPr>
              <w:ind w:left="360"/>
              <w:spacing w:after="0"/>
              <w:rPr>
                <w:sz w:val="20"/>
                <w:szCs w:val="20"/>
                <w:color w:val="auto"/>
              </w:rPr>
            </w:pPr>
            <w:r>
              <w:rPr>
                <w:rFonts w:ascii="Arial" w:cs="Arial" w:eastAsia="Arial" w:hAnsi="Arial"/>
                <w:sz w:val="14"/>
                <w:szCs w:val="14"/>
                <w:color w:val="auto"/>
              </w:rPr>
              <w:t>—  $</w:t>
            </w:r>
          </w:p>
        </w:tc>
        <w:tc>
          <w:tcPr>
            <w:tcW w:w="68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color w:val="auto"/>
              </w:rPr>
              <w:t>—  $</w:t>
            </w:r>
          </w:p>
        </w:tc>
        <w:tc>
          <w:tcPr>
            <w:tcW w:w="4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(340,464)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$(47,047)</w:t>
            </w:r>
          </w:p>
        </w:tc>
        <w:tc>
          <w:tcPr>
            <w:tcW w:w="0" w:type="dxa"/>
            <w:vAlign w:val="bottom"/>
          </w:tcPr>
          <w:p>
            <w:pPr>
              <w:spacing w:after="0"/>
              <w:rPr>
                <w:sz w:val="1"/>
                <w:szCs w:val="1"/>
                <w:color w:val="auto"/>
              </w:rPr>
            </w:pPr>
          </w:p>
        </w:tc>
      </w:tr>
      <w:tr>
        <w:trPr>
          <w:trHeight w:val="179"/>
        </w:trPr>
        <w:tc>
          <w:tcPr>
            <w:tcW w:w="9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31, 2022</w:t>
            </w:r>
          </w:p>
        </w:tc>
        <w:tc>
          <w:tcPr>
            <w:tcW w:w="1040" w:type="dxa"/>
            <w:vAlign w:val="bottom"/>
            <w:gridSpan w:val="3"/>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5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Years Ended December 31,</w:t>
            </w:r>
          </w:p>
        </w:tc>
      </w:tr>
      <w:tr>
        <w:trPr>
          <w:trHeight w:val="204"/>
        </w:trPr>
        <w:tc>
          <w:tcPr>
            <w:tcW w:w="83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 FROM CONTINUING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(271,068)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(44,480)</w:t>
            </w:r>
          </w:p>
        </w:tc>
      </w:tr>
      <w:tr>
        <w:trPr>
          <w:trHeight w:val="232"/>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from discontinued operations</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(66,080)</w:t>
            </w:r>
          </w:p>
        </w:tc>
      </w:tr>
      <w:tr>
        <w:trPr>
          <w:trHeight w:val="218"/>
        </w:trPr>
        <w:tc>
          <w:tcPr>
            <w:tcW w:w="8360" w:type="dxa"/>
            <w:vAlign w:val="bottom"/>
          </w:tcPr>
          <w:p>
            <w:pPr>
              <w:ind w:left="120"/>
              <w:spacing w:after="0"/>
              <w:rPr>
                <w:sz w:val="20"/>
                <w:szCs w:val="20"/>
                <w:color w:val="auto"/>
              </w:rPr>
            </w:pPr>
            <w:r>
              <w:rPr>
                <w:rFonts w:ascii="Arial" w:cs="Arial" w:eastAsia="Arial" w:hAnsi="Arial"/>
                <w:sz w:val="16"/>
                <w:szCs w:val="16"/>
                <w:color w:val="auto"/>
              </w:rPr>
              <w:t>Net (loss) income from continuing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(269,741)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21,600</w:t>
            </w:r>
          </w:p>
        </w:tc>
      </w:tr>
      <w:tr>
        <w:trPr>
          <w:trHeight w:val="215"/>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from continuing operations to net cash flow from operating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35,136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8,474</w:t>
            </w:r>
          </w:p>
        </w:tc>
      </w:tr>
      <w:tr>
        <w:trPr>
          <w:trHeight w:val="234"/>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15,055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5,557</w:t>
            </w:r>
          </w:p>
        </w:tc>
      </w:tr>
      <w:tr>
        <w:trPr>
          <w:trHeight w:val="216"/>
        </w:trPr>
        <w:tc>
          <w:tcPr>
            <w:tcW w:w="8360" w:type="dxa"/>
            <w:vAlign w:val="bottom"/>
          </w:tcPr>
          <w:p>
            <w:pPr>
              <w:ind w:left="340"/>
              <w:spacing w:after="0"/>
              <w:rPr>
                <w:sz w:val="20"/>
                <w:szCs w:val="20"/>
                <w:color w:val="auto"/>
              </w:rPr>
            </w:pPr>
            <w:r>
              <w:rPr>
                <w:rFonts w:ascii="Arial" w:cs="Arial" w:eastAsia="Arial" w:hAnsi="Arial"/>
                <w:sz w:val="16"/>
                <w:szCs w:val="16"/>
                <w:color w:val="auto"/>
              </w:rPr>
              <w:t>Impairment of long-lived assets</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176,307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non-cash affecting net income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8360" w:type="dxa"/>
            <w:vAlign w:val="bottom"/>
          </w:tcPr>
          <w:p>
            <w:pPr>
              <w:ind w:left="34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3,946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4"/>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r>
      <w:tr>
        <w:trPr>
          <w:trHeight w:val="216"/>
        </w:trPr>
        <w:tc>
          <w:tcPr>
            <w:tcW w:w="8360" w:type="dxa"/>
            <w:vAlign w:val="bottom"/>
          </w:tcPr>
          <w:p>
            <w:pPr>
              <w:ind w:left="340"/>
              <w:spacing w:after="0"/>
              <w:rPr>
                <w:sz w:val="20"/>
                <w:szCs w:val="20"/>
                <w:color w:val="auto"/>
              </w:rPr>
            </w:pPr>
            <w:r>
              <w:rPr>
                <w:rFonts w:ascii="Arial" w:cs="Arial" w:eastAsia="Arial" w:hAnsi="Arial"/>
                <w:sz w:val="16"/>
                <w:szCs w:val="16"/>
                <w:color w:val="auto"/>
              </w:rPr>
              <w:t>Remeasurement of environmental liability</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16,694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3,688</w:t>
            </w:r>
          </w:p>
        </w:tc>
      </w:tr>
      <w:tr>
        <w:trPr>
          <w:trHeight w:val="234"/>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sale of assets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360" w:type="dxa"/>
            <w:vAlign w:val="bottom"/>
          </w:tcPr>
          <w:p>
            <w:pPr>
              <w:ind w:left="340"/>
              <w:spacing w:after="0"/>
              <w:rPr>
                <w:sz w:val="20"/>
                <w:szCs w:val="20"/>
                <w:color w:val="auto"/>
              </w:rPr>
            </w:pPr>
            <w:r>
              <w:rPr>
                <w:rFonts w:ascii="Arial" w:cs="Arial" w:eastAsia="Arial" w:hAnsi="Arial"/>
                <w:sz w:val="16"/>
                <w:szCs w:val="16"/>
                <w:color w:val="auto"/>
              </w:rPr>
              <w:t>Gain on sale of digital assets</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34"/>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6"/>
        </w:trPr>
        <w:tc>
          <w:tcPr>
            <w:tcW w:w="83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34"/>
        </w:trPr>
        <w:tc>
          <w:tcPr>
            <w:tcW w:w="83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Emissions and carbon offset credits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6"/>
        </w:trPr>
        <w:tc>
          <w:tcPr>
            <w:tcW w:w="83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(7,312)</w:t>
            </w:r>
          </w:p>
        </w:tc>
      </w:tr>
      <w:tr>
        <w:trPr>
          <w:trHeight w:val="234"/>
        </w:trPr>
        <w:tc>
          <w:tcPr>
            <w:tcW w:w="83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r>
      <w:tr>
        <w:trPr>
          <w:trHeight w:val="216"/>
        </w:trPr>
        <w:tc>
          <w:tcPr>
            <w:tcW w:w="8360" w:type="dxa"/>
            <w:vAlign w:val="bottom"/>
          </w:tcPr>
          <w:p>
            <w:pPr>
              <w:ind w:left="500"/>
              <w:spacing w:after="0"/>
              <w:rPr>
                <w:sz w:val="20"/>
                <w:szCs w:val="20"/>
                <w:color w:val="auto"/>
              </w:rPr>
            </w:pPr>
            <w:r>
              <w:rPr>
                <w:rFonts w:ascii="Arial" w:cs="Arial" w:eastAsia="Arial" w:hAnsi="Arial"/>
                <w:sz w:val="16"/>
                <w:szCs w:val="16"/>
                <w:color w:val="auto"/>
              </w:rPr>
              <w:t>Accrued emissions expense</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3,418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34"/>
        </w:trPr>
        <w:tc>
          <w:tcPr>
            <w:tcW w:w="83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w:t>
            </w:r>
          </w:p>
        </w:tc>
      </w:tr>
      <w:tr>
        <w:trPr>
          <w:trHeight w:val="216"/>
        </w:trPr>
        <w:tc>
          <w:tcPr>
            <w:tcW w:w="8360" w:type="dxa"/>
            <w:vAlign w:val="bottom"/>
          </w:tcPr>
          <w:p>
            <w:pPr>
              <w:ind w:left="500"/>
              <w:spacing w:after="0"/>
              <w:rPr>
                <w:sz w:val="20"/>
                <w:szCs w:val="20"/>
                <w:color w:val="auto"/>
              </w:rPr>
            </w:pPr>
            <w:r>
              <w:rPr>
                <w:rFonts w:ascii="Arial" w:cs="Arial" w:eastAsia="Arial" w:hAnsi="Arial"/>
                <w:sz w:val="16"/>
                <w:szCs w:val="16"/>
                <w:color w:val="auto"/>
              </w:rPr>
              <w:t>Income taxes payable and receivable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2,344</w:t>
            </w:r>
          </w:p>
        </w:tc>
      </w:tr>
      <w:tr>
        <w:trPr>
          <w:trHeight w:val="228"/>
        </w:trPr>
        <w:tc>
          <w:tcPr>
            <w:tcW w:w="83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flow (used for) provided by operating activities from continuing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45,256</w:t>
            </w: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 FROM CONTINUING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6"/>
                <w:szCs w:val="16"/>
                <w:color w:val="auto"/>
              </w:rPr>
              <w:t>Purchases of and deposits for property and equipment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(132,950)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(163,571)</w:t>
            </w:r>
          </w:p>
        </w:tc>
      </w:tr>
      <w:tr>
        <w:trPr>
          <w:trHeight w:val="234"/>
        </w:trPr>
        <w:tc>
          <w:tcPr>
            <w:tcW w:w="8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sale of assets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Proceeds from sale of short term investments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83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flow used for investing activities from continuing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(163,571)</w:t>
            </w:r>
          </w:p>
        </w:tc>
      </w:tr>
      <w:tr>
        <w:trPr>
          <w:trHeight w:val="196"/>
        </w:trPr>
        <w:tc>
          <w:tcPr>
            <w:tcW w:w="8360" w:type="dxa"/>
            <w:vAlign w:val="bottom"/>
          </w:tcPr>
          <w:p>
            <w:pPr>
              <w:ind w:left="20"/>
              <w:spacing w:after="0"/>
              <w:rPr>
                <w:sz w:val="20"/>
                <w:szCs w:val="20"/>
                <w:color w:val="auto"/>
              </w:rPr>
            </w:pPr>
            <w:r>
              <w:rPr>
                <w:rFonts w:ascii="Arial" w:cs="Arial" w:eastAsia="Arial" w:hAnsi="Arial"/>
                <w:sz w:val="16"/>
                <w:szCs w:val="16"/>
                <w:color w:val="auto"/>
              </w:rPr>
              <w:t>FINANCING ACTIVITIES FROM CONTINUING OPERATIONS: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8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issuance of preferred stock, net of issuance costs</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37,113</w:t>
            </w:r>
          </w:p>
        </w:tc>
      </w:tr>
      <w:tr>
        <w:trPr>
          <w:trHeight w:val="216"/>
        </w:trPr>
        <w:tc>
          <w:tcPr>
            <w:tcW w:w="8360" w:type="dxa"/>
            <w:vAlign w:val="bottom"/>
          </w:tcPr>
          <w:p>
            <w:pPr>
              <w:ind w:left="160"/>
              <w:spacing w:after="0"/>
              <w:rPr>
                <w:sz w:val="20"/>
                <w:szCs w:val="20"/>
                <w:color w:val="auto"/>
              </w:rPr>
            </w:pPr>
            <w:r>
              <w:rPr>
                <w:rFonts w:ascii="Arial" w:cs="Arial" w:eastAsia="Arial" w:hAnsi="Arial"/>
                <w:sz w:val="16"/>
                <w:szCs w:val="16"/>
                <w:color w:val="auto"/>
              </w:rPr>
              <w:t>Proceeds from issuance of common stock, net of issuance costs</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9,531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47,443</w:t>
            </w:r>
          </w:p>
        </w:tc>
      </w:tr>
      <w:tr>
        <w:trPr>
          <w:trHeight w:val="234"/>
        </w:trPr>
        <w:tc>
          <w:tcPr>
            <w:tcW w:w="8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stock options exercised</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8360" w:type="dxa"/>
            <w:vAlign w:val="bottom"/>
          </w:tcPr>
          <w:p>
            <w:pPr>
              <w:ind w:left="160"/>
              <w:spacing w:after="0"/>
              <w:rPr>
                <w:sz w:val="20"/>
                <w:szCs w:val="20"/>
                <w:color w:val="auto"/>
              </w:rPr>
            </w:pPr>
            <w:r>
              <w:rPr>
                <w:rFonts w:ascii="Arial" w:cs="Arial" w:eastAsia="Arial" w:hAnsi="Arial"/>
                <w:sz w:val="16"/>
                <w:szCs w:val="16"/>
                <w:color w:val="auto"/>
              </w:rPr>
              <w:t>Restricted stock unit awards settled in cash for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(894)</w:t>
            </w:r>
          </w:p>
        </w:tc>
      </w:tr>
      <w:tr>
        <w:trPr>
          <w:trHeight w:val="234"/>
        </w:trPr>
        <w:tc>
          <w:tcPr>
            <w:tcW w:w="8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debt, net of issuance costs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107,105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97,885</w:t>
            </w:r>
          </w:p>
        </w:tc>
      </w:tr>
      <w:tr>
        <w:trPr>
          <w:trHeight w:val="216"/>
        </w:trPr>
        <w:tc>
          <w:tcPr>
            <w:tcW w:w="8360" w:type="dxa"/>
            <w:vAlign w:val="bottom"/>
          </w:tcPr>
          <w:p>
            <w:pPr>
              <w:ind w:left="160"/>
              <w:spacing w:after="0"/>
              <w:rPr>
                <w:sz w:val="20"/>
                <w:szCs w:val="20"/>
                <w:color w:val="auto"/>
              </w:rPr>
            </w:pPr>
            <w:r>
              <w:rPr>
                <w:rFonts w:ascii="Arial" w:cs="Arial" w:eastAsia="Arial" w:hAnsi="Arial"/>
                <w:sz w:val="16"/>
                <w:szCs w:val="16"/>
                <w:color w:val="auto"/>
              </w:rPr>
              <w:t>Principal payments on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(53,923)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(7,705)</w:t>
            </w:r>
          </w:p>
        </w:tc>
      </w:tr>
      <w:tr>
        <w:trPr>
          <w:trHeight w:val="228"/>
        </w:trPr>
        <w:tc>
          <w:tcPr>
            <w:tcW w:w="8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of finance 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19"/>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flow provided by financing activities from continuing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62,137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174,065</w:t>
            </w: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6"/>
                <w:szCs w:val="16"/>
                <w:color w:val="auto"/>
              </w:rPr>
              <w:t>Net cash flow from operating activities of discontinued operations</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6,320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(5,175)</w:t>
            </w:r>
          </w:p>
        </w:tc>
      </w:tr>
      <w:tr>
        <w:trPr>
          <w:trHeight w:val="234"/>
        </w:trPr>
        <w:tc>
          <w:tcPr>
            <w:tcW w:w="8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cash flow from investing activities of discontinued operations</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27,113</w:t>
            </w:r>
          </w:p>
        </w:tc>
      </w:tr>
      <w:tr>
        <w:trPr>
          <w:trHeight w:val="218"/>
        </w:trPr>
        <w:tc>
          <w:tcPr>
            <w:tcW w:w="8360" w:type="dxa"/>
            <w:vAlign w:val="bottom"/>
          </w:tcPr>
          <w:p>
            <w:pPr>
              <w:ind w:left="160"/>
              <w:spacing w:after="0"/>
              <w:rPr>
                <w:sz w:val="20"/>
                <w:szCs w:val="20"/>
                <w:color w:val="auto"/>
              </w:rPr>
            </w:pPr>
            <w:r>
              <w:rPr>
                <w:rFonts w:ascii="Arial" w:cs="Arial" w:eastAsia="Arial" w:hAnsi="Arial"/>
                <w:sz w:val="16"/>
                <w:szCs w:val="16"/>
                <w:color w:val="auto"/>
              </w:rPr>
              <w:t>Net cash flow from financing activities of discontinued operations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8"/>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in cash and cash equivalents from discontinued operations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6,320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21,797</w:t>
            </w:r>
          </w:p>
        </w:tc>
      </w:tr>
      <w:tr>
        <w:trPr>
          <w:trHeight w:val="216"/>
        </w:trPr>
        <w:tc>
          <w:tcPr>
            <w:tcW w:w="836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(67,382)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77,547</w:t>
            </w:r>
          </w:p>
        </w:tc>
      </w:tr>
      <w:tr>
        <w:trPr>
          <w:trHeight w:val="228"/>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82,599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5,052</w:t>
            </w:r>
          </w:p>
        </w:tc>
      </w:tr>
      <w:tr>
        <w:trPr>
          <w:trHeight w:val="225"/>
        </w:trPr>
        <w:tc>
          <w:tcPr>
            <w:tcW w:w="8360" w:type="dxa"/>
            <w:vAlign w:val="bottom"/>
          </w:tcPr>
          <w:p>
            <w:pPr>
              <w:ind w:left="20"/>
              <w:spacing w:after="0"/>
              <w:rPr>
                <w:sz w:val="20"/>
                <w:szCs w:val="20"/>
                <w:color w:val="auto"/>
              </w:rPr>
            </w:pPr>
            <w:r>
              <w:rPr>
                <w:rFonts w:ascii="Arial" w:cs="Arial" w:eastAsia="Arial" w:hAnsi="Arial"/>
                <w:sz w:val="16"/>
                <w:szCs w:val="16"/>
                <w:color w:val="auto"/>
              </w:rPr>
              <w:t>CASH AND CASH EQUIVALENTS - end of year</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82,599</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1" w:name="page92"/>
    <w:bookmarkEnd w:id="91"/>
    <w:p>
      <w:pPr>
        <w:ind w:left="20"/>
        <w:spacing w:after="0"/>
        <w:rPr>
          <w:sz w:val="20"/>
          <w:szCs w:val="20"/>
          <w:color w:val="auto"/>
        </w:rPr>
      </w:pPr>
      <w:r>
        <w:rPr>
          <w:rFonts w:ascii="Arial" w:cs="Arial" w:eastAsia="Arial" w:hAnsi="Arial"/>
          <w:sz w:val="18"/>
          <w:szCs w:val="18"/>
          <w:b w:val="1"/>
          <w:bCs w:val="1"/>
          <w:color w:val="auto"/>
        </w:rPr>
        <w:t>GREENIDGE GENERATION HOLDINGS INC.</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34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3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Greenidge Generation Holdings Inc. ("Greenidge") and its subsidiaries (collectively, the "Company") owns and operates a vertically integrated cryptocurrency datacenter and power generation company. The Company owns and operates facilities at two locations: the Town of Torrey, New York and Spartanburg, South Carolina. The Company’s cryptocurrency datacenter operations generate revenue in the form of bitcoin by earning bitcoin as rewards and transaction fees for supporting the global bitcoin network with application-specific integrated circuit computers ("ASICs" or "miners") owned or leased by the Company. The earned bitcoin are then exchanged for U.S. dollars. Additionally, the Company generates revenues in U.S. dollars to a lesser extent from third parties for hosting and maintaining their ASICs; however, such contracts expired in 2021. The Company also owns and operates a 106MW power facility that is connected to the New York Independent System Operator ("NYISO") power grid. The Company sells electricity to the NYISO at all times when its power plant is running and increases or decreases the amount of electricity sold based on prevailing prices in the wholesale electricity market and demand for electricity.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Support.com, Inc.</w:t>
      </w:r>
    </w:p>
    <w:p>
      <w:pPr>
        <w:spacing w:after="0" w:line="13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On September 14, 2021, GGH Merger Sub, Inc. ("Merger Sub"), a wholly owned subsidiary of Greenidge, merged with and into Support.com, Inc. ("Support.com"), with Support.com continuing as the surviving corporation (the "Merger") and a wholly owned subsidiary of Greenidge, pursuant to the Agreement and Plan of Merger, dated March 19, 2021 (the "Merger Agreement"), among Greenidge, Support.com and Merger Sub.</w:t>
      </w:r>
    </w:p>
    <w:p>
      <w:pPr>
        <w:spacing w:after="0" w:line="20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The Merger combined the respective businesses of Greenidge and Support.com through an all-stock transaction was accounted for using the acquisition method of accounting in accordance with the provisions of Financial Accounting Standards Board ("FASB")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with Greenidge being deemed the acquiring company for accounting purposes, see Note 3 "</w:t>
      </w:r>
      <w:r>
        <w:rPr>
          <w:rFonts w:ascii="Arial" w:cs="Arial" w:eastAsia="Arial" w:hAnsi="Arial"/>
          <w:sz w:val="18"/>
          <w:szCs w:val="18"/>
          <w:i w:val="1"/>
          <w:iCs w:val="1"/>
          <w:color w:val="auto"/>
        </w:rPr>
        <w:t>Merger with Support.com"</w:t>
      </w:r>
      <w:r>
        <w:rPr>
          <w:rFonts w:ascii="Arial" w:cs="Arial" w:eastAsia="Arial" w:hAnsi="Arial"/>
          <w:sz w:val="18"/>
          <w:szCs w:val="18"/>
          <w:color w:val="auto"/>
        </w:rPr>
        <w:t xml:space="preserve"> for additional information. Prior to the Merger, Greenidge's class A common stock was registered pursuant to the Securities Exchange Act of 1934, as amended (the "Exchange Act") and, upon completion of the Merger on September 15, 2021, began trading on Nasdaq Global Select Market under the ticker symbol "GREE". Concurrently, Support.com deregistered its shares pursuant to the Exchange Act.</w:t>
      </w:r>
    </w:p>
    <w:p>
      <w:pPr>
        <w:spacing w:after="0" w:line="21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Support.com provides solutions and technical programs to customers delivered by home-based employees. Support.com’s homesourcing model, which enables outsourced work to be delivered by people working from home, has been specifically designed for remote work, with attention to security, recruiting, training, delivery, and employee engagement. Since the consummation of the Merger, the Support.com business has operated as a wholly-owned subsidiary of Greenidge.</w:t>
      </w:r>
    </w:p>
    <w:p>
      <w:pPr>
        <w:spacing w:after="0" w:line="20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contract with the Support Services segment's largest customer expired on December 31, 2022 and was not renewed. As a result, the Company has classified the Support.com business as held for sale and discontinued operations in these consolidated financial statements as a result of management and the Board of Directors making a decision to pursue alternatives for the Support.com business and to strictly focus on its cryptocurrency datacenter and power generation operations. See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additional information.</w:t>
      </w:r>
    </w:p>
    <w:p>
      <w:pPr>
        <w:spacing w:after="0" w:line="292" w:lineRule="exact"/>
        <w:rPr>
          <w:sz w:val="20"/>
          <w:szCs w:val="20"/>
          <w:color w:val="auto"/>
        </w:rPr>
      </w:pPr>
    </w:p>
    <w:p>
      <w:pPr>
        <w:ind w:right="6520" w:firstLine="6"/>
        <w:spacing w:after="0" w:line="403" w:lineRule="auto"/>
        <w:tabs>
          <w:tab w:leader="none" w:pos="196"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 and Principles of Consolidation</w:t>
      </w:r>
    </w:p>
    <w:p>
      <w:pPr>
        <w:spacing w:after="0" w:line="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20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Greenidge is the successor entity for accounting purposes to Greenidge Generation Holdings LLC ("GGH") as a result of the corporate restructuring consummated in January 2021. Pursuant to this restructuring, Greenidge was incorporated in the State of Delaware on January 27, 2021 and on January 29, 2021, entered into an asset contribution and exchange agreement with the owners of GGH, pursuant to which Greenidge acquired all of the ownership interests in GGH in exchange for 28,000,000 shares of Greenidge’s class B common stock. As a result of this transaction, GGH became a wholly-owned subsidiary of Greenidge. The financial information presented herein are that of GGH for the periods before January 29, 2021 and Greenidge for the period after January 29, 2021.</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87" w:right="359" w:bottom="1440" w:gutter="0" w:footer="0" w:header="0"/>
        </w:sectPr>
      </w:pPr>
    </w:p>
    <w:bookmarkStart w:id="92" w:name="page93"/>
    <w:bookmarkEnd w:id="92"/>
    <w:p>
      <w:pPr>
        <w:ind w:right="640"/>
        <w:spacing w:after="0" w:line="251" w:lineRule="auto"/>
        <w:rPr>
          <w:sz w:val="20"/>
          <w:szCs w:val="20"/>
          <w:color w:val="auto"/>
        </w:rPr>
      </w:pPr>
      <w:r>
        <w:rPr>
          <w:rFonts w:ascii="Arial" w:cs="Arial" w:eastAsia="Arial" w:hAnsi="Arial"/>
          <w:sz w:val="18"/>
          <w:szCs w:val="18"/>
          <w:color w:val="auto"/>
        </w:rPr>
        <w:t>The consolidated financial statements include the accounts of Greenidge and its subsidiaries. All significant intercompany accounts and transactions have been eliminated.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accordance with the FASB Accounting Standards Update ("ASU")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the Company’s management evaluated whether there are conditions or events that pose risk associated with 6the Company's ability to continue as a going concern within one year after the date these financial statements have been issued. The Company’s consolidated financial statements have been prepared assuming that it will continue as a going concern.</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During the year ended December 31, 2022, the price of bitcoin decreased approximately 40% and the price of natural gas increased approximately 83%. The Company’s profit and cash flows are impacted significantly by volatility in the prices of bitcoin and natural gas, and the volatility in these commodity prices significantly impacted the Company's results during 2022. As a result, management took certain actions during the second half of 2022 and during the first quarter of 2023 to improve the Company's liquidity. At December 31, 2022, the Company had $15.2 million of cash and cash equivalents and $0.5 million of bitcoin holdings at fair value, while having $20.9 million of accounts payable and accrued expenses, as well as $80.2 million of principal and interest payments on debt due within the next 12 months.</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The ability to continue as a going concern is dependent upon the Company generating profitable operations in the future and/or obtaining the necessary financing to meet its obligations and repay its liabilities arising from normal business operations when they come due. In an effort to improve liquidity, on January 30, 2023, the Company entered into debt restructuring agreements with NYDIG ABL LLC ("NYDIG") and B. Riley Commercial Capital ("B. Riley"). The Company also raised equity through issuances of their stock under equity purchases agreements and a market issuance sales agreement (the "ATM Agreement"). See Note 6, "</w:t>
      </w:r>
      <w:r>
        <w:rPr>
          <w:rFonts w:ascii="Arial" w:cs="Arial" w:eastAsia="Arial" w:hAnsi="Arial"/>
          <w:sz w:val="17"/>
          <w:szCs w:val="17"/>
          <w:i w:val="1"/>
          <w:iCs w:val="1"/>
          <w:color w:val="auto"/>
        </w:rPr>
        <w:t>Debt</w:t>
      </w:r>
      <w:r>
        <w:rPr>
          <w:rFonts w:ascii="Arial" w:cs="Arial" w:eastAsia="Arial" w:hAnsi="Arial"/>
          <w:sz w:val="17"/>
          <w:szCs w:val="17"/>
          <w:color w:val="auto"/>
        </w:rPr>
        <w:t>" for further details regarding the debt restructuring agreements and see Note 7, "</w:t>
      </w:r>
      <w:r>
        <w:rPr>
          <w:rFonts w:ascii="Arial" w:cs="Arial" w:eastAsia="Arial" w:hAnsi="Arial"/>
          <w:sz w:val="17"/>
          <w:szCs w:val="17"/>
          <w:i w:val="1"/>
          <w:iCs w:val="1"/>
          <w:color w:val="auto"/>
        </w:rPr>
        <w:t>Stockholder's Equity</w:t>
      </w:r>
      <w:r>
        <w:rPr>
          <w:rFonts w:ascii="Arial" w:cs="Arial" w:eastAsia="Arial" w:hAnsi="Arial"/>
          <w:sz w:val="17"/>
          <w:szCs w:val="17"/>
          <w:color w:val="auto"/>
        </w:rPr>
        <w:t>" for further details regarding the equity purchase agreements and ATM Agreement.</w:t>
      </w:r>
    </w:p>
    <w:p>
      <w:pPr>
        <w:spacing w:after="0" w:line="1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restructuring of the NYDIG debt is expected to significantly improve Greenidge’s liquidity during 2023 as annual interest payments on the remaining $17.3 million principal balance will be $2.5 million and may be reduced to approximately $1.1 million annually if the Post-Closing Covenant is satisfied. This reduced debt service is substantially lower than the $62.7 million of principal and interest payments which would have been required in 2023 pursuant to the 2021 and 2022 Master Equipment Finance Agreements, both of which have now been refinanced in January 2023.</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Since October 2021 and through September 2022, the Company received proceeds of $59.8 million from sales of class A common stock under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the original and amended Equity Purchase Agreements, of which $8.9 million proceeds, net of discounts, was received in 2022. In September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2022, Greenidge entered into an ATM Agreement, and since September 30, 2022 through March 30, 2023, have received net proceeds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$10.2 million from sales of class A common stock under the ATM Agreement, of which $8.2 million of net proceeds was received since January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 2023. See Note 7, "</w:t>
      </w:r>
      <w:r>
        <w:rPr>
          <w:rFonts w:ascii="Arial" w:cs="Arial" w:eastAsia="Arial" w:hAnsi="Arial"/>
          <w:sz w:val="18"/>
          <w:szCs w:val="18"/>
          <w:i w:val="1"/>
          <w:iCs w:val="1"/>
          <w:color w:val="auto"/>
        </w:rPr>
        <w:t>Stockholder's Equity</w:t>
      </w:r>
      <w:r>
        <w:rPr>
          <w:rFonts w:ascii="Arial" w:cs="Arial" w:eastAsia="Arial" w:hAnsi="Arial"/>
          <w:sz w:val="18"/>
          <w:szCs w:val="18"/>
          <w:color w:val="auto"/>
        </w:rPr>
        <w:t>", for further details.</w:t>
      </w:r>
    </w:p>
    <w:p>
      <w:pPr>
        <w:spacing w:after="0" w:line="21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conjunction with the restructuring of the debt with NYDIG, we also entered into the Hosting Agreement with NYDIG on January 30, 2023, which is expected to improve our liquidity position, as it provided for cost reimbursements for key input costs, while allowing us to participate in the upside as bitcoin prices rise.</w:t>
      </w:r>
    </w:p>
    <w:p>
      <w:pPr>
        <w:spacing w:after="0" w:line="206"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In addition, we sold equipment, coupons and certain environmental credits for total proceeds of $11.7 million from the second quarter of 2022 through the first quarter of 2023 to raise additional funds.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Despite these improvements to the Company's financial condition, management expects that it will require additional capital in order to fund the Company’s expenses and to support the Company’s debt servicing requirements. Management continues to assess different options to improve its liquidity which include, but are not limited to:</w:t>
      </w:r>
    </w:p>
    <w:p>
      <w:pPr>
        <w:spacing w:after="0" w:line="100" w:lineRule="exact"/>
        <w:rPr>
          <w:sz w:val="20"/>
          <w:szCs w:val="20"/>
          <w:color w:val="auto"/>
        </w:rPr>
      </w:pPr>
    </w:p>
    <w:p>
      <w:pPr>
        <w:ind w:left="620" w:hanging="296"/>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issuances of equity, including but not limited to issuances under the Equity Purchase Agreement and/or the ATM Agreement.</w:t>
      </w:r>
    </w:p>
    <w:p>
      <w:pPr>
        <w:spacing w:after="0" w:line="111" w:lineRule="exact"/>
        <w:rPr>
          <w:rFonts w:ascii="Arial" w:cs="Arial" w:eastAsia="Arial" w:hAnsi="Arial"/>
          <w:sz w:val="18"/>
          <w:szCs w:val="18"/>
          <w:color w:val="auto"/>
        </w:rPr>
      </w:pPr>
    </w:p>
    <w:p>
      <w:pPr>
        <w:ind w:left="640" w:right="40" w:hanging="316"/>
        <w:spacing w:after="0" w:line="251" w:lineRule="auto"/>
        <w:tabs>
          <w:tab w:leader="none" w:pos="6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entering into new third-party hosting agreements to house the approximately 1.1 EH/s of owned miners not currently operating following the transition to the NYDIG hosting agreement in February 2023.</w:t>
      </w:r>
    </w:p>
    <w:p>
      <w:pPr>
        <w:spacing w:after="0" w:line="97" w:lineRule="exact"/>
        <w:rPr>
          <w:rFonts w:ascii="Arial" w:cs="Arial" w:eastAsia="Arial" w:hAnsi="Arial"/>
          <w:sz w:val="18"/>
          <w:szCs w:val="18"/>
          <w:color w:val="auto"/>
        </w:rPr>
      </w:pPr>
    </w:p>
    <w:p>
      <w:pPr>
        <w:ind w:left="620" w:hanging="296"/>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sale of the Company's excess real estate at its South Carolina facility that is not used in its datacenter operations.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93" w:name="page94"/>
    <w:bookmarkEnd w:id="93"/>
    <w:p>
      <w:pPr>
        <w:spacing w:after="0" w:line="246" w:lineRule="auto"/>
        <w:rPr>
          <w:sz w:val="20"/>
          <w:szCs w:val="20"/>
          <w:color w:val="auto"/>
        </w:rPr>
      </w:pPr>
      <w:r>
        <w:rPr>
          <w:rFonts w:ascii="Arial" w:cs="Arial" w:eastAsia="Arial" w:hAnsi="Arial"/>
          <w:sz w:val="18"/>
          <w:szCs w:val="18"/>
          <w:color w:val="auto"/>
        </w:rPr>
        <w:t xml:space="preserve">The Company estimates that its cash resources will fall below $10 million by the end of the first quarter of 2024, which would be considered an Event of Default under the Senior Secured Loan that would require the repayment of the loan balance if a waiver is not obtained from the lender. The Company's estimate of cash resources available to the Company through 2023 and through the first quarter of 2024 is dependent on completion of certain actions, including our ability to sell excess real estate in South Carolina, as mentioned above, as well as the completion of the Post Closing Covenant and bitcoin prices, blockchain difficulty levels and energy prices similar to the those experienced in the first two months of 2023. While bitcoin prices have begun to recover in the first quarter of 2023, management cannot predict when or if bitcoin prices will recover to prior levels, or volatility in energy costs. While the Company continues to work to implement options to improve liquidity, there can be no assurance that these efforts will be successful and the Company's liquidity could be negatively impacted by items outside of its control, in particular, significant decreases in the price of bitcoin, regulatory changes concerning cryptocurrency, increases in energy costs or other macroeconomic conditions and other matters identified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Given this uncertainty regarding the Company's financial condition over the next 12 months, the Company has concluded that there is substantial doubt about its ability to continue as a going concern for a reasonable period of time.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6"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judgments and assumptions that affect the reported amounts of assets and liabilities, the disclosure of contingent assets and liabilities at the date of the consolidated financial statements, and the reported amounts of revenues and expenses during the reporting periods.</w:t>
      </w:r>
    </w:p>
    <w:p>
      <w:pPr>
        <w:spacing w:after="0" w:line="206"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Actual results could differ from those estimates. Significant estimates made by management include, but are not limited to, estimates of the recoverability and useful lives of long-lived assets, stock-based compensation, current and deferred income tax assets and liabilities, and environmental liabilities.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As of December 31, 2022, Greenidge operates in one operating and reporting segment. The Company’s cryptocurrency datacenter and power generation operations are located in the United States, and the Company views these operations as one operating segment as the CODM reviews financial information on a consolidated basis in making decisions regarding resource allocations and assessing performance.</w:t>
      </w:r>
    </w:p>
    <w:p>
      <w:pPr>
        <w:spacing w:after="0" w:line="24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generates revenue primarily by earning bitcoin, with miners that are owned by the Company, as rewards and transaction fees for supporting the global bitcoin network. The Cryptocurrency Datacenter and Power Generation operations also sell surplus electricity generated by its power plant, and not consumed in cryptocurrency datacenter operations, to the NYISO power grid at prices set on a daily basis through the NYISO wholesale market. In addition, the Company receives revenues from the sale of its capacity and ancillary services in the NYISO wholesale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86"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Company deems it appropriate to classify a component as a discontinued operation if the related disposal group meets all the following criteria: 1) The disposal group is a component of the Company; 2) The component meets the held-for-sale criteria; and 3) The disposal of the component represents a strategic shift that has a major effect on the Company's operations and financial results.</w:t>
      </w:r>
    </w:p>
    <w:p>
      <w:pPr>
        <w:spacing w:after="0" w:line="20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contract for Support.com's largest customer was not renewed upon expiration on December 31, 2022. As a result of this material change in the business, management and the Board of Directors made the determination to consider various alternatives for Support.com, including the disposition of assets. As of December 31, 2022, the Company classified the Support.com business as held for sale and discontinued operations in these consolidated financial statements as a result of its strategic shift to strictly focus on its cryptocurrency datacenter and power generation operations.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3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All liquid instruments with an original maturity, at the date of purchase, of 90 days or less are classified as cash equivalents. Cash equivalents and short-term investments consist primarily of money market funds, certificates of deposit, commercial paper, corporate notes and bonds, and U.S. government agency securities. The Company’s interest income on cash, cash equivalents and short-term investments is included in interest expense, net in the consolidated statements of operations.</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Company monitors its investments for impairment on a quarterly basis to determine whether a decline in fair value is other-than-temporary by considering factors such as current economic and market conditions, the credit rating of the security’s issuer, the length of time an investment’s fair value has been below the Company’s carrying value, the Company’s intent to sell the security and the Company’s belief that it will not be required to sell the security before the recovery of its amortized cost. If an investment’s decline in fair value is deemed to be other-than-temporary, the Company reduces its carrying value to the estimated fair value, as determined based on quoted market prices or liquidation values. Declines in value judged to be other-than-temporary, if any, are recorded in operations as incurred. The Company's short term investments of $0.5 million were marketable securities that approximated fair value as of December 31, 2021. The Company had no short term investments as of December 31,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Assets</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Digital assets, primarily consisting of bitcoin, are included in current assets in the accompanying consolidated balance sheets. Digital assets are classified as indefinite-lived intangible assets 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and are accounted for in connection with Greenidge’s revenue recognition policy disclosed below. Digital assets held are considered an intangible asset with an indefinite useful life, which is not amortized but assessed for impairment annually, or more frequently, when events or changes in circumstances occur indicating that it is more likely than not that the indefinite-lived asset is impaired.</w:t>
      </w:r>
    </w:p>
    <w:p>
      <w:pPr>
        <w:spacing w:after="0" w:line="10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performs an analysis each period to identify whether events or changes in circumstances, principally decreases in the quoted prices on active exchanges, indicate that it is more likely than not that its digital assets are impaired. Digital assets are considered impaired if the carrying value is greater than the lowest daily quoted prices at any time during the period. Subsequent reversal of impairment losses is not permitted. The Company assessed its digital assets for impairment, recorded an impairment of $0.1 million during the year ended December 31, 2022, which is included in Other income, net on the consolidated statements of operations. There were no impairments recorded during 2021. As of December 31, 2022 and 2021, the Company’s digital assets consisted of approximately 31.4 bitcoins compared to 29.0 bitcoins,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3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provide credit in the normal course of business to our power customer, the NYISO. The NYISO makes payments, depending on the type of revenue, within seven days of usage or seven days of month end. There are currently no accounts receivable associated with cryptocurrency datacenter revenues. We have not experienced any historic credit losses with our power customer and therefore, we have not established an allowance for doubtful accounts for the years ending December 31, 2022 and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Emissions Expense and Credits</w:t>
      </w:r>
    </w:p>
    <w:p>
      <w:pPr>
        <w:spacing w:after="0" w:line="1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 participates in the Regional Greenhouse Gas Initiative ("RGGI"), which requires, by law, that the Company remit credits to offset 50% of the Company’s annual emission expense in the following year, for each of the years in the three year control period (January 1, 2018 to December 31, 2020). In February 2021, the Company settled the emissions allowance for the control period. The Company continues to accrue for credits to be remitted in accordance with RGGI for the current control period (January 1, 2020 to December 31, 2023). The Company recognizes expense on a per ton basis, where one ton is equal to one RGGI credit.</w:t>
      </w:r>
    </w:p>
    <w:p>
      <w:pPr>
        <w:spacing w:after="0" w:line="2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RGGI credits are recorded on a first in, first out ("FIFO") basis. The Company incurred emissions expense of $4.5 million and $2.6 million for the years ended December 31, 2022 and 2021, respectively, which was allocated between cost of revenue - cryptocurrency datacenter and cost of revenue - power and capacity, based on the relative percentage of MWH consumed for each, in the accompanying consolidated statements of operations.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Company’s depreciable assets, as noted in the table below. Construction in process is comprised of assets which have not been placed into service and is not depreciated until the related assets are complete and ready for their intended use, at which time the cost is transferred to the appropriate property and equipment class. Land and miner deposits are not depreciated. Repairs and maintenance costs are expensed as incurred. See Note 5,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for additional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Class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Estimated Useful</w:t>
            </w:r>
          </w:p>
        </w:tc>
        <w:tc>
          <w:tcPr>
            <w:tcW w:w="0" w:type="dxa"/>
            <w:vAlign w:val="bottom"/>
          </w:tcPr>
          <w:p>
            <w:pPr>
              <w:spacing w:after="0"/>
              <w:rPr>
                <w:sz w:val="1"/>
                <w:szCs w:val="1"/>
                <w:color w:val="auto"/>
              </w:rPr>
            </w:pPr>
          </w:p>
        </w:tc>
      </w:tr>
      <w:tr>
        <w:trPr>
          <w:trHeight w:val="185"/>
        </w:trPr>
        <w:tc>
          <w:tcPr>
            <w:tcW w:w="976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Lives</w:t>
            </w:r>
          </w:p>
        </w:tc>
        <w:tc>
          <w:tcPr>
            <w:tcW w:w="0" w:type="dxa"/>
            <w:vAlign w:val="bottom"/>
          </w:tcPr>
          <w:p>
            <w:pPr>
              <w:spacing w:after="0"/>
              <w:rPr>
                <w:sz w:val="1"/>
                <w:szCs w:val="1"/>
                <w:color w:val="auto"/>
              </w:rPr>
            </w:pP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infrastructure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Miners</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3 years</w:t>
            </w:r>
          </w:p>
        </w:tc>
        <w:tc>
          <w:tcPr>
            <w:tcW w:w="0" w:type="dxa"/>
            <w:vAlign w:val="bottom"/>
          </w:tcPr>
          <w:p>
            <w:pPr>
              <w:spacing w:after="0"/>
              <w:rPr>
                <w:sz w:val="1"/>
                <w:szCs w:val="1"/>
                <w:color w:val="auto"/>
              </w:rPr>
            </w:pP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 facility infrastructure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5 years</w:t>
            </w:r>
          </w:p>
        </w:tc>
        <w:tc>
          <w:tcPr>
            <w:tcW w:w="0" w:type="dxa"/>
            <w:vAlign w:val="bottom"/>
          </w:tcPr>
          <w:p>
            <w:pPr>
              <w:spacing w:after="0"/>
              <w:rPr>
                <w:sz w:val="1"/>
                <w:szCs w:val="1"/>
                <w:color w:val="auto"/>
              </w:rPr>
            </w:pP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 years</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8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The Company recognized a noncash impairment charge of $176.3 million for the year ended December 31, 2022. There was no impairment charge in the year ended December 31, 2021. See Note 5, "Property and Equipment, Net"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Liability</w:t>
      </w:r>
    </w:p>
    <w:p>
      <w:pPr>
        <w:spacing w:after="0" w:line="22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Environmental liabilities are recognized in accordance with ASC 410-30,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when the costs are probable and estimable. As of December 31, 2022, we have recognized environmental liabilities for a coal ash pond and landfill which were inherited due to the legacy coal operations at the Company's property in the Town of Torrey, New York. The Company determines the estimate by developing key assumptions to determine the expected cost of remediation. Estimates are based on various assumptions that are sensitive to changes including, but not limited to, closure and post-closure cost estimates, timing of expenditures, escalation factors, and requirements of granted permits.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The Company recognizes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core principle of the revenue standard is that a company should recognize revenue to depict the transfer of promised goods or services to customers in an amount that reflects the consideration to which the company expects to be entitled to in exchange for those goods or services. The following five steps are applied to achieve that core principle:</w:t>
      </w:r>
    </w:p>
    <w:p>
      <w:pPr>
        <w:spacing w:after="0" w:line="96" w:lineRule="exact"/>
        <w:rPr>
          <w:sz w:val="20"/>
          <w:szCs w:val="20"/>
          <w:color w:val="auto"/>
        </w:rPr>
      </w:pPr>
    </w:p>
    <w:p>
      <w:pPr>
        <w:ind w:left="1240" w:hanging="280"/>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Step 1: Identify the contract, or contracts, with the customer;</w:t>
      </w:r>
    </w:p>
    <w:p>
      <w:pPr>
        <w:spacing w:after="0" w:line="111" w:lineRule="exact"/>
        <w:rPr>
          <w:rFonts w:ascii="Arial" w:cs="Arial" w:eastAsia="Arial" w:hAnsi="Arial"/>
          <w:sz w:val="18"/>
          <w:szCs w:val="18"/>
          <w:color w:val="auto"/>
        </w:rPr>
      </w:pPr>
    </w:p>
    <w:p>
      <w:pPr>
        <w:ind w:left="1240" w:hanging="280"/>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111" w:lineRule="exact"/>
        <w:rPr>
          <w:rFonts w:ascii="Arial" w:cs="Arial" w:eastAsia="Arial" w:hAnsi="Arial"/>
          <w:sz w:val="18"/>
          <w:szCs w:val="18"/>
          <w:color w:val="auto"/>
        </w:rPr>
      </w:pPr>
    </w:p>
    <w:p>
      <w:pPr>
        <w:ind w:left="1240" w:hanging="280"/>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111" w:lineRule="exact"/>
        <w:rPr>
          <w:rFonts w:ascii="Arial" w:cs="Arial" w:eastAsia="Arial" w:hAnsi="Arial"/>
          <w:sz w:val="18"/>
          <w:szCs w:val="18"/>
          <w:color w:val="auto"/>
        </w:rPr>
      </w:pPr>
    </w:p>
    <w:p>
      <w:pPr>
        <w:ind w:left="1240" w:hanging="280"/>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 and</w:t>
      </w:r>
    </w:p>
    <w:p>
      <w:pPr>
        <w:spacing w:after="0" w:line="111" w:lineRule="exact"/>
        <w:rPr>
          <w:rFonts w:ascii="Arial" w:cs="Arial" w:eastAsia="Arial" w:hAnsi="Arial"/>
          <w:sz w:val="18"/>
          <w:szCs w:val="18"/>
          <w:color w:val="auto"/>
        </w:rPr>
      </w:pPr>
    </w:p>
    <w:p>
      <w:pPr>
        <w:ind w:left="1240" w:hanging="280"/>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Step 5: Recognize revenue when, or as, the Company satisfies a performance obligation.</w:t>
      </w:r>
    </w:p>
    <w:p>
      <w:pPr>
        <w:spacing w:after="0" w:line="217"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order to identify the performance obligations in a contract with a customer, the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6" w:name="page97"/>
    <w:bookmarkEnd w:id="96"/>
    <w:p>
      <w:pPr>
        <w:ind w:right="160"/>
        <w:spacing w:after="0" w:line="251" w:lineRule="auto"/>
        <w:rPr>
          <w:sz w:val="20"/>
          <w:szCs w:val="20"/>
          <w:color w:val="auto"/>
        </w:rPr>
      </w:pPr>
      <w:r>
        <w:rPr>
          <w:rFonts w:ascii="Arial" w:cs="Arial" w:eastAsia="Arial" w:hAnsi="Arial"/>
          <w:sz w:val="18"/>
          <w:szCs w:val="18"/>
          <w:color w:val="auto"/>
        </w:rPr>
        <w:t>transfer the good or service to the customer is separately identifiable from other promises in the contract (i.e., the promise to transfer the good or service is distinct within the context of the contract).</w:t>
      </w:r>
    </w:p>
    <w:p>
      <w:pPr>
        <w:spacing w:after="0" w:line="20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20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00" w:lineRule="exact"/>
        <w:rPr>
          <w:sz w:val="20"/>
          <w:szCs w:val="20"/>
          <w:color w:val="auto"/>
        </w:rPr>
      </w:pPr>
    </w:p>
    <w:p>
      <w:pPr>
        <w:ind w:left="1240" w:hanging="280"/>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Variable consideration;</w:t>
      </w:r>
    </w:p>
    <w:p>
      <w:pPr>
        <w:spacing w:after="0" w:line="111" w:lineRule="exact"/>
        <w:rPr>
          <w:rFonts w:ascii="Arial" w:cs="Arial" w:eastAsia="Arial" w:hAnsi="Arial"/>
          <w:sz w:val="18"/>
          <w:szCs w:val="18"/>
          <w:color w:val="auto"/>
        </w:rPr>
      </w:pPr>
    </w:p>
    <w:p>
      <w:pPr>
        <w:ind w:left="1240" w:hanging="280"/>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Constraining estimates of variable consideration;</w:t>
      </w:r>
    </w:p>
    <w:p>
      <w:pPr>
        <w:spacing w:after="0" w:line="111" w:lineRule="exact"/>
        <w:rPr>
          <w:rFonts w:ascii="Arial" w:cs="Arial" w:eastAsia="Arial" w:hAnsi="Arial"/>
          <w:sz w:val="18"/>
          <w:szCs w:val="18"/>
          <w:color w:val="auto"/>
        </w:rPr>
      </w:pPr>
    </w:p>
    <w:p>
      <w:pPr>
        <w:ind w:left="1240" w:hanging="280"/>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existence of a significant financing component in the contract;</w:t>
      </w:r>
    </w:p>
    <w:p>
      <w:pPr>
        <w:spacing w:after="0" w:line="111" w:lineRule="exact"/>
        <w:rPr>
          <w:rFonts w:ascii="Arial" w:cs="Arial" w:eastAsia="Arial" w:hAnsi="Arial"/>
          <w:sz w:val="18"/>
          <w:szCs w:val="18"/>
          <w:color w:val="auto"/>
        </w:rPr>
      </w:pPr>
    </w:p>
    <w:p>
      <w:pPr>
        <w:ind w:left="1240" w:hanging="280"/>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Noncash consideration; and</w:t>
      </w:r>
    </w:p>
    <w:p>
      <w:pPr>
        <w:spacing w:after="0" w:line="111" w:lineRule="exact"/>
        <w:rPr>
          <w:rFonts w:ascii="Arial" w:cs="Arial" w:eastAsia="Arial" w:hAnsi="Arial"/>
          <w:sz w:val="18"/>
          <w:szCs w:val="18"/>
          <w:color w:val="auto"/>
        </w:rPr>
      </w:pPr>
    </w:p>
    <w:p>
      <w:pPr>
        <w:ind w:left="1240" w:hanging="280"/>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Consideration payable to a customer.</w:t>
      </w:r>
    </w:p>
    <w:p>
      <w:pPr>
        <w:spacing w:after="0" w:line="21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Datacenter Revenue</w:t>
      </w:r>
    </w:p>
    <w:p>
      <w:pPr>
        <w:spacing w:after="0" w:line="1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Greenidge has entered into digital asset mining pools by executing contracts with the mining pool operators to provide computing power to the mining pool. The contracts are terminable at any time by either party and Greenidge’s enforceable right to compensation only begins when Greenidge provides computing power to the mining pool operator. In exchange for providing computing power, Greenidge is entitled to a theoretical fractional share of the cryptocurrency award the mining pool operator receives less digital asset transaction fees to the mining pool operator. Revenue is measured as the value of the fractional share of the cryptocurrency award received from the pool operator, which has been reduced by the transaction fee retained by the pool operator, for Greenidge’s pro rata contribution of computing power to the mining pool operator for the successful solution of the current algorithm.</w:t>
      </w: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Providing computing power in digital asset transaction verification services is an output of Greenidge’s ordinary activities. The provision of providing such computing power is the only performance obligation in Greenidge’s contracts with mining pool operators. The cryptocurrency that Greenidge receives as transaction consideration is noncash consideration, which Greenidge measures at fair value on the date received, which is not materially different than the fair value at the contract inception or the time Greenidge has earned the award from the pools. The consideration is all variable. Because it is not probable that a significant reversal of cumulative revenue will not occur, the consideration is constrained until the mining pool operator successfully places a block (by being the first to solve an algorithm) and Greenidge receives confirmation of the consideration it will receive, at which time revenue is recognized.</w:t>
      </w:r>
    </w:p>
    <w:p>
      <w:pPr>
        <w:spacing w:after="0" w:line="211"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Pool fees paid by miners to pooling operators are based on a fixed percentage of the theoretical bitcoin block reward and network transaction fees received by miners. Pooling fees are netted against daily bitcoin payouts. Greenidge does not expect any material future changes in pool fee percentages paid to pooling operators, however as pools become more competitive, these fees may trend lower over time.</w:t>
      </w:r>
    </w:p>
    <w:p>
      <w:pPr>
        <w:spacing w:after="0" w:line="188" w:lineRule="exact"/>
        <w:rPr>
          <w:sz w:val="20"/>
          <w:szCs w:val="20"/>
          <w:color w:val="auto"/>
        </w:rPr>
      </w:pPr>
    </w:p>
    <w:p>
      <w:pPr>
        <w:ind w:right="840"/>
        <w:spacing w:after="0" w:line="251" w:lineRule="auto"/>
        <w:rPr>
          <w:sz w:val="20"/>
          <w:szCs w:val="20"/>
          <w:color w:val="auto"/>
        </w:rPr>
      </w:pPr>
      <w:r>
        <w:rPr>
          <w:rFonts w:ascii="Arial" w:cs="Arial" w:eastAsia="Arial" w:hAnsi="Arial"/>
          <w:sz w:val="18"/>
          <w:szCs w:val="18"/>
          <w:color w:val="auto"/>
        </w:rPr>
        <w:t>Fair value of the cryptocurrency award received is determined using the quoted price on Greenidge’s primary exchange of the related cryptocurrency at the time of receipt.</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There is currently no specific definitive guidance under U.S. GAAP or alternative accounting framework for the accounting for cryptocurrencies recognized as revenue or held, and management has exercised significant judgment in determining the appropriate accounting treatment. In the event authoritative guidance is enacted by the FASB, Greenidge may be required to change its policies, which could have an effect on the Company’s consolidated financial position and results of operations.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Power and capacity revenue</w:t>
      </w:r>
    </w:p>
    <w:p>
      <w:pPr>
        <w:spacing w:after="0" w:line="12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spacing w:after="0" w:line="206" w:lineRule="exact"/>
        <w:rPr>
          <w:sz w:val="20"/>
          <w:szCs w:val="20"/>
          <w:color w:val="auto"/>
        </w:rPr>
      </w:pPr>
    </w:p>
    <w:p>
      <w:pPr>
        <w:jc w:val="both"/>
        <w:ind w:right="520"/>
        <w:spacing w:after="0" w:line="248" w:lineRule="auto"/>
        <w:rPr>
          <w:sz w:val="20"/>
          <w:szCs w:val="20"/>
          <w:color w:val="auto"/>
        </w:rPr>
      </w:pPr>
      <w:r>
        <w:rPr>
          <w:rFonts w:ascii="Arial" w:cs="Arial" w:eastAsia="Arial" w:hAnsi="Arial"/>
          <w:sz w:val="18"/>
          <w:szCs w:val="18"/>
          <w:color w:val="auto"/>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Cryptocurrency Datacenter Cost of Revenue</w:t>
      </w:r>
    </w:p>
    <w:p>
      <w:pPr>
        <w:spacing w:after="0" w:line="13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Cost of revenue—cryptocurrency datacenter consists primarily of natural gas, emissions, payroll and benefits and other direct production costs associated with the megawatts generated for the digital mining operation. Cost of revenue – cryptocurrency datacenter does not include depreciation and amortization.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and Capacity Cost of Revenue</w:t>
      </w:r>
    </w:p>
    <w:p>
      <w:pPr>
        <w:spacing w:after="0" w:line="133"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Cost of revenue—power and capacity consists primarily of natural gas, emissions, payroll and benefits and other direct production costs associated with the megawatts generated for the power produced by Greenidge and sold to the grid. Cost of revenue – power and capacity does not include depreciation and amortization.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Selling, general and administrative expenses consist primarily of administrative payroll and benefits, business development costs, professional fees, and insurance.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3"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Company accounts for share-based payment awards exchanged for services at the estimated grant date fair value of the award. Stock options issued under the Company’s equity incentive plans are granted with an exercise price equal to no less than the market price of the Company’s stock at the date of grant and expire up to ten years from the date of the grants. These options generally vest on the grant date or over a three year period. The Company has elected to account for forfeitures of employee awards as they occur.</w:t>
      </w:r>
    </w:p>
    <w:p>
      <w:pPr>
        <w:spacing w:after="0" w:line="208"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The Company estimates the fair value of the stock option grants using the Black-Scholes-Merton option pricing model and the assumptions used in calculating the fair value of stock-based awards represent management’s best estimates and involve inherent uncertainties and the application of management’s judgement.</w:t>
      </w:r>
    </w:p>
    <w:p>
      <w:pPr>
        <w:spacing w:after="0" w:line="188"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simplified method, which is the half-life from vesting to the end of its contractual term.</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historical volatility of the Company’s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bases the risk-free interest rate on the implied yield available on U.S. Treasury zero-coupon issues with</w:t>
      </w:r>
      <w:r>
        <w:rPr>
          <w:rFonts w:ascii="Arial" w:cs="Arial" w:eastAsia="Arial" w:hAnsi="Arial"/>
          <w:sz w:val="18"/>
          <w:szCs w:val="18"/>
          <w:i w:val="1"/>
          <w:iCs w:val="1"/>
          <w:color w:val="auto"/>
        </w:rPr>
        <w:t xml:space="preserve"> </w:t>
      </w:r>
      <w:r>
        <w:rPr>
          <w:rFonts w:ascii="Arial" w:cs="Arial" w:eastAsia="Arial" w:hAnsi="Arial"/>
          <w:sz w:val="18"/>
          <w:szCs w:val="18"/>
          <w:color w:val="auto"/>
        </w:rPr>
        <w:t>an equivalent remaining term.</w:t>
      </w:r>
    </w:p>
    <w:p>
      <w:pPr>
        <w:spacing w:after="0" w:line="167" w:lineRule="exact"/>
        <w:rPr>
          <w:sz w:val="20"/>
          <w:szCs w:val="20"/>
          <w:color w:val="auto"/>
        </w:rPr>
      </w:pPr>
    </w:p>
    <w:p>
      <w:pPr>
        <w:ind w:right="540"/>
        <w:spacing w:after="0" w:line="272"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Company has never declared or paid any cash dividends on its common shares and does not plan to pay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 the foreseeable future, and, therefore, uses an expected dividend yield of zero in its valuation models.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3"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 xml:space="preserve">Prior to the formation of Greenidge on January 27, 2021, GGH was treated as a partnership for federal and state income tax purposes. Subsequent to the restructuring incurred on January 29, 2021, the Company accounts for income taxes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income tax assets and liabilities are determined based on the differences between financial statement carrying amounts and the tax basis of existing assets and liabilities. These</w:t>
      </w:r>
    </w:p>
    <w:p>
      <w:pPr>
        <w:sectPr>
          <w:pgSz w:w="11900" w:h="16838" w:orient="portrait"/>
          <w:cols w:equalWidth="0" w:num="1">
            <w:col w:w="11200"/>
          </w:cols>
          <w:pgMar w:left="320" w:top="1234" w:right="37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34" w:right="379" w:bottom="1440" w:gutter="0" w:footer="0" w:header="0"/>
          <w:type w:val="continuous"/>
        </w:sectPr>
      </w:pPr>
    </w:p>
    <w:bookmarkStart w:id="98" w:name="page99"/>
    <w:bookmarkEnd w:id="98"/>
    <w:p>
      <w:pPr>
        <w:ind w:right="420"/>
        <w:spacing w:after="0" w:line="251" w:lineRule="auto"/>
        <w:rPr>
          <w:sz w:val="20"/>
          <w:szCs w:val="20"/>
          <w:color w:val="auto"/>
        </w:rPr>
      </w:pPr>
      <w:r>
        <w:rPr>
          <w:rFonts w:ascii="Arial" w:cs="Arial" w:eastAsia="Arial" w:hAnsi="Arial"/>
          <w:sz w:val="18"/>
          <w:szCs w:val="18"/>
          <w:color w:val="auto"/>
        </w:rPr>
        <w:t>differences are measured at the enacted tax rates that will be in effect when these differences reverse. As changes in tax laws or rates are enacted, deferred tax assets and liabilities are adjusted through the provision for income taxes.</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 valuation allowance is required to be recognized if it is "more likely than not" that the deferred tax asset will not be realized. The determination of the realizability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w:t>
      </w:r>
    </w:p>
    <w:p>
      <w:pPr>
        <w:spacing w:after="0" w:line="20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recognizes and measures tax positions taken or expected to be taken in its tax return based on their technical merit and assesses the likelihood that the positions will be sustained upon examination based on the facts, circumstances and information available at the end of each period. The Company recognizes accrued interest and penalties related to unrecognized tax benefits as part of the provision for income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Per Share</w:t>
      </w:r>
    </w:p>
    <w:p>
      <w:pPr>
        <w:spacing w:after="0" w:line="13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Basic net income (loss) per common share attributable to common shareholders is calculated by dividing net income (loss) attributable to common shareholders by the weighted average number of common shares outstanding for the period. Diluted net income (loss) per common share attributable to common shareholders is calculated by dividing net income (loss) attributable to common shareholders by the diluted weighted average number of common shares outstanding for the period. The Company used the weighted average method in determining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3"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The Company determines fair value as the price that would be received to sell an asset or paid to transfer a liability in an orderly transaction between market participants at the measurement date. Inputs used in the valuation techniques to derive fair values are classified based on a three-level hierarchy. The basis for fair value measurements for each level within the hierarchy is described below, with Level 1 having the highest priority and Level 3 having the lowest. The three levels of the fair value hierarchy are as follows:</w:t>
      </w:r>
    </w:p>
    <w:p>
      <w:pPr>
        <w:spacing w:after="0" w:line="102" w:lineRule="exact"/>
        <w:rPr>
          <w:sz w:val="20"/>
          <w:szCs w:val="20"/>
          <w:color w:val="auto"/>
        </w:rPr>
      </w:pPr>
    </w:p>
    <w:p>
      <w:pPr>
        <w:ind w:left="920" w:hanging="278"/>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1 – inputs are quoted prices (unadjusted) in active markets for identical assets or liabilities.</w:t>
      </w:r>
    </w:p>
    <w:p>
      <w:pPr>
        <w:spacing w:after="0" w:line="111" w:lineRule="exact"/>
        <w:rPr>
          <w:rFonts w:ascii="Arial" w:cs="Arial" w:eastAsia="Arial" w:hAnsi="Arial"/>
          <w:sz w:val="18"/>
          <w:szCs w:val="18"/>
          <w:color w:val="auto"/>
        </w:rPr>
      </w:pPr>
    </w:p>
    <w:p>
      <w:pPr>
        <w:ind w:left="960" w:right="60" w:hanging="318"/>
        <w:spacing w:after="0" w:line="280" w:lineRule="auto"/>
        <w:tabs>
          <w:tab w:leader="none" w:pos="929" w:val="left"/>
        </w:tabs>
        <w:numPr>
          <w:ilvl w:val="0"/>
          <w:numId w:val="48"/>
        </w:numPr>
        <w:rPr>
          <w:rFonts w:ascii="Arial" w:cs="Arial" w:eastAsia="Arial" w:hAnsi="Arial"/>
          <w:sz w:val="17"/>
          <w:szCs w:val="17"/>
          <w:color w:val="auto"/>
        </w:rPr>
      </w:pPr>
      <w:r>
        <w:rPr>
          <w:rFonts w:ascii="Arial" w:cs="Arial" w:eastAsia="Arial" w:hAnsi="Arial"/>
          <w:sz w:val="17"/>
          <w:szCs w:val="17"/>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73" w:lineRule="exact"/>
        <w:rPr>
          <w:rFonts w:ascii="Arial" w:cs="Arial" w:eastAsia="Arial" w:hAnsi="Arial"/>
          <w:sz w:val="17"/>
          <w:szCs w:val="17"/>
          <w:color w:val="auto"/>
        </w:rPr>
      </w:pPr>
    </w:p>
    <w:p>
      <w:pPr>
        <w:ind w:left="920" w:hanging="278"/>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3 – inputs to valuation models are unobservable and/or reflect the Company’s market assumptions.</w:t>
      </w:r>
    </w:p>
    <w:p>
      <w:pPr>
        <w:spacing w:after="0" w:line="21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fair value hierarchy is based on maximizing the use of observable inputs and minimizing the use of unobservable inputs when measuring fair value. Classification within the fair value hierarchy is based on the lowest level of input that is significant to the fair value measurement. The Company transfers the fair value of an asset or liability between levels of the fair value hierarchy at the end of the reporting period during which a significant change in the inputs used to determine the fair value has occurred.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3"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color w:val="auto"/>
        </w:rPr>
        <w:t>Certain prior year amounts have been reclassified to conform to the current year’s presentation. As of December 31, 2022, the Company reported it's Support.com business as discontinued operations. As a result, assets and liabilities related to the Support.com have been classified as held for sale for all periods presented. Additionally, amounts previously presented as part of continuing operations have been reclassified into discontinued operations for all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3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Any new accounting standards that have been issued or proposed by FASB that do not require adoption until a future date are not expected to have a material impact on the Company’s consolidated financial statements upon adoption.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0"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16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As an emerging growth company, the Company elected to adopt this pronouncement following the effective date for private companies beginning with periods beginning after December 15, 2021. The Company adopted this standard on January 1, 2022, and the adoption did not materially impact the Company's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 WITH SUPPORT.COM</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As described in Note 1, on September 14, 2021, Greenidge and Support.com combined their respective businesses through an all-stock merger transaction where Support.com became a wholly owned subsidiary of Greenidge. The Merger was accounted for as a business combination using the acquisition method of accounting in accordance with the provisions of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Greenidge was determined to be the acquiring company for accounting purposes. As of December 31, 2022, the Company has classified the Support.com business as held for sale and discontinued operations in these consolidated financial statements (see Note 4).</w:t>
      </w:r>
    </w:p>
    <w:p>
      <w:pPr>
        <w:spacing w:after="0" w:line="20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At the effective time of the Merger ("Effective Time"): (i) each share of common stock of Support.com (the "Support.com Common Stock") issued and outstanding immediately prior to the Effective Time was cancelled and extinguished and automatically converted into the right to receive 0.115 (the "Exchange Ratio") shares of class A common stock, par value $0.0001, of the Company, (ii) each outstanding stock option of Support.com immediately prior to the Effective Time (an "Option") was accelerated, and the holder of each Option received the right to receive an amount of the Company’s class A common stock equal to the Exchange Ratio, multiplied by the number of shares of Support.com Common Stock underlying such Option, less any shares withheld in satisfaction of the aggregate exercise price of such Option and such holder’s tax withholding obligations and (iii) each outstanding restricted stock unit of Support.com immediately prior to the Effective Time (an "RSU") was accelerated, and the holder of each RSU received the right to receive an amount of the Company’s class A common stock equal to the Exchange Ratio, multiplied by the number of shares of Support.com Common Stock underlying such RSU, less any shares and such holder’s tax withholding obligations.</w:t>
      </w:r>
    </w:p>
    <w:p>
      <w:pPr>
        <w:spacing w:after="0" w:line="210"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The Company applied the acquisition method of accounting in accordance with ASC 805, with respect to the identifiable assets and liabilities of Support.com, which were measured at estimated fair value as of the date of the business combination. Any excess of the acquisition price over the fair value of the assets and liabilities acquired was recorded as goodwill.</w:t>
      </w:r>
    </w:p>
    <w:p>
      <w:pPr>
        <w:spacing w:after="0" w:line="20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required by ASC 805, the acquisition price was determined based on the value of the consideration paid to Support.com shareholders, calculated to be $93.9 million (see table below). This acquisition price was allocated to the identifiable assets acquired and liabilities assumed of Support.com based upon their estimated fair values at the Merger date, primarily using Level 2 and Level 3 inputs.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value of the consideration paid (purchase price):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74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per share amount</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Support common stock exchanged</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25,745,487</w:t>
            </w:r>
          </w:p>
        </w:tc>
      </w:tr>
      <w:tr>
        <w:trPr>
          <w:trHeight w:val="225"/>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ratio</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0.115</w:t>
            </w:r>
          </w:p>
        </w:tc>
      </w:tr>
      <w:tr>
        <w:trPr>
          <w:trHeight w:val="21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Greenidge Class A common stock exchanged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2,960,731</w:t>
            </w:r>
          </w:p>
        </w:tc>
      </w:tr>
      <w:tr>
        <w:trPr>
          <w:trHeight w:val="225"/>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Greenidge common stock value per share</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w:t>
            </w:r>
          </w:p>
        </w:tc>
      </w:tr>
      <w:tr>
        <w:trPr>
          <w:trHeight w:val="244"/>
        </w:trPr>
        <w:tc>
          <w:tcPr>
            <w:tcW w:w="9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Consideration paid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For the period immediately prior to the effective date of the Merger, Greenidge was a private company, and Support.com’s stock price fluctuated significantly based on factors not representative of the value of its underlying operations; therefore, Greenidge used the average of its closing stock price for the first ten days of trading on the Nasdaq Exchange ($31.71 per share) to measure the value of the consideration paid to Support.com shareholders.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00" w:name="page101"/>
    <w:bookmarkEnd w:id="100"/>
    <w:p>
      <w:pPr>
        <w:ind w:right="320"/>
        <w:spacing w:after="0" w:line="251" w:lineRule="auto"/>
        <w:rPr>
          <w:sz w:val="20"/>
          <w:szCs w:val="20"/>
          <w:color w:val="auto"/>
        </w:rPr>
      </w:pPr>
      <w:r>
        <w:rPr>
          <w:rFonts w:ascii="Arial" w:cs="Arial" w:eastAsia="Arial" w:hAnsi="Arial"/>
          <w:sz w:val="18"/>
          <w:szCs w:val="18"/>
          <w:color w:val="auto"/>
        </w:rPr>
        <w:t>The following table summarizes the allocation of the purchase price to the identifiable assets acquired and liabilities assumed by Greenidge, with the excess of the purchase price over the fair value of Support.com’s net assets recorded as goodwill.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27,113</w:t>
            </w:r>
          </w:p>
        </w:tc>
      </w:tr>
      <w:tr>
        <w:trPr>
          <w:trHeight w:val="225"/>
        </w:trPr>
        <w:tc>
          <w:tcPr>
            <w:tcW w:w="9740" w:type="dxa"/>
            <w:vAlign w:val="bottom"/>
          </w:tcPr>
          <w:p>
            <w:pPr>
              <w:ind w:left="20"/>
              <w:spacing w:after="0"/>
              <w:rPr>
                <w:sz w:val="20"/>
                <w:szCs w:val="20"/>
                <w:color w:val="auto"/>
              </w:rPr>
            </w:pPr>
            <w:r>
              <w:rPr>
                <w:rFonts w:ascii="Arial" w:cs="Arial" w:eastAsia="Arial" w:hAnsi="Arial"/>
                <w:sz w:val="18"/>
                <w:szCs w:val="18"/>
                <w:color w:val="auto"/>
              </w:rPr>
              <w:t>Short term investments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2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r>
      <w:tr>
        <w:trPr>
          <w:trHeight w:val="225"/>
        </w:trPr>
        <w:tc>
          <w:tcPr>
            <w:tcW w:w="97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25"/>
        </w:trPr>
        <w:tc>
          <w:tcPr>
            <w:tcW w:w="974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2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5"/>
        </w:trPr>
        <w:tc>
          <w:tcPr>
            <w:tcW w:w="97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(3,535)</w:t>
            </w:r>
          </w:p>
        </w:tc>
      </w:tr>
      <w:tr>
        <w:trPr>
          <w:trHeight w:val="22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5"/>
        </w:trPr>
        <w:tc>
          <w:tcPr>
            <w:tcW w:w="97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3,810</w:t>
            </w:r>
          </w:p>
        </w:tc>
      </w:tr>
      <w:tr>
        <w:trPr>
          <w:trHeight w:val="22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13,163</w:t>
            </w:r>
          </w:p>
        </w:tc>
      </w:tr>
      <w:tr>
        <w:trPr>
          <w:trHeight w:val="225"/>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45,369</w:t>
            </w:r>
          </w:p>
        </w:tc>
      </w:tr>
      <w:tr>
        <w:trPr>
          <w:trHeight w:val="244"/>
        </w:trPr>
        <w:tc>
          <w:tcPr>
            <w:tcW w:w="9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93,885</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For assets and liabilities (excluding identifiable intangible assets and deferred taxes), the Company estimated that the carrying values, net of allowances, represented the fair values at the effective date of the Merger.</w:t>
      </w:r>
    </w:p>
    <w:p>
      <w:pPr>
        <w:spacing w:after="0" w:line="9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Acquisitions are accounted for using the acquisition method which requires allocation of the purchase price to assets acquired and liabilities assumed based on estimated fair values. Any excess of the purchase price over the fair value of the assets and liabilities acquired is recorded as goodwill. The Company performs a goodwill impairment test annually in the fourth quarter or more frequently if events or circumstances indicate that an impairment loss may have been incurred. The applicable guidance allows an entity to first assess qualitative factors to determine if it is more likely than not that the fair value of a reporting unit is less than carrying value. If it is determined that it is more likely than not that the fair value of a reporting unit is less than carrying value then the company will estimate and compare the fair value of its reporting units to their carrying value, including goodwill. If the carrying value of goodwill is not recoverable, an impairment is recognized for the difference. Fair value is determined through the use of projected future cash flows, multiples of earnings and sales and other factors. Such analysis requires the use of certain market assumptions and discount factors, which are subjective in nature. See Note 4,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for further details on the Company's impairment of the goodwill.</w:t>
      </w:r>
    </w:p>
    <w:p>
      <w:pPr>
        <w:spacing w:after="0" w:line="21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following fair value estimates for identifiable intangible assets were based on assumptions that market participants would use in pricing an asset, based on the most advantageous market for the asset (i.e., its highest and best use).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Useful Life</w:t>
            </w:r>
          </w:p>
        </w:tc>
        <w:tc>
          <w:tcPr>
            <w:tcW w:w="8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Identifiable Intangible Asset</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4 years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25"/>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Tradename</w:t>
            </w:r>
          </w:p>
        </w:tc>
        <w:tc>
          <w:tcPr>
            <w:tcW w:w="15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8"/>
              </w:rPr>
              <w:t>5 years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4"/>
        </w:trPr>
        <w:tc>
          <w:tcPr>
            <w:tcW w:w="8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identifiable intangible assets</w:t>
            </w: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fair value of the customer relationships intangible asset was valued using a multi-period excess earnings method, a form of the income approach, which incorporates the estimated future cash flows to be generated from Support.com’s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multi-year projection periods and discounted to present value.</w:t>
      </w:r>
    </w:p>
    <w:p>
      <w:pPr>
        <w:spacing w:after="0" w:line="207" w:lineRule="exact"/>
        <w:rPr>
          <w:sz w:val="20"/>
          <w:szCs w:val="20"/>
          <w:color w:val="auto"/>
        </w:rPr>
      </w:pPr>
    </w:p>
    <w:p>
      <w:pPr>
        <w:ind w:right="720"/>
        <w:spacing w:after="0" w:line="251" w:lineRule="auto"/>
        <w:rPr>
          <w:sz w:val="20"/>
          <w:szCs w:val="20"/>
          <w:color w:val="auto"/>
        </w:rPr>
      </w:pPr>
      <w:r>
        <w:rPr>
          <w:rFonts w:ascii="Arial" w:cs="Arial" w:eastAsia="Arial" w:hAnsi="Arial"/>
          <w:sz w:val="18"/>
          <w:szCs w:val="18"/>
          <w:color w:val="auto"/>
        </w:rPr>
        <w:t>The fair value of the Support.com tradename was valued using the relief from royalty method under the income approach. This method estimates the cost savings generated by a company related to the ownership of an asset for which</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it would otherwise have had to pay royalties or license fees on revenues earned through the use of the asset and discounted to present value.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See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further details on the Company's impairment of the intangible assets.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Support.com Operations Since the Merger</w:t>
      </w:r>
    </w:p>
    <w:p>
      <w:pPr>
        <w:spacing w:after="0" w:line="133"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For the year ended December 31, 2021, the acquired Support.com business contributed $10.0 million in revenue and an operating loss of $73.6 million, which included a goodwill impairment charge of approximately $42.3 million. These results are included within loss from discontinued operations, net of tax on the Consolidated Statement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Pro Forma Financial Information</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accordance with ASC 805, supplemental unaudited pro forma information gives effect to the Merger as if it had occurred on January 1, 2021. Because Support.com has been classified as held for sale, its results of operations are included in loss from discontinued operations, net of tax in the consolidated statements of operations and there would be no change to reported revenues from continuing operations on a pro forma basis for those periods. On an unaudited pro forma basis, the net loss of the combined entity as though the business combination had occurred on January 1, 2021 is $50.5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financial information reflects certain adjustments related to the acquisition, such as:</w:t>
      </w:r>
    </w:p>
    <w:p>
      <w:pPr>
        <w:spacing w:after="0" w:line="111" w:lineRule="exact"/>
        <w:rPr>
          <w:sz w:val="20"/>
          <w:szCs w:val="20"/>
          <w:color w:val="auto"/>
        </w:rPr>
      </w:pPr>
    </w:p>
    <w:p>
      <w:pPr>
        <w:ind w:left="920" w:hanging="278"/>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Conforming the accounting policies of Support.com to those applied by Greenidge;</w:t>
      </w:r>
    </w:p>
    <w:p>
      <w:pPr>
        <w:spacing w:after="0" w:line="111" w:lineRule="exact"/>
        <w:rPr>
          <w:rFonts w:ascii="Arial" w:cs="Arial" w:eastAsia="Arial" w:hAnsi="Arial"/>
          <w:sz w:val="18"/>
          <w:szCs w:val="18"/>
          <w:color w:val="auto"/>
        </w:rPr>
      </w:pPr>
    </w:p>
    <w:p>
      <w:pPr>
        <w:ind w:left="960" w:right="680" w:hanging="318"/>
        <w:spacing w:after="0" w:line="251" w:lineRule="auto"/>
        <w:tabs>
          <w:tab w:leader="none" w:pos="9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Recording certain incremental expenses resulting from purchase accounting adjustments, such as amortization expense in connection with fair value adjustments to intangible assets; and</w:t>
      </w:r>
    </w:p>
    <w:p>
      <w:pPr>
        <w:spacing w:after="0" w:line="97" w:lineRule="exact"/>
        <w:rPr>
          <w:rFonts w:ascii="Arial" w:cs="Arial" w:eastAsia="Arial" w:hAnsi="Arial"/>
          <w:sz w:val="18"/>
          <w:szCs w:val="18"/>
          <w:color w:val="auto"/>
        </w:rPr>
      </w:pPr>
    </w:p>
    <w:p>
      <w:pPr>
        <w:ind w:left="920" w:hanging="278"/>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Recording the related tax effects of pro forma adjustments.</w:t>
      </w:r>
    </w:p>
    <w:p>
      <w:pPr>
        <w:spacing w:after="0" w:line="217"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The pro forma net loss for year ended December 31, 2021 includes $36.7 million of transaction costs ($27.7 million after tax), such as advisor fees, legal and accounting expenses. These costs will not affect the combined company’s statement of operations beyond 12 months after the closing date, September 14, 2021.</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18"/>
          <w:szCs w:val="18"/>
          <w:color w:val="auto"/>
        </w:rPr>
        <w:t>The unaudited pro forma financial information should not be relied upon as being indicative of the historical results that would have been obtained if the Merger had actually occurred on that date, nor the results of operations of the Company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146" w:right="3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4. DISCONTINUED OPERATIONS</w:t>
      </w:r>
    </w:p>
    <w:p>
      <w:pPr>
        <w:spacing w:after="0" w:line="25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business is classified as held for sale when management having the authority to approve the action commits to a plan to sell the business, the sale is probable to occur during the next 12 months at a price that is reasonable in relation to its current fair value and certain other criteria are met. A business classified as held for sale is recorded at the lower of its carrying amount or estimated fair value less cost to sell. When the carrying amount of the business exceeds its estimated fair value less cost to sell, a loss is recognized and updated each reporting period as appropriate.</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contract for Support.com's largest customer was not renewed upon expiration on December 31, 2022. As a result of this material change in the business, management and the Board of Directors made the determination to consider various alternatives for Support.com, including the disposition of assets. As of December 31, 2022, the Company classified the Support.com business as held for sale and discontinued operations in these consolidated financial statements as a result of its strategic shift to strictly focus on its cryptocurrency datacenter and power generation operations.</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January 2023, Greenidge completed the sale of a portion of the assets of Support.com for net proceeds of approximately $2.6 million, and is continuing to evaluate alternatives for the remainder of the Support.com segment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Major classes of assets and liabilities consist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As of December 31,</w:t>
            </w:r>
          </w:p>
        </w:tc>
      </w:tr>
      <w:tr>
        <w:trPr>
          <w:trHeight w:val="204"/>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3,996</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5,287</w:t>
            </w: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r>
      <w:tr>
        <w:trPr>
          <w:trHeight w:val="21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assets held for sale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w:t>
            </w:r>
          </w:p>
        </w:tc>
      </w:tr>
      <w:tr>
        <w:trPr>
          <w:trHeight w:val="245"/>
        </w:trPr>
        <w:tc>
          <w:tcPr>
            <w:tcW w:w="8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3,062</w:t>
            </w: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8"/>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assets held for sale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w:t>
            </w: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8"/>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 held for sale</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r>
      <w:tr>
        <w:trPr>
          <w:trHeight w:val="245"/>
        </w:trPr>
        <w:tc>
          <w:tcPr>
            <w:tcW w:w="8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18"/>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liabilities held for sale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held for sale</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Company reasonably expects to close on this transaction within one year; therefore, the assets and liabilities of Support.com have been presented as current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Financial results from discontinued operations consist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For the Year Ended December 31,</w:t>
            </w:r>
          </w:p>
        </w:tc>
      </w:tr>
      <w:tr>
        <w:trPr>
          <w:trHeight w:val="204"/>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Cost of revenue - services and other (exclusive of depreciation and amortization)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(5,430)</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(3,352)</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 and other costs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(32,087)</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Goodwill and intangibles asset impairment charge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(42,307)</w:t>
            </w: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8"/>
        </w:trPr>
        <w:tc>
          <w:tcPr>
            <w:tcW w:w="8160" w:type="dxa"/>
            <w:vAlign w:val="bottom"/>
          </w:tcPr>
          <w:p>
            <w:pPr>
              <w:ind w:left="20"/>
              <w:spacing w:after="0"/>
              <w:rPr>
                <w:sz w:val="20"/>
                <w:szCs w:val="20"/>
                <w:color w:val="auto"/>
              </w:rPr>
            </w:pPr>
            <w:r>
              <w:rPr>
                <w:rFonts w:ascii="Arial" w:cs="Arial" w:eastAsia="Arial" w:hAnsi="Arial"/>
                <w:sz w:val="18"/>
                <w:szCs w:val="18"/>
                <w:color w:val="auto"/>
              </w:rPr>
              <w:t>Pretax loss of discontinued operations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(73,573)</w:t>
            </w: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r>
      <w:tr>
        <w:trPr>
          <w:trHeight w:val="219"/>
        </w:trPr>
        <w:tc>
          <w:tcPr>
            <w:tcW w:w="816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(66,080)</w:t>
            </w: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The Company’s effective income tax rate from discontinued operations for the years ended December 31, 2022 and 2021 was (16.5)% and 10.2%, respectively, primarily due to goodwill impairment and nondeductible transaction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Support.com Goodwill and Intangible Assets</w:t>
      </w:r>
    </w:p>
    <w:p>
      <w:pPr>
        <w:spacing w:after="0" w:line="23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As described in Notes 1 and 3, on September 14, 2021 Greenidge and Support.com combined their respective businesses through an all-stock merger transaction that was accounted for as a business combination in accordance with ASC 805. Prior to the Merger, Greenidge did not have any goodwill or intangible assets. As of December 31, 2022, the Company has classified the Support.com business as held for sale and discontinued operations in these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related to the Company's discontinued operations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740" w:type="dxa"/>
            <w:vAlign w:val="bottom"/>
          </w:tcPr>
          <w:p>
            <w:pPr>
              <w:ind w:left="240"/>
              <w:spacing w:after="0"/>
              <w:rPr>
                <w:sz w:val="20"/>
                <w:szCs w:val="20"/>
                <w:color w:val="auto"/>
              </w:rPr>
            </w:pPr>
            <w:r>
              <w:rPr>
                <w:rFonts w:ascii="Arial" w:cs="Arial" w:eastAsia="Arial" w:hAnsi="Arial"/>
                <w:sz w:val="18"/>
                <w:szCs w:val="18"/>
                <w:color w:val="auto"/>
              </w:rPr>
              <w:t>Support acquisition (Note 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45,369</w:t>
            </w:r>
          </w:p>
        </w:tc>
      </w:tr>
      <w:tr>
        <w:trPr>
          <w:trHeight w:val="225"/>
        </w:trPr>
        <w:tc>
          <w:tcPr>
            <w:tcW w:w="9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charge – Fourth Quarter 2021 (see below)</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(42,307)</w:t>
            </w:r>
          </w:p>
        </w:tc>
      </w:tr>
      <w:tr>
        <w:trPr>
          <w:trHeight w:val="218"/>
        </w:trPr>
        <w:tc>
          <w:tcPr>
            <w:tcW w:w="974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3,062</w:t>
            </w:r>
          </w:p>
        </w:tc>
      </w:tr>
      <w:tr>
        <w:trPr>
          <w:trHeight w:val="225"/>
        </w:trPr>
        <w:tc>
          <w:tcPr>
            <w:tcW w:w="9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charge – Fourth Quarter 2022 (see below)</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r>
      <w:tr>
        <w:trPr>
          <w:trHeight w:val="219"/>
        </w:trPr>
        <w:tc>
          <w:tcPr>
            <w:tcW w:w="974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Greenidge performed its annual goodwill impairment test at December 31, 2021. The test concluded that the fair value of the Support Services reporting unit was less than its carrying value (including goodwill), and that a portion of the Company’s goodwill was impaired. In making this determination, the Company updated its discounted cash flow analysis, including updated business projections and weighted average cost of capital factors, as well as other valuation methodologies such as comparisons with similar companies and industry multiples. Accordingly, the Company recorded a non-cash goodwill impairment charge of $42.3 million which is included in loss from discontinued operations, net of tax in its consolidated statement of operations for the year ended December 31, 2021.</w:t>
      </w:r>
    </w:p>
    <w:p>
      <w:pPr>
        <w:spacing w:after="0" w:line="10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the fourth quarter 2022, due to the contract expiration of Support.com's largest customer, the Company determined that this was a triggering event to test for goodwill impairment and determined that goodwill was fully impaired as the value of the Support.com reporting unit was below the fair value of the reporting unit. As a result of the analysis, the company recorded a goodwill impairment of $3.1 million which is included in the loss from discontinued operations, net of tax on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color w:val="auto"/>
        </w:rPr>
        <w:t>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intangible assets related to the Company's discontinued operations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Customer</w:t>
            </w:r>
          </w:p>
        </w:tc>
        <w:tc>
          <w:tcPr>
            <w:tcW w:w="12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Tradename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Relationships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120" w:type="dxa"/>
            <w:vAlign w:val="bottom"/>
          </w:tcPr>
          <w:p>
            <w:pPr>
              <w:ind w:left="240"/>
              <w:spacing w:after="0"/>
              <w:rPr>
                <w:sz w:val="20"/>
                <w:szCs w:val="20"/>
                <w:color w:val="auto"/>
              </w:rPr>
            </w:pPr>
            <w:r>
              <w:rPr>
                <w:rFonts w:ascii="Arial" w:cs="Arial" w:eastAsia="Arial" w:hAnsi="Arial"/>
                <w:sz w:val="18"/>
                <w:szCs w:val="18"/>
                <w:color w:val="auto"/>
              </w:rPr>
              <w:t>Support acquisition (Note 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Impairment charge – Fourth Quarter 2022 (see below)</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3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the fourth quarter 2022, due to the contract expiration of Support.com's largest customer, the Company determined that this was a triggering event to test for intangible asset impairment and determined that both the customer relationships and the tradename were fully impaired as the value was below the expected future cash flows. As a result of the analysis, the Company recorded an impairment of the intangible assets of $2.2 million for customer relationships and $0.4 million for the tradename which is included in the loss from discontinued operations, net of tax on the consolidated statements of operations for the year ended December 31,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at December 31, 2022 and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 Useful</w:t>
            </w:r>
          </w:p>
        </w:tc>
        <w:tc>
          <w:tcPr>
            <w:tcW w:w="150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vMerge w:val="restart"/>
          </w:tcPr>
          <w:p>
            <w:pPr>
              <w:spacing w:after="0"/>
              <w:rPr>
                <w:sz w:val="14"/>
                <w:szCs w:val="14"/>
                <w:color w:val="auto"/>
              </w:rPr>
            </w:pPr>
          </w:p>
        </w:tc>
        <w:tc>
          <w:tcPr>
            <w:tcW w:w="150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658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Lives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infrastructure</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10 years</w:t>
            </w:r>
          </w:p>
        </w:tc>
        <w:tc>
          <w:tcPr>
            <w:tcW w:w="4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34,725</w:t>
            </w: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Miners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3 years</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81,979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48,121</w:t>
            </w: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 facility infrastructure</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10 years</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Land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N/A</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8,460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5 years</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Software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3 years</w:t>
            </w: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Coal ash impoundment</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4 years</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N/A</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25,856</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 deposits</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N/A</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98,110</w:t>
            </w:r>
          </w:p>
        </w:tc>
        <w:tc>
          <w:tcPr>
            <w:tcW w:w="0" w:type="dxa"/>
            <w:vAlign w:val="bottom"/>
          </w:tcPr>
          <w:p>
            <w:pPr>
              <w:spacing w:after="0"/>
              <w:rPr>
                <w:sz w:val="1"/>
                <w:szCs w:val="1"/>
                <w:color w:val="auto"/>
              </w:rPr>
            </w:pPr>
          </w:p>
        </w:tc>
      </w:tr>
      <w:tr>
        <w:trPr>
          <w:trHeight w:val="219"/>
        </w:trPr>
        <w:tc>
          <w:tcPr>
            <w:tcW w:w="6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130,417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233,237</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0" w:type="dxa"/>
            <w:vAlign w:val="bottom"/>
          </w:tcPr>
          <w:p>
            <w:pPr>
              <w:spacing w:after="0"/>
              <w:rPr>
                <w:sz w:val="1"/>
                <w:szCs w:val="1"/>
                <w:color w:val="auto"/>
              </w:rPr>
            </w:pPr>
          </w:p>
        </w:tc>
      </w:tr>
      <w:tr>
        <w:trPr>
          <w:trHeight w:val="219"/>
        </w:trPr>
        <w:tc>
          <w:tcPr>
            <w:tcW w:w="6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130,417</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216,012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was $35.1 million and $8.5 million for the years ended December 31, 2022 and 2021, respectively.</w:t>
      </w:r>
    </w:p>
    <w:p>
      <w:pPr>
        <w:spacing w:after="0" w:line="21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has reevaluated the useful lives of the assets and effective July 1, 2022, adjusted the lives of the miners from 5 years to 3 years, the lives of plant infrastructure from 15 - 39 years to 10 years and the lives of miner facility infrastructure from 15 years to 10 years.</w:t>
      </w:r>
    </w:p>
    <w:p>
      <w:pPr>
        <w:spacing w:after="0" w:line="20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05" w:name="page106"/>
    <w:bookmarkEnd w:id="105"/>
    <w:p>
      <w:pPr>
        <w:ind w:right="160"/>
        <w:spacing w:after="0" w:line="248" w:lineRule="auto"/>
        <w:rPr>
          <w:sz w:val="20"/>
          <w:szCs w:val="20"/>
          <w:color w:val="auto"/>
        </w:rPr>
      </w:pPr>
      <w:r>
        <w:rPr>
          <w:rFonts w:ascii="Arial" w:cs="Arial" w:eastAsia="Arial" w:hAnsi="Arial"/>
          <w:sz w:val="18"/>
          <w:szCs w:val="18"/>
          <w:color w:val="auto"/>
        </w:rPr>
        <w:t>As a result of the significant reduction in the price of bitcoin and increased energy prices during 2022, the Company recognized noncash impairment charges of $176.3 million to reduce the net book value of the long-lived assets to fair value. Fair value was determined utilizing the market approach.</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financing agreements: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 in thousands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As of:</w:t>
            </w: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Note</w:t>
            </w:r>
          </w:p>
        </w:tc>
        <w:tc>
          <w:tcPr>
            <w:tcW w:w="80" w:type="dxa"/>
            <w:vAlign w:val="bottom"/>
            <w:vMerge w:val="restart"/>
          </w:tcPr>
          <w:p>
            <w:pPr>
              <w:spacing w:after="0"/>
              <w:rPr>
                <w:sz w:val="12"/>
                <w:szCs w:val="12"/>
                <w:color w:val="auto"/>
              </w:rPr>
            </w:pPr>
          </w:p>
        </w:tc>
        <w:tc>
          <w:tcPr>
            <w:tcW w:w="16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Loan Date</w:t>
            </w:r>
          </w:p>
        </w:tc>
        <w:tc>
          <w:tcPr>
            <w:tcW w:w="100" w:type="dxa"/>
            <w:vAlign w:val="bottom"/>
            <w:vMerge w:val="restart"/>
          </w:tcPr>
          <w:p>
            <w:pPr>
              <w:spacing w:after="0"/>
              <w:rPr>
                <w:sz w:val="12"/>
                <w:szCs w:val="12"/>
                <w:color w:val="auto"/>
              </w:rPr>
            </w:pPr>
          </w:p>
        </w:tc>
        <w:tc>
          <w:tcPr>
            <w:tcW w:w="16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vMerge w:val="restart"/>
          </w:tcPr>
          <w:p>
            <w:pPr>
              <w:spacing w:after="0"/>
              <w:rPr>
                <w:sz w:val="12"/>
                <w:szCs w:val="12"/>
                <w:color w:val="auto"/>
              </w:rPr>
            </w:pPr>
          </w:p>
        </w:tc>
        <w:tc>
          <w:tcPr>
            <w:tcW w:w="1640" w:type="dxa"/>
            <w:vAlign w:val="bottom"/>
            <w:gridSpan w:val="3"/>
          </w:tcPr>
          <w:p>
            <w:pPr>
              <w:jc w:val="right"/>
              <w:ind w:right="720"/>
              <w:spacing w:after="0" w:line="146" w:lineRule="exact"/>
              <w:rPr>
                <w:sz w:val="20"/>
                <w:szCs w:val="20"/>
                <w:color w:val="auto"/>
              </w:rPr>
            </w:pPr>
            <w:r>
              <w:rPr>
                <w:rFonts w:ascii="Arial" w:cs="Arial" w:eastAsia="Arial" w:hAnsi="Arial"/>
                <w:sz w:val="14"/>
                <w:szCs w:val="14"/>
                <w:b w:val="1"/>
                <w:bCs w:val="1"/>
                <w:color w:val="auto"/>
              </w:rPr>
              <w:t>Interest</w:t>
            </w:r>
          </w:p>
        </w:tc>
        <w:tc>
          <w:tcPr>
            <w:tcW w:w="1120" w:type="dxa"/>
            <w:vAlign w:val="bottom"/>
            <w:gridSpan w:val="2"/>
          </w:tcPr>
          <w:p>
            <w:pPr>
              <w:ind w:left="240"/>
              <w:spacing w:after="0" w:line="146" w:lineRule="exact"/>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2"/>
                <w:szCs w:val="12"/>
                <w:color w:val="auto"/>
              </w:rPr>
            </w:pPr>
          </w:p>
        </w:tc>
        <w:tc>
          <w:tcPr>
            <w:tcW w:w="118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080" w:type="dxa"/>
            <w:vAlign w:val="bottom"/>
          </w:tcPr>
          <w:p>
            <w:pPr>
              <w:jc w:val="right"/>
              <w:ind w:right="74"/>
              <w:spacing w:after="0" w:line="146"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2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Financing</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 Financings: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December 2020</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June 2022</w:t>
            </w: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17.0 %  $</w:t>
            </w:r>
          </w:p>
        </w:tc>
        <w:tc>
          <w:tcPr>
            <w:tcW w:w="1040" w:type="dxa"/>
            <w:vAlign w:val="bottom"/>
          </w:tcPr>
          <w:p>
            <w:pPr>
              <w:jc w:val="right"/>
              <w:spacing w:after="0"/>
              <w:rPr>
                <w:sz w:val="20"/>
                <w:szCs w:val="20"/>
                <w:color w:val="auto"/>
              </w:rPr>
            </w:pPr>
            <w:r>
              <w:rPr>
                <w:rFonts w:ascii="Arial" w:cs="Arial" w:eastAsia="Arial" w:hAnsi="Arial"/>
                <w:sz w:val="18"/>
                <w:szCs w:val="18"/>
                <w:color w:val="auto"/>
              </w:rPr>
              <w:t>4,482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2020</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5"/>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C</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March 2021</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November 2022</w:t>
            </w:r>
          </w:p>
        </w:tc>
        <w:tc>
          <w:tcPr>
            <w:tcW w:w="134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2021</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5"/>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E - H</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May 2021</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October 2023</w:t>
            </w:r>
          </w:p>
        </w:tc>
        <w:tc>
          <w:tcPr>
            <w:tcW w:w="1340" w:type="dxa"/>
            <w:vAlign w:val="bottom"/>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15,513</w:t>
            </w:r>
          </w:p>
        </w:tc>
        <w:tc>
          <w:tcPr>
            <w:tcW w:w="0" w:type="dxa"/>
            <w:vAlign w:val="bottom"/>
          </w:tcPr>
          <w:p>
            <w:pPr>
              <w:spacing w:after="0"/>
              <w:rPr>
                <w:sz w:val="1"/>
                <w:szCs w:val="1"/>
                <w:color w:val="auto"/>
              </w:rPr>
            </w:pPr>
          </w:p>
        </w:tc>
      </w:tr>
      <w:tr>
        <w:trPr>
          <w:trHeight w:val="22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2021</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2023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25"/>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J</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July 2021</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March 2023</w:t>
            </w:r>
          </w:p>
        </w:tc>
        <w:tc>
          <w:tcPr>
            <w:tcW w:w="134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2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2021</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5"/>
        </w:trPr>
        <w:tc>
          <w:tcPr>
            <w:tcW w:w="2400" w:type="dxa"/>
            <w:vAlign w:val="bottom"/>
            <w:gridSpan w:val="2"/>
          </w:tcPr>
          <w:p>
            <w:pPr>
              <w:ind w:left="240"/>
              <w:spacing w:after="0"/>
              <w:rPr>
                <w:sz w:val="20"/>
                <w:szCs w:val="20"/>
                <w:color w:val="auto"/>
              </w:rPr>
            </w:pPr>
            <w:r>
              <w:rPr>
                <w:rFonts w:ascii="Arial" w:cs="Arial" w:eastAsia="Arial" w:hAnsi="Arial"/>
                <w:sz w:val="18"/>
                <w:szCs w:val="18"/>
                <w:color w:val="auto"/>
              </w:rPr>
              <w:t>L</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March 2022</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April 2024</w:t>
            </w:r>
          </w:p>
        </w:tc>
        <w:tc>
          <w:tcPr>
            <w:tcW w:w="1340" w:type="dxa"/>
            <w:vAlign w:val="bottom"/>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81,375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October</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8"/>
                <w:szCs w:val="18"/>
                <w:color w:val="auto"/>
              </w:rPr>
              <w:t>2021/December</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2026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72,200</w:t>
            </w: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Secured Promissory Note</w:t>
            </w:r>
          </w:p>
        </w:tc>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March 2022</w:t>
            </w:r>
          </w:p>
        </w:tc>
        <w:tc>
          <w:tcPr>
            <w:tcW w:w="1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June 2023</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26,500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100,495</w:t>
            </w:r>
          </w:p>
        </w:tc>
        <w:tc>
          <w:tcPr>
            <w:tcW w:w="0" w:type="dxa"/>
            <w:vAlign w:val="bottom"/>
          </w:tcPr>
          <w:p>
            <w:pPr>
              <w:spacing w:after="0"/>
              <w:rPr>
                <w:sz w:val="1"/>
                <w:szCs w:val="1"/>
                <w:color w:val="auto"/>
              </w:rPr>
            </w:pPr>
          </w:p>
        </w:tc>
      </w:tr>
      <w:tr>
        <w:trPr>
          <w:trHeight w:val="225"/>
        </w:trPr>
        <w:tc>
          <w:tcPr>
            <w:tcW w:w="4180" w:type="dxa"/>
            <w:vAlign w:val="bottom"/>
            <w:tcBorders>
              <w:bottom w:val="single" w:sz="8" w:color="CCEEFF"/>
            </w:tcBorders>
            <w:gridSpan w:val="4"/>
          </w:tcPr>
          <w:p>
            <w:pPr>
              <w:ind w:left="240"/>
              <w:spacing w:after="0"/>
              <w:rPr>
                <w:sz w:val="20"/>
                <w:szCs w:val="20"/>
                <w:color w:val="auto"/>
              </w:rPr>
            </w:pPr>
            <w:r>
              <w:rPr>
                <w:rFonts w:ascii="Arial" w:cs="Arial" w:eastAsia="Arial" w:hAnsi="Arial"/>
                <w:sz w:val="18"/>
                <w:szCs w:val="18"/>
                <w:color w:val="auto"/>
              </w:rPr>
              <w:t>Less: Debt discount and issue costs</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19"/>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 at book value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94,828</w:t>
            </w: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Current portion</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(19,577)</w:t>
            </w: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 and deferred financing fees</w:t>
            </w: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75,251</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The Company incurred interest expense of $21.6 million and $3.7 million during the years ended December 31, 2022 and 2021, respectively, under the terms of these notes payable.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Financings</w:t>
      </w:r>
    </w:p>
    <w:p>
      <w:pPr>
        <w:spacing w:after="0" w:line="13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Company had equipment finance agreements, denoted in the table above in rows A through K, that were secured by the purchased miner equipment. These agreements generally required monthly payments of principal, interest and a risk premium fee. The Company pre-paid the remaining balance of loans denoted as rows J and K in November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Equipment Financing Agreement</w:t>
      </w:r>
    </w:p>
    <w:p>
      <w:pPr>
        <w:spacing w:after="0" w:line="239"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On March 21, 2022, Greenidge, as guarantor, together with its wholly-owned subsidiaries GTX Gen 1 Collateral LLC, GNY Collateral LLC and GSC Collateral LLC (collectively, the "Borrowers"), entered into a Master Equipment Finance Agreement (the "NYDIG Financing Agreement") with NYDIG ABL LLC ("NYDIG"), as lender, whereby NYDIG agreed to lend to the Borrowers approximately $81 million under loan schedules that were partially funded for approximately $54 million in March 2022, with additional funding of $17 million through December 31, 2022, to finance the acquisition of certain miners and related equipment (the "Financed Equipment"). The Borrowers' obligations under the NYDIG Financing Agreement are fully and unconditionally guaranteed by Greenidge. Outstanding borrowings under the NYDIG Financing Agreement are secured by all assets of the Borrowers, including without limitation, the Financed Equipment and proceeds thereof (including bitcoin). The loan schedules bear interest at a rate of 13% per annum and have terms of twenty-five months. Certain loan schedules were interest-only for a specified period and otherwise payments on loan schedules included both an interest and principal payment. Pursuant to the terms of the NYDIG Financing Agreement, the Borrowers and with certain exceptions, the Company, were subject to certain covenants and restrictive provisions which, among other things limited: the Borrowers’ ability to incur additional indebtedness for borrowed money; additional liens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06" w:name="page107"/>
    <w:bookmarkEnd w:id="106"/>
    <w:p>
      <w:pPr>
        <w:spacing w:after="0" w:line="264" w:lineRule="auto"/>
        <w:rPr>
          <w:sz w:val="20"/>
          <w:szCs w:val="20"/>
          <w:color w:val="auto"/>
        </w:rPr>
      </w:pPr>
      <w:r>
        <w:rPr>
          <w:rFonts w:ascii="Arial" w:cs="Arial" w:eastAsia="Arial" w:hAnsi="Arial"/>
          <w:sz w:val="17"/>
          <w:szCs w:val="17"/>
          <w:color w:val="auto"/>
        </w:rPr>
        <w:t>on the collateral or the equity interests of any of the Borrowers; consolidations or mergers including the Borrowers or the Company unless such would not constitute a Change in Control (as defined therein); disposing of the collateral or any portion of the collateral with certain exceptions; the Borrowers’ ability to make certain restricted payments and investments; and the ability to create certain direct obligations of the Borrowers or the Company unless the NYDIG Financing Agreement is at least pari passu in right of payment; each of which were subject to customary and usual exceptions and baskets. The loans under the NYDIG Financing Agreement could not be voluntarily partially prepaid, but could be prepaid in whole subject to a make-whole calculation. The NYDIG Financing Agreement is denoted in the table above as "Equipment Financings: L."</w:t>
      </w:r>
    </w:p>
    <w:p>
      <w:pPr>
        <w:spacing w:after="0" w:line="8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At December 31, 2022, Greenidge owed a payment of principal and interest in the amount of approximately $1.0 million due on December 25, 2022. Prior to defaulting on any payments, the Company and NYDIG entered into a waiver that stated both parties agreed that failure to pay the December 25, 2022 and the January 10, 2023 payments when due would not be an event of default if payment was made in full by January 27, 2023.</w:t>
      </w:r>
    </w:p>
    <w:p>
      <w:pPr>
        <w:spacing w:after="0" w:line="9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January 30, 2023, the Company entered into a Debt Settlement Agreement (the "Debt Settlement Agreement"), with NYDIG in order to refinance and replace certain outstanding indebtedness under certain Master Equipment Financing Agreements and related loan documentation (the "MEFAs"). The $ 75.8 million in debt previously outstanding under the MEFAs was reduced by $58.5 million pursuant to the Debt Settlement Agreement and the remaining $17.3 million outstanding under the MEFAs was refinanced as provided below (the "Refinancing"). As part of the Debt Settlement Agreement, the Company entered into a Senior Secured Loan Agreement (the "Secured Loan"), as borrower, with NYDIG, as administrative agent and as collateral agent.</w:t>
      </w:r>
    </w:p>
    <w:p>
      <w:pPr>
        <w:spacing w:after="0" w:line="14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initial principal balance under the Secured Loan (the "Refinanced Amount") is approximately $17.3 million. Interest is payable monthly at an interest rate of 15% per annum, computed on the basis of a 360 day year of twelve 30-day months through January 30, 2025. The Secured Loan includes clauses requiring the Company to maintain cash balances in excess of $10 million and failure to maintain this balance can be considered an event of default by the lender. The Secured Loan contains customary representations, warranties and covenants including restrictions on indebtedness, liens, restricted payments and dividend, investments, asset sales and similar covenants and contains customary events of default. In addition, the Secured Loan allows for a voluntary prepayment of the loan in kind of approximately $10.2 million by transferring ownership of certain mining infrastructure assets to NYDIG if NYDIG enters into a binding agreement by April 30, 2023, facilitated by Greenidge, securing rights to a site for a future mining facility. As part of this Refinancing, Greenidge and certain of its subsidiaries have simultaneously entered into (i) a Membership Interest and Asset Purchase Agreement dated January 30,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Promissory Note</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March 18, 2022, Greenidge issued a secured promissory note, as borrower, in favor of B. Riley Commercial Capital, LLC, as noteholder (the "Noteholder"), evidencing a $26.5 million aggregate principal amount loan by the Noteholder to Greenidge (the "Secured Promissory Note"). The Secured Promissory Note is guaranteed by certain of Greenidge’s wholly-owned subsidiaries: Greenidge South Carolina LLC, GSC RE LLC and 300 Jones Road LLC. The loan outstanding under the Secured Promissory Note originally bore interest at a rate of 6% per annum and originally matured on July 20, 2022, subject to up to five 30-day extensions, through December 2022, that may be elected by Greenidge provided no Event of Default (as defined therein) occurred and is continuing and Greenidge pays an Exit Fee (as defined therein) to the Noteholder. Pursuant to the terms of the Secured Promissory Note, Greenidge and its subsidiaries were subject to certain covenants and restrictive provisions which will, among other things, limit their ability to incur additional indebtedness for borrowed money or additional liens other than debt and liens permitted pursuant to the Secured Promissory Note; consolidate or merge unless Greenidge survives; or transfer all or substantially all of their assets; make certain restricted payments or investments; have a Change of Control (as defined therein); modify certain material agreements; and engage in certain types of transactions with affiliates; each of which are subject to customary and usual exceptions and baskets. The Secured Promissory Note is secured by a first priority mortgage lien on certain real property together with related improvements, fixtures and personal property located at Greenidge's South Carolina Facility. Greenidge’s obligations under the Secured Promissory Note may be prepaid in whole or in part without penalties or fees.</w:t>
      </w:r>
    </w:p>
    <w:p>
      <w:pPr>
        <w:spacing w:after="0" w:line="21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On August 10, 2022, Greenidge and the Noteholder agreed to amend the terms of the Secured Promissory Note, by extending the maturity to June 2023, reducing scheduled monthly amortization payments and revising the interest rate to 7.5%. The Exit Fees (as defined therein) associated with the four 30-day extensions subsequent to August 10, 2022, were accelerated and added to the principal balance as of that date. The principal balance following the amendment was $16.4 million as of August 10, 2022. Additionally mandatory repayments of the Secured Promissory Note were revised, such that 65% of the net cash proceeds received from sales of stock under the 2022 Purchase Agreement would be paid to Noteholder to repay the Secured Promissory Note. The Company evaluated the amendment under ASC 470-50, "Debt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07" w:name="page108"/>
    <w:bookmarkEnd w:id="107"/>
    <w:p>
      <w:pPr>
        <w:ind w:right="320"/>
        <w:spacing w:after="0" w:line="251" w:lineRule="auto"/>
        <w:rPr>
          <w:sz w:val="20"/>
          <w:szCs w:val="20"/>
          <w:color w:val="auto"/>
        </w:rPr>
      </w:pPr>
      <w:r>
        <w:rPr>
          <w:rFonts w:ascii="Arial" w:cs="Arial" w:eastAsia="Arial" w:hAnsi="Arial"/>
          <w:sz w:val="18"/>
          <w:szCs w:val="18"/>
          <w:color w:val="auto"/>
        </w:rPr>
        <w:t>Modification and Extinguishment", and concluded that the updated terms qualified as a debt modification, and therefore, no gain or loss was recorded.</w:t>
      </w:r>
    </w:p>
    <w:p>
      <w:pPr>
        <w:spacing w:after="0" w:line="9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 January 13, 2023, Greenidge and the Noteholder entered into a Waiver and Acknowledgement Letter (the "B Riley Waiver") regarding the terms of the Amended and Restated Bridge Promissory Note dated August 10, 2022 executed by Greenidge in favor of the Noteholder. Under the B Riley Waiver, the Noteholder agreed that Greenidge’s failure to pay the approximately $1.5 million payment of principal and interest due under the BRCC Note on December 20, 2022 would not be an event of default if that payment were made in full by the earlier of January 20, 2023 or the date that Greenidge and the Noteholder enter into a mutually satisfactory amendment to the BRCC Note addressing, among other things, future amortization requirements under the BRCC Note. The waiver left the due dates for other scheduled payments under the BRCC Note unaffected.</w:t>
      </w:r>
    </w:p>
    <w:p>
      <w:pPr>
        <w:spacing w:after="0" w:line="19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On January 30, 2023, Greenidge entered into the Consent and Amendment No. 1 to the Promissory Note (the "B. Riley Amendment") with B. Riley Commercial. The B. Riley Amendment modified the payment dates and principal and interest payment amounts under the Promissory Note, requiring no principal and interest payments until June 2023 and monthly payments thereafter through November 2023. Under the B. Riley Amendment, Greenidge is required to make mandatory monthly debt repayments under the Promissory Note of 15% of the net proceeds of sales of equity, including sales under the ATM Agreement and the equity purchase agreement. In addition, Greenidge may potentially reduce its monthly principal amortization payments from approximately $1.5 million to $400 thousand per month, if it were to pay at least $ 6 million of principal debt prior to June 20, 2023. Greenidge agreed to pay a $1 million dollar amendment fee to B. Riley Commercial, payable by the delivery of Greenidge class A common stock to the Noteholder, as principal under the ATM Agreement, at a price of $0.75 per share.</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terms of the B. Riley Amendment, the parties agreed that each of B. Riley Commercial and Atlas Holdings LLC, or an affiliate thereof, would purchase $1 million of Greenidge’s class A common stock under the ATM Agreement. B. Riley would purchase common stock on a principal basis at $0.75 per share and Atlas Holdings LLC or its affiliate would purchase common stock at market prices through B. Riley acting as sales agent. Greenidge would use the $1.9 million of proceeds from the sale of this equity to repay a portion of the Promissory Note, reducing the principal balance due under the Promissory Note to approximately $9 million. Additionally, Greenidge is actively pursuing the sale of excess real estate that is not needed for the mining operations at the South Carolina property. Under the terms of the Promissory Note, if all or a portion of the South Carolina property is sold, the net proceeds from the sale are required to be used to repay the Promissory Note. The Company estimates that it would repay approximately $6 to $7 million of the Promissory Note, if it were to complete a sale of the excess real estate.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33"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During the fourth quarter of 2021, the Company sold $72.2 million of 8.50% Senior Notes due October 2026 (the "Notes") pursuant to the Company's registration statement on Form S-1. Interest on the Notes is payable quarterly in arrears on January 31, April 30, July 31 and October 31 of each year to the holders of record at the close of business on the immediately preceding January 15, April 15, July 15 and October 15, respectively. The Notes are senior unsecured obligations of the Company and rank equal in right of payment with the Company's existing and future senior unsecured indebtedness. The Notes trade on the Nasdaq Global Select Market under the symbol "GREEL."</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may redeem the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Notes, in whole, but not in part, at any time at its option, at a redemption price equal to 100.5% of the principal amount plus accrued and unpaid interest to, but not including, the date of redemption, upon the occurrence of certain change of control events.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13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notional value and estimated fair value of the Company's debt totaled $157.5 million and $88.5 million, respectively at December 31, 2022 and $100.5 million and $97.5 million, respectively at December 31, 2021. The notional value does not include unamortized discounts and debt issuance costs of $5.7 million and $5.7 million at December 31, 2022 and 2021, respectively. The estimated fair value of the Bonds Payable, representing the fair value of the Company's 8.50% senior secured notes due October 2026, was measured using quoted market prices at the reporting date. Such</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08" w:name="page109"/>
    <w:bookmarkEnd w:id="108"/>
    <w:p>
      <w:pPr>
        <w:ind w:right="40"/>
        <w:spacing w:after="0" w:line="251" w:lineRule="auto"/>
        <w:rPr>
          <w:sz w:val="20"/>
          <w:szCs w:val="20"/>
          <w:color w:val="auto"/>
        </w:rPr>
      </w:pPr>
      <w:r>
        <w:rPr>
          <w:rFonts w:ascii="Arial" w:cs="Arial" w:eastAsia="Arial" w:hAnsi="Arial"/>
          <w:sz w:val="18"/>
          <w:szCs w:val="18"/>
          <w:color w:val="auto"/>
        </w:rPr>
        <w:t>instruments were valued using Level 1 inputs. For the Equipment Financings and Secured Promissory Note, the Company believes the notional values approximate their fair values.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principal payments on debt as of December 31, 2022 were as follows based on the terms of the debt at that date: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68,273</w:t>
            </w:r>
          </w:p>
        </w:tc>
      </w:tr>
      <w:tr>
        <w:trPr>
          <w:trHeight w:val="225"/>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17,020</w:t>
            </w:r>
          </w:p>
        </w:tc>
      </w:tr>
      <w:tr>
        <w:trPr>
          <w:trHeight w:val="22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72,200</w:t>
            </w:r>
          </w:p>
        </w:tc>
      </w:tr>
      <w:tr>
        <w:trPr>
          <w:trHeight w:val="22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974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157,493</w:t>
            </w:r>
          </w:p>
        </w:tc>
      </w:tr>
      <w:tr>
        <w:trPr>
          <w:trHeight w:val="20"/>
        </w:trPr>
        <w:tc>
          <w:tcPr>
            <w:tcW w:w="9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right="8800" w:firstLine="6"/>
        <w:spacing w:after="0" w:line="381" w:lineRule="auto"/>
        <w:tabs>
          <w:tab w:leader="none" w:pos="19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Authorized Shares</w:t>
      </w:r>
    </w:p>
    <w:p>
      <w:pPr>
        <w:spacing w:after="0" w:line="1"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On September 13, 2021, Greenidge filed an amendment to its certificate of incorporation to increase the authorized capital stock. Pursuant to the amended and restated certificate of incorporation, Greenidge’s authorized capital stock consists of 2,400,000,000 shares of class A common stock, par value $0.0001 per share, 600,000,000 shares of class B common stock, par value $0.0001 per share, and 20,000,000 shares of preferred stock, par value $0.0001 per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and Exchange Agreement</w:t>
      </w:r>
    </w:p>
    <w:p>
      <w:pPr>
        <w:spacing w:after="0" w:line="13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January 2021, GGH completed a corporate restructuring. Pursuant to this restructuring, Greenidge was formed and incorporated in the State of Delaware on January 27, 2021. On January 29, 2021, Greenidge entered into an asset contribution and exchange agreement with the members of GGH, in which the GGH members’ equity interests and outstanding notes payable to related parties and all accrued but unpaid interest were contributed into Greenidge in exchange for 7,000,000 shares of Greenidge class B common stock (28,000,000 shares following the 4-for-1 stock split). As a result of this transaction, GGH became a wholly owned subsidiary of Greenidge.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Offering of Preferred Stock</w:t>
      </w:r>
    </w:p>
    <w:p>
      <w:pPr>
        <w:spacing w:after="0" w:line="133"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In January 2021, Greenidge completed a private placement offering in which 1,620,000 shares of series A redeemable convertible preferred stock was sold at $25 per share. Total net proceeds from the private placement offering were $37.1 million.</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Under the terms of the private placement memorandum in connection with the preferred stock offering, each share of preferred stock was automatically converted to four shares of class B common stock when the Company’s registration statement to register such shares for resale was declared effective by the Securities and Exchange Commission. During September 2021, this preferred stock was converted into 5,760,000 shares of class A common stock and 720,000 shares of class B common stock. There are no outstanding shares of preferred stock as of December 31,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Issuances Associated with the Merger</w:t>
      </w:r>
    </w:p>
    <w:p>
      <w:pPr>
        <w:spacing w:after="0" w:line="133"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In connection with the completion of the Merger, the Company issued 2,960,731 shares of class A common stock in consideration for all of the outstanding shares of Support.com. The fair value of the common shares issued to Support.com shareholders was $93.9 million (see Note 3), or $91.6 million, net of issuance costs.</w:t>
      </w:r>
    </w:p>
    <w:p>
      <w:pPr>
        <w:spacing w:after="0" w:line="20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Additionally, pursuant to the Merger Agreement, the Company issued the following equity instruments in connection with the performance of consulting services leading to and in connection with the Merger at the time of the closing, as the issuance of these instruments were contingent upon successful completion of the Merger:</w:t>
      </w:r>
    </w:p>
    <w:p>
      <w:pPr>
        <w:spacing w:after="0" w:line="100" w:lineRule="exact"/>
        <w:rPr>
          <w:sz w:val="20"/>
          <w:szCs w:val="20"/>
          <w:color w:val="auto"/>
        </w:rPr>
      </w:pPr>
    </w:p>
    <w:p>
      <w:pPr>
        <w:ind w:left="640" w:right="220" w:hanging="316"/>
        <w:spacing w:after="0" w:line="280" w:lineRule="auto"/>
        <w:tabs>
          <w:tab w:leader="none" w:pos="609" w:val="left"/>
        </w:tabs>
        <w:numPr>
          <w:ilvl w:val="0"/>
          <w:numId w:val="51"/>
        </w:numPr>
        <w:rPr>
          <w:rFonts w:ascii="Arial" w:cs="Arial" w:eastAsia="Arial" w:hAnsi="Arial"/>
          <w:sz w:val="17"/>
          <w:szCs w:val="17"/>
          <w:color w:val="auto"/>
        </w:rPr>
      </w:pPr>
      <w:r>
        <w:rPr>
          <w:rFonts w:ascii="Arial" w:cs="Arial" w:eastAsia="Arial" w:hAnsi="Arial"/>
          <w:sz w:val="17"/>
          <w:szCs w:val="17"/>
          <w:color w:val="auto"/>
        </w:rPr>
        <w:t>562,174 shares of class A common stock with a fair value of $17.8 million issued to an investor, which owned approximately 16.6% of Support.com common stock and made a prior investment in Greenidge preferred stock, which was described previously;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09" w:name="page110"/>
    <w:bookmarkEnd w:id="109"/>
    <w:p>
      <w:pPr>
        <w:ind w:left="640" w:right="200" w:hanging="316"/>
        <w:spacing w:after="0" w:line="251" w:lineRule="auto"/>
        <w:tabs>
          <w:tab w:leader="none" w:pos="6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Warrants to purchase 344,800 shares of class A common stock at an exercise price of $6.25 per share of class A common stock to B. Riley Securities, Inc., which were exercised shortly thereafter. The fair value of the warrants at issuance was $8.8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Holders of Greenidge’s class A common stock are entitled to one vote per share. Holders of class B common stock are entitled to ten votes per share. Class A and class B shares issued and outstanding as of December 31, 2022 are 17,726,407 and 28,526,372, respectively.</w:t>
      </w:r>
    </w:p>
    <w:p>
      <w:pPr>
        <w:spacing w:after="0" w:line="20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Each share of class B common stock is convertible into one share of class A common stock at the option of the holder upon written notice to the Company. Shares of class B common stock will automatically convert to shares of class A common stock upon a mandatory conversion event as defined in the amended and restated certificate of incorporation dated March 26,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w:t>
      </w:r>
    </w:p>
    <w:p>
      <w:pPr>
        <w:spacing w:after="0" w:line="133"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In October 2018, GGH adopted an equity incentive plan and allocated 1,250 common units to the plan. In 2018, GGH awarded 750 restricted units to certain board members, subject to various vesting provisions. In January 2021, in conjunction with the private placement offering, the 750 GGH common units were converted to shares of Greenidge’s class B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Units</w:t>
      </w:r>
    </w:p>
    <w:p>
      <w:pPr>
        <w:spacing w:after="0" w:line="133"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GGH preferred unit holders were entitled to one vote per preferred unit. In the event of liquidation or dissolution of GGH, the holders of preferred units were entitled to receive distributions, prior to and in preference to the holders of common units. All preferred units were converted to shares of the Company’s class B common stock in connection with the contribution and exchange agreement in January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Priority Units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were two tranches of GGH Senior Priority Units: Tranche 1 was equal to $13.9 million and Tranche 2 was equal to $16.3 million. Tranche 1 Senior Priority Units were issued to Atlas in July 2020 in exchange for the conversion of certain notes payable due to Atlas and all accrued but unpaid interest thereon. Tranche 2 Senior Priority Units were issued to Atlas in conjunction with Atlas contributing its equity interest in Blocker to GGH. Senior Priority Units had no voting rights.</w:t>
      </w:r>
    </w:p>
    <w:p>
      <w:pPr>
        <w:spacing w:after="0" w:line="208"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All senior priority units were converted to shares of the Company’s class B common stock in connection with the contribution and exchange agreement in January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Purchase Agreement with B. Riley Principal Capital, LLC</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September 15, 2021, Greenidge entered into a common stock purchase agreement (the "2021 Purchase Agreement") with B. Riley Principal Capital, LLC (the "Investor") pursuant to which Greenidge has the right to "put" or sell to the Investor up to $500 million of shares of class A common stock, subject to certain limitations and conditions set forth in the 2021 Purchase Agreement, from time to time during the term of the 2021 Purchase Agreement. The per share purchase price for the shares of class A common stock that Greenidge elected to sell to the Investor pursuant to the 2021 Purchase Agreement was determined by reference to the volume weighted average price of class A common stock during the applicable purchase date on which Greenidge had timely delivered written notice to the Investor directing it to purchase shares under the 2021 Purchase Agreement, less a fixed 5% discount, which was to be increased to a fixed 6% discount at such time that the Company received aggregate cash proceeds of $200 million as payment for all shares of class A common stock purchased by the Investor in all prior sales of class A common stock made under the 2021 Purchase Agreement. The Investor had no obligation to purchase shares pursuant to the 2021 Purchase Agreement to the extent that such purchase would have caused the Investor to own more than 4.99% of the Company’s issued and outstanding shares of class A common stock.</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Greenidge and the Investor entered into a mutual termination agreement on April 6, 2022 (the "Mutual Termination"), which became effective immediately upon signing. Prior to the termination, the Company had sold an aggregate of 2,547,500 shares of class A common stock pursuant to the 2021 Purchase Agreement representing proceeds of $54.9</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10" w:name="page111"/>
    <w:bookmarkEnd w:id="110"/>
    <w:p>
      <w:pPr>
        <w:ind w:right="360"/>
        <w:spacing w:after="0" w:line="251" w:lineRule="auto"/>
        <w:rPr>
          <w:sz w:val="20"/>
          <w:szCs w:val="20"/>
          <w:color w:val="auto"/>
        </w:rPr>
      </w:pPr>
      <w:r>
        <w:rPr>
          <w:rFonts w:ascii="Arial" w:cs="Arial" w:eastAsia="Arial" w:hAnsi="Arial"/>
          <w:sz w:val="18"/>
          <w:szCs w:val="18"/>
          <w:color w:val="auto"/>
        </w:rPr>
        <w:t>million, net of discounts, under the 2021 Purchase Agreement. The Company did not incur any early termination penalties as a result of the Mutual Termination.</w:t>
      </w:r>
    </w:p>
    <w:p>
      <w:pPr>
        <w:spacing w:after="0" w:line="20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On April 7, 2022, Greenidge entered into a new common stock purchase agreement, as amended by Amendment No. 1 to Common Stock Purchase Agreement, dated as of April 13, 2022 (as amended, the "2022 Purchase Agreement") with the Investor. Pursuant to the 2022 Purchase Agreement, Greenidge has the right to sell to the Investor up to $500 million in shares of its class A common stock, subject to certain limitations and the satisfaction of specified conditions in the 2022 Purchase Agreement, from time to time over the 24-month period commencing on April 28, 2022.</w:t>
      </w:r>
    </w:p>
    <w:p>
      <w:pPr>
        <w:spacing w:after="0" w:line="20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per share purchase price for the shares of class A common stock that Greenidge elects to sell to the Investor pursuant to the 2022 Purchase Agreement will be determined by reference to the volume weighted average price of the class A common stock ("VWAP") during the full primary (or "regular") trading session on Nasdaq on the applicable purchase date, calculated in accordance with the 2022 Purchase Agreement, or, if the total aggregate number (or "volume") of class A common stock traded on Nasdaq reaches a certain threshold amount (calculated in accordance with the 2022 Purchase Agreement) prior to the official close of the regular trading session on Nasdaq on such purchase date, then the VWAP will be calculated only for the period beginning at the official open (or "commencement") of the regular trading session and ending at the time the volume of class A common stock traded on Nasdaq reaches such threshold amount (such period for each purchase, the "Purchase Valuation Period"), less a fixed 5% discount to the VWAP for the Purchase Valuation Period, which shall be increased to 6% at such time that Greenidge has received aggregate cash proceeds of $200 million from all prior sales of class A common stock to the Investor under the 2021 Purchase Agreement and the 2022 Purchase Agreement.</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per share purchase price for the shares of class A common stock that Greenidge elects to sell to the Investor in an intraday purchase pursuant to the 2022 Purchase Agreement will be calculated in the same manner as in the case of a regular purchase, provided that the VWAP for such intraday purchase will be measured during the portion of the normal trading hours on Nasdaq on the applicable purchase date that will begin 30 minutes after the latest of (i) the time that the applicable intraday purchase notice is timely received by the Investor, (ii) the time that the Purchase Valuation Period for any prior regular purchase effected on the same purchase date (if any) has ended and (iii) the time that the Intraday Purchase Valuation Period (defined below) for the most recent prior intraday purchase effected on the same purchase date (if any) has ended, and ending at the earlier of (x) the official close of the regular trading session on Nasdaq on such purchase date and (y) the time the volume of shares of class A common stock traded on Nasdaq reaches a certain threshold amount calculated in accordance with the 2022 Purchase Agreement (such period for each intraday purchase, the "Intraday Purchase Valuation Period"), less a fixed 5% discount to the VWAP for the Intraday Purchase Valuation Period, which shall be increased to 6% at such time that Greenidge has received aggregate cash proceeds of $200 million from all prior sales of class A common stock to the Investor under the 2021 Purchase Agreement and the 2022 Purchase Agreement.</w:t>
      </w:r>
    </w:p>
    <w:p>
      <w:pPr>
        <w:spacing w:after="0" w:line="21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addition, on April 13, 2022, Greenidge entered into Amendment No. 1 to the 2022 Purchase Agreement (the "Amendment") with the Investor. The Amendment provides for an additional feature that would cause the period used to determine the applicable purchase price to be paid by the Investor for shares elected to be sold by Greenidge to terminate on the applicable purchase date if the trading price of the class A common stock falls below a minimum price threshold. The Amendment also modifies the maximum amount of shares of Greenidge’s class A common stock that Greenidge can elect to sell to the Investor in any single purchase effected by Greenidge.</w:t>
      </w:r>
    </w:p>
    <w:p>
      <w:pPr>
        <w:spacing w:after="0" w:line="20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Under the applicable Nasdaq rules, unless stockholder approval is obtained, Greenidge may not sell more than 19.99% of the total number of shares of its class A common stock and class B common stock issued and outstanding immediately prior to the execution of the 2022 Purchase Agreement, which number of shares shall be reduced on a share-for-share basis by the number of shares of class A common stock that may be aggregated with the transactions contemplated by the 2022 Purchase Agreement under the applicable Nasdaq rules. Sales of common stock pursuant to the 2022 Purchase Agreement, and the timing of any sales, are solely at the option of the Company, and the Company is under no obligation to sell any securities to the Investor under the 2022 Purchase Agreement.</w:t>
      </w:r>
    </w:p>
    <w:p>
      <w:pPr>
        <w:spacing w:after="0" w:line="21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connection with the 2022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2022 Purchase Agreement. The registration statement became effective on April 28, 2022 (the "Effective Date"), relating to the resale of 5,720,951 shares of Greenidge’s class A common stock in connection with the 2022 Purchase Agreement.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11" w:name="page112"/>
    <w:bookmarkEnd w:id="111"/>
    <w:p>
      <w:pPr>
        <w:ind w:right="300"/>
        <w:spacing w:after="0" w:line="251" w:lineRule="auto"/>
        <w:rPr>
          <w:sz w:val="20"/>
          <w:szCs w:val="20"/>
          <w:color w:val="auto"/>
        </w:rPr>
      </w:pPr>
      <w:r>
        <w:rPr>
          <w:rFonts w:ascii="Arial" w:cs="Arial" w:eastAsia="Arial" w:hAnsi="Arial"/>
          <w:sz w:val="18"/>
          <w:szCs w:val="18"/>
          <w:color w:val="auto"/>
        </w:rPr>
        <w:t>From the Effective Date to December 31, 2022, Greenidge issued 1,599,229 shares of class A common stock to the Investor pursuant to the 2022 Purchase Agreement for aggregate proceeds of $5.0 million, net of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Market Issuance Sales Agreement with B. Riley Securities</w:t>
      </w:r>
    </w:p>
    <w:p>
      <w:pPr>
        <w:spacing w:after="0" w:line="1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September 19, 2022, as amended on October 3, 2022, Greenidge entered into the ATM Agreement with B. Riley and Northland, relating to shares of Greenidge’s class A common stock. Under the ATM Agreement, B. Riley will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will pay B. Riley commissions for its services in acting as sales agent, in an amount equal to up to 5.0% of the gross proceeds of all class A common stock sold through it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w:t>
      </w:r>
    </w:p>
    <w:p>
      <w:pPr>
        <w:spacing w:after="0" w:line="210" w:lineRule="exact"/>
        <w:rPr>
          <w:sz w:val="20"/>
          <w:szCs w:val="20"/>
          <w:color w:val="auto"/>
        </w:rPr>
      </w:pPr>
    </w:p>
    <w:p>
      <w:pPr>
        <w:jc w:val="both"/>
        <w:ind w:right="400"/>
        <w:spacing w:after="0" w:line="248" w:lineRule="auto"/>
        <w:rPr>
          <w:sz w:val="20"/>
          <w:szCs w:val="20"/>
          <w:color w:val="auto"/>
        </w:rPr>
      </w:pPr>
      <w:r>
        <w:rPr>
          <w:rFonts w:ascii="Arial" w:cs="Arial" w:eastAsia="Arial" w:hAnsi="Arial"/>
          <w:sz w:val="18"/>
          <w:szCs w:val="18"/>
          <w:color w:val="auto"/>
        </w:rPr>
        <w:t>From October 1, 2022 through March 30, 2023, Greenidge issued 15,000,800 shares under the ATM Agreement for net proceeds of $10.2 million, of which 2,881,536 shares were issued for net proceeds of $2.1 million through December 31, 2022. Additionally, Greenidge issued 1,333,333 shares to B. Riley as payment of an amendment fee on the Promissory Note in February 2023.</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8. EARNINGS PER SHARE</w:t>
      </w:r>
    </w:p>
    <w:p>
      <w:pPr>
        <w:spacing w:after="0" w:line="13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Company calculates basic earnings (loss) per share by dividing the net income (loss) by the weighted average number of shares of common stock outstanding for the period. The diluted earnings (loss) per share is computed by assuming the exercise, settlement, and vesting of all potential dilutive common stock equivalents outstanding for the period using the treasury stock method. Potentially dilutive common shares are excluded from the computations of diluted earnings (loss) per share if their effect would be anti-dilutive. For the year ended December 31, 2022, the Company had a net loss from continuing operations attributable to common shareholders which causes all potentially dilutive securities to be anti-dilutive and are therefore not included in the calculation of earnings per share.</w:t>
      </w:r>
    </w:p>
    <w:p>
      <w:pPr>
        <w:spacing w:after="0" w:line="211" w:lineRule="exact"/>
        <w:rPr>
          <w:sz w:val="20"/>
          <w:szCs w:val="20"/>
          <w:color w:val="auto"/>
        </w:rPr>
      </w:pPr>
    </w:p>
    <w:p>
      <w:pPr>
        <w:ind w:right="600"/>
        <w:spacing w:after="0" w:line="251" w:lineRule="auto"/>
        <w:rPr>
          <w:sz w:val="20"/>
          <w:szCs w:val="20"/>
          <w:color w:val="auto"/>
        </w:rPr>
      </w:pPr>
      <w:r>
        <w:rPr>
          <w:rFonts w:ascii="Arial" w:cs="Arial" w:eastAsia="Arial" w:hAnsi="Arial"/>
          <w:sz w:val="18"/>
          <w:szCs w:val="18"/>
          <w:color w:val="auto"/>
        </w:rPr>
        <w:t>The following table sets forth a reconciliation of the numerator and denominator used to compute basic earnings and diluted per share of common stock.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For the Year Ended December 31,</w:t>
            </w:r>
          </w:p>
        </w:tc>
      </w:tr>
      <w:tr>
        <w:trPr>
          <w:trHeight w:val="20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1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Net (loss) income from continuing operations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(269,741)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21,600</w:t>
            </w:r>
          </w:p>
        </w:tc>
      </w:tr>
      <w:tr>
        <w:trPr>
          <w:trHeight w:val="225"/>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the member units before the reorganization</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18"/>
        </w:trPr>
        <w:tc>
          <w:tcPr>
            <w:tcW w:w="8180" w:type="dxa"/>
            <w:vAlign w:val="bottom"/>
          </w:tcPr>
          <w:p>
            <w:pPr>
              <w:ind w:left="180"/>
              <w:spacing w:after="0"/>
              <w:rPr>
                <w:sz w:val="20"/>
                <w:szCs w:val="20"/>
                <w:color w:val="auto"/>
              </w:rPr>
            </w:pPr>
            <w:r>
              <w:rPr>
                <w:rFonts w:ascii="Arial" w:cs="Arial" w:eastAsia="Arial" w:hAnsi="Arial"/>
                <w:sz w:val="18"/>
                <w:szCs w:val="18"/>
                <w:color w:val="auto"/>
              </w:rPr>
              <w:t>Net (loss) income from continuing operations attributable to Greenidge</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(269,741)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20,952</w:t>
            </w:r>
          </w:p>
        </w:tc>
      </w:tr>
      <w:tr>
        <w:trPr>
          <w:trHeight w:val="225"/>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(66,080)</w:t>
            </w:r>
          </w:p>
        </w:tc>
      </w:tr>
      <w:tr>
        <w:trPr>
          <w:trHeight w:val="219"/>
        </w:trPr>
        <w:tc>
          <w:tcPr>
            <w:tcW w:w="81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2"/>
        </w:trPr>
        <w:tc>
          <w:tcPr>
            <w:tcW w:w="8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31,995</w:t>
            </w:r>
          </w:p>
        </w:tc>
      </w:tr>
      <w:tr>
        <w:trPr>
          <w:trHeight w:val="225"/>
        </w:trPr>
        <w:tc>
          <w:tcPr>
            <w:tcW w:w="8180" w:type="dxa"/>
            <w:vAlign w:val="bottom"/>
          </w:tcPr>
          <w:p>
            <w:pPr>
              <w:ind w:left="240"/>
              <w:spacing w:after="0"/>
              <w:rPr>
                <w:sz w:val="20"/>
                <w:szCs w:val="20"/>
                <w:color w:val="auto"/>
              </w:rPr>
            </w:pPr>
            <w:r>
              <w:rPr>
                <w:rFonts w:ascii="Arial" w:cs="Arial" w:eastAsia="Arial" w:hAnsi="Arial"/>
                <w:sz w:val="18"/>
                <w:szCs w:val="18"/>
                <w:color w:val="auto"/>
              </w:rPr>
              <w:t>Dilutive effect of equity awards</w:t>
            </w:r>
          </w:p>
        </w:tc>
        <w:tc>
          <w:tcPr>
            <w:tcW w:w="2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25"/>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of convertible preferred stock</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w:t>
            </w:r>
          </w:p>
        </w:tc>
      </w:tr>
      <w:tr>
        <w:trPr>
          <w:trHeight w:val="219"/>
        </w:trPr>
        <w:tc>
          <w:tcPr>
            <w:tcW w:w="818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42,373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36,635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2"/>
        </w:trPr>
        <w:tc>
          <w:tcPr>
            <w:tcW w:w="8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(Loss) earnings per basic share: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earnings per basic share from continuing operations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25"/>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Loss per basic share from discontinued operations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basic share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earnings per diluted share: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8180" w:type="dxa"/>
            <w:vAlign w:val="bottom"/>
          </w:tcPr>
          <w:p>
            <w:pPr>
              <w:ind w:left="240"/>
              <w:spacing w:after="0"/>
              <w:rPr>
                <w:sz w:val="20"/>
                <w:szCs w:val="20"/>
                <w:color w:val="auto"/>
              </w:rPr>
            </w:pPr>
            <w:r>
              <w:rPr>
                <w:rFonts w:ascii="Arial" w:cs="Arial" w:eastAsia="Arial" w:hAnsi="Arial"/>
                <w:sz w:val="18"/>
                <w:szCs w:val="18"/>
                <w:color w:val="auto"/>
              </w:rPr>
              <w:t>(Loss) earnings per diluted share from continuing operations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25"/>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per diluted share from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9"/>
        </w:trPr>
        <w:tc>
          <w:tcPr>
            <w:tcW w:w="8180" w:type="dxa"/>
            <w:vAlign w:val="bottom"/>
          </w:tcPr>
          <w:p>
            <w:pPr>
              <w:ind w:left="20"/>
              <w:spacing w:after="0"/>
              <w:rPr>
                <w:sz w:val="20"/>
                <w:szCs w:val="20"/>
                <w:color w:val="auto"/>
              </w:rPr>
            </w:pPr>
            <w:r>
              <w:rPr>
                <w:rFonts w:ascii="Arial" w:cs="Arial" w:eastAsia="Arial" w:hAnsi="Arial"/>
                <w:sz w:val="18"/>
                <w:szCs w:val="18"/>
                <w:color w:val="auto"/>
              </w:rPr>
              <w:t>Loss per diluted share</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For the year ended December 31, 2022, there was no impact of dilution from any of the outstanding 247,286 RSUs or 3,641,850 common stock options due to the net loss, since inclusion of any impact from these awards would be anti-dilutive.</w:t>
      </w:r>
    </w:p>
    <w:p>
      <w:pPr>
        <w:spacing w:after="0" w:line="203"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For the year ended December 31, 2021, loss per share is applicable only for the period from January 29, 2021 through December 31, 2021, which is the period following the reorganization of Greenidge Generation Holdings LLC (" GGH") into Greenidge and presents the period that the Company had outstanding common stock. Prior to the reorganization, there were no shares of common stock outstanding, and the limited liability structure of GGH consisted of member units. The Company analyzed the calculation of earnings per unit for periods prior to the reorganization and determined that it resulted in values that would not be meaningful to the users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13" w:name="page114"/>
    <w:bookmarkEnd w:id="113"/>
    <w:p>
      <w:pPr>
        <w:ind w:right="8240" w:firstLine="6"/>
        <w:spacing w:after="0" w:line="403" w:lineRule="auto"/>
        <w:tabs>
          <w:tab w:leader="none" w:pos="196"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EQUITY BASED COMPENSATION Equity Incentive Plans</w:t>
      </w: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 February 2021, the Company adopted the Greenidge Generation Holdings Inc 2021 equity incentive plan (the "2021 Equity Plan") and reserved 3,831,112 shares of class A common stock for issuance. The maximum number of shares of class A common stock that may be issued pursuant to awards granted under the 2021 Plan is 3,831,112 shares (after taking into account the 4-to-1 forward stock split that occurred on March 16, 2021). At December 31, 2022, 1,168,228 shares of class A common stock remain available for issuance under the 2021 Plan. Awards that may be granted include: (a) incentive stock options, (b) non-qualified stock options, (c) stock appreciation rights, (d) restricted awards (which include restricted stock and restricted stock units), (e) performance share awards, and (f) performance compensation awards.</w:t>
      </w:r>
    </w:p>
    <w:p>
      <w:pPr>
        <w:spacing w:after="0" w:line="194"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October 2022, the Company registered 3,076,842 Class A common stock, that were reserved for issuance upon the vesting and exercise of non-qualified stock options granted to the Company's Chief Executive Officer and Chief Strategy Officer of the Company with respect to their appointments (the "Inducement Grants"). The Inducements Grants were granted outside the Company’s long-term equity incentive plan as an inducement material to the Chief Executive Officer and Chief Strategy Officer entering into employment with the Company.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 Unit Awards</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During the year ended December 31, 2022, the Company awarded 335,870 restricted common stock units ("RSUs") under the 2021 Equity Plan to employees and to the former Chief Executive Officer. 280,000 RSUs awarded to the former Chief Executive Officer vested over a twelve week period during 2022, while the remainder of RSUs granted are generally eligible to vest over a three-year period at a rate of 33.3% per year and are subject to forfeiture restrictions which lapse over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restricted common stock unit awards activity for the year ended December 31, 2022 is summarized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46"/>
        </w:trPr>
        <w:tc>
          <w:tcPr>
            <w:tcW w:w="8160" w:type="dxa"/>
            <w:vAlign w:val="bottom"/>
          </w:tcPr>
          <w:p>
            <w:pPr>
              <w:spacing w:after="0"/>
              <w:rPr>
                <w:sz w:val="12"/>
                <w:szCs w:val="12"/>
                <w:color w:val="auto"/>
              </w:rPr>
            </w:pPr>
          </w:p>
        </w:tc>
        <w:tc>
          <w:tcPr>
            <w:tcW w:w="15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39"/>
              <w:spacing w:after="0" w:line="146"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8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335,870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8"/>
        </w:trPr>
        <w:tc>
          <w:tcPr>
            <w:tcW w:w="8160" w:type="dxa"/>
            <w:vAlign w:val="bottom"/>
          </w:tcPr>
          <w:p>
            <w:pPr>
              <w:ind w:left="20"/>
              <w:spacing w:after="0"/>
              <w:rPr>
                <w:sz w:val="20"/>
                <w:szCs w:val="20"/>
                <w:color w:val="auto"/>
              </w:rPr>
            </w:pPr>
            <w:r>
              <w:rPr>
                <w:rFonts w:ascii="Arial" w:cs="Arial" w:eastAsia="Arial" w:hAnsi="Arial"/>
                <w:sz w:val="18"/>
                <w:szCs w:val="18"/>
                <w:color w:val="auto"/>
              </w:rPr>
              <w:t>Unvested at December 31, 2022</w:t>
            </w:r>
          </w:p>
        </w:tc>
        <w:tc>
          <w:tcPr>
            <w:tcW w:w="1500" w:type="dxa"/>
            <w:vAlign w:val="bottom"/>
          </w:tcPr>
          <w:p>
            <w:pPr>
              <w:jc w:val="right"/>
              <w:spacing w:after="0"/>
              <w:rPr>
                <w:sz w:val="20"/>
                <w:szCs w:val="20"/>
                <w:color w:val="auto"/>
              </w:rPr>
            </w:pPr>
            <w:r>
              <w:rPr>
                <w:rFonts w:ascii="Arial" w:cs="Arial" w:eastAsia="Arial" w:hAnsi="Arial"/>
                <w:sz w:val="18"/>
                <w:szCs w:val="18"/>
                <w:color w:val="auto"/>
              </w:rPr>
              <w:t>247,286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value of RSU grants is measured based on their fair market value on the date of grant and amortized over their requisite service periods. During the years ended December 31, 2022 and 2021, the fair market value of the awards granted totaled $0.7 million and $3.9 million as of, respectively. There was $1.1 million of total unrecognized compensation cost related to unvested restricted stock rights as of December 31, 2022, which is expected to be recognized over a remaining weighted-average vesting period of approximately 1.45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Common Stock Options</w:t>
      </w:r>
    </w:p>
    <w:p>
      <w:pPr>
        <w:spacing w:after="0" w:line="17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the year ended December 31, 2022, the Company awarded 3,076,842 options that vest over a three-year period at a rate of 33.3% per year and are subject to forfeiture restrictions which lapse over time. These were issued from the Inducement Grants registered in October 2022. Options granted to officers and employees expire ten years after the date of grant.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 options activity for the year ended December 31, 2022 is summarized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Weighted 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Weighted Average</w:t>
            </w:r>
          </w:p>
        </w:tc>
        <w:tc>
          <w:tcPr>
            <w:tcW w:w="260" w:type="dxa"/>
            <w:vAlign w:val="bottom"/>
          </w:tcPr>
          <w:p>
            <w:pPr>
              <w:spacing w:after="0"/>
              <w:rPr>
                <w:sz w:val="14"/>
                <w:szCs w:val="14"/>
                <w:color w:val="auto"/>
              </w:rPr>
            </w:pPr>
          </w:p>
        </w:tc>
        <w:tc>
          <w:tcPr>
            <w:tcW w:w="12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4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Exercise Price</w:t>
            </w:r>
          </w:p>
        </w:tc>
        <w:tc>
          <w:tcPr>
            <w:tcW w:w="16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Contractual Life</w:t>
            </w:r>
          </w:p>
        </w:tc>
        <w:tc>
          <w:tcPr>
            <w:tcW w:w="260" w:type="dxa"/>
            <w:vAlign w:val="bottom"/>
          </w:tcPr>
          <w:p>
            <w:pPr>
              <w:spacing w:after="0"/>
              <w:rPr>
                <w:sz w:val="11"/>
                <w:szCs w:val="11"/>
                <w:color w:val="auto"/>
              </w:rPr>
            </w:pPr>
          </w:p>
        </w:tc>
        <w:tc>
          <w:tcPr>
            <w:tcW w:w="1240" w:type="dxa"/>
            <w:vAlign w:val="bottom"/>
          </w:tcPr>
          <w:p>
            <w:pPr>
              <w:jc w:val="center"/>
              <w:ind w:right="182"/>
              <w:spacing w:after="0" w:line="133"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3"/>
        </w:trPr>
        <w:tc>
          <w:tcPr>
            <w:tcW w:w="48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3,076,842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(11,479)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480" w:type="dxa"/>
            <w:vAlign w:val="bottom"/>
          </w:tcPr>
          <w:p>
            <w:pPr>
              <w:jc w:val="right"/>
              <w:spacing w:after="0"/>
              <w:rPr>
                <w:sz w:val="20"/>
                <w:szCs w:val="20"/>
                <w:color w:val="auto"/>
              </w:rPr>
            </w:pPr>
            <w:r>
              <w:rPr>
                <w:rFonts w:ascii="Arial" w:cs="Arial" w:eastAsia="Arial" w:hAnsi="Arial"/>
                <w:sz w:val="18"/>
                <w:szCs w:val="18"/>
                <w:color w:val="auto"/>
              </w:rPr>
              <w:t>3,641,850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as of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value of common stock option grants is measured based on their fair market value on the date of grant and amortized over their requisite service periods. During the year ended December 31, 2022 and 2021, the fair market value of the awards granted totaled $3.1 million and $1.2 million, respectively. As of December 31, 2022, there was $3.0 million of total unrecognized compensation cost related to unvested options, which is expected to be recognized over a remaining weighted-average vesting period of approximately 2.7 years.</w:t>
      </w:r>
    </w:p>
    <w:p>
      <w:pPr>
        <w:spacing w:after="0" w:line="208"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We determine the fair value of each grant using the Black-Scholes option pricing model. The weighted average assumptions relating to the valuation of stock options granted for the year ended December 31, 2022 and 2021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9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18"/>
        </w:trPr>
        <w:tc>
          <w:tcPr>
            <w:tcW w:w="7920" w:type="dxa"/>
            <w:vAlign w:val="bottom"/>
          </w:tcPr>
          <w:p>
            <w:pPr>
              <w:ind w:left="20"/>
              <w:spacing w:after="0"/>
              <w:rPr>
                <w:sz w:val="20"/>
                <w:szCs w:val="20"/>
                <w:color w:val="auto"/>
              </w:rPr>
            </w:pPr>
            <w:r>
              <w:rPr>
                <w:rFonts w:ascii="Arial" w:cs="Arial" w:eastAsia="Arial" w:hAnsi="Arial"/>
                <w:sz w:val="18"/>
                <w:szCs w:val="18"/>
                <w:color w:val="auto"/>
              </w:rPr>
              <w:t>Weighted average exercise price of options granted</w:t>
            </w:r>
          </w:p>
        </w:tc>
        <w:tc>
          <w:tcPr>
            <w:tcW w:w="1000" w:type="dxa"/>
            <w:vAlign w:val="bottom"/>
          </w:tcPr>
          <w:p>
            <w:pPr>
              <w:jc w:val="right"/>
              <w:ind w:right="801"/>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6.07</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24"/>
        </w:trPr>
        <w:tc>
          <w:tcPr>
            <w:tcW w:w="79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0.0 %</w:t>
            </w:r>
          </w:p>
        </w:tc>
      </w:tr>
    </w:tbl>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3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Company recognized stock-based compensation expense of $2.6 million and $3.8 million during the years ended December 31, 2022 and 2021, respectively. Stock-based compensation expense is included in selling, general and administrative expenses in the accompanying consolidated statements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income from continuing operations before the provision for income taxes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For the Year Ended December 31,</w:t>
            </w:r>
          </w:p>
        </w:tc>
      </w:tr>
      <w:tr>
        <w:trPr>
          <w:trHeight w:val="204"/>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9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4"/>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5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29,501</w:t>
            </w:r>
          </w:p>
        </w:tc>
      </w:tr>
      <w:tr>
        <w:trPr>
          <w:trHeight w:val="22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(254,739)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29,501</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860"/>
        </w:trPr>
        <w:tc>
          <w:tcPr>
            <w:tcW w:w="3240" w:type="dxa"/>
            <w:vAlign w:val="bottom"/>
          </w:tcPr>
          <w:p>
            <w:pPr>
              <w:spacing w:after="0"/>
              <w:rPr>
                <w:sz w:val="24"/>
                <w:szCs w:val="24"/>
                <w:color w:val="auto"/>
              </w:rPr>
            </w:pPr>
          </w:p>
        </w:tc>
        <w:tc>
          <w:tcPr>
            <w:tcW w:w="5180" w:type="dxa"/>
            <w:vAlign w:val="bottom"/>
            <w:gridSpan w:val="2"/>
          </w:tcPr>
          <w:p>
            <w:pPr>
              <w:jc w:val="right"/>
              <w:ind w:right="2620"/>
              <w:spacing w:after="0"/>
              <w:rPr>
                <w:sz w:val="20"/>
                <w:szCs w:val="20"/>
                <w:color w:val="auto"/>
              </w:rPr>
            </w:pPr>
            <w:r>
              <w:rPr>
                <w:rFonts w:ascii="Arial" w:cs="Arial" w:eastAsia="Arial" w:hAnsi="Arial"/>
                <w:sz w:val="18"/>
                <w:szCs w:val="18"/>
                <w:color w:val="auto"/>
              </w:rPr>
              <w:t>F-30</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3"/>
        </w:trPr>
        <w:tc>
          <w:tcPr>
            <w:tcW w:w="324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The components of the provision for income taxes from continuing operations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For the Year Ended December 31,</w:t>
            </w:r>
          </w:p>
        </w:tc>
      </w:tr>
      <w:tr>
        <w:trPr>
          <w:trHeight w:val="20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1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provision: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5"/>
        </w:trPr>
        <w:tc>
          <w:tcPr>
            <w:tcW w:w="8180" w:type="dxa"/>
            <w:vAlign w:val="bottom"/>
          </w:tcPr>
          <w:p>
            <w:pPr>
              <w:ind w:left="24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r>
      <w:tr>
        <w:trPr>
          <w:trHeight w:val="225"/>
        </w:trPr>
        <w:tc>
          <w:tcPr>
            <w:tcW w:w="8180" w:type="dxa"/>
            <w:vAlign w:val="bottom"/>
          </w:tcPr>
          <w:p>
            <w:pPr>
              <w:ind w:left="24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1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current tax (benefit) provision</w:t>
            </w: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provision: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6"/>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r>
      <w:tr>
        <w:trPr>
          <w:trHeight w:val="225"/>
        </w:trPr>
        <w:tc>
          <w:tcPr>
            <w:tcW w:w="8180" w:type="dxa"/>
            <w:vAlign w:val="bottom"/>
          </w:tcPr>
          <w:p>
            <w:pPr>
              <w:ind w:left="24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5"/>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1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deferred tax provision</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amounts at U.S. federal statutory tax rate to the Company’s effective tax rate for continuing operations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For the Year Ended December 31,</w:t>
            </w:r>
          </w:p>
        </w:tc>
      </w:tr>
      <w:tr>
        <w:trPr>
          <w:trHeight w:val="204"/>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at federal statutory rate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State income taxes, net of federal tax benefits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2,124</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44"/>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Company’s effective tax rate of (5.9)% for the year ended December 31, 2022 was lower than the U.S. federal statutory income tax rate of 21% primarily due to a change in the valuation allowance and state taxes.</w:t>
      </w:r>
    </w:p>
    <w:p>
      <w:pPr>
        <w:spacing w:after="0" w:line="203"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The Company’s effective tax rate of 26.8% for the year ended December 31, 2021 was higher than the U.S. federal statutory income tax rate 21% primarily due to the impact of state taxes.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16" w:name="page117"/>
    <w:bookmarkEnd w:id="116"/>
    <w:p>
      <w:pPr>
        <w:ind w:right="100"/>
        <w:spacing w:after="0" w:line="251" w:lineRule="auto"/>
        <w:rPr>
          <w:sz w:val="20"/>
          <w:szCs w:val="20"/>
          <w:color w:val="auto"/>
        </w:rPr>
      </w:pPr>
      <w:r>
        <w:rPr>
          <w:rFonts w:ascii="Arial" w:cs="Arial" w:eastAsia="Arial" w:hAnsi="Arial"/>
          <w:sz w:val="18"/>
          <w:szCs w:val="18"/>
          <w:color w:val="auto"/>
        </w:rPr>
        <w:t>Deferred income taxes are provided for the tax effect of temporary differences between the financial reporting basis and the tax basis of assets and liabilities. Significant components of the Company’s deferred tax assets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As of December 31,</w:t>
            </w:r>
          </w:p>
        </w:tc>
      </w:tr>
      <w:tr>
        <w:trPr>
          <w:trHeight w:val="204"/>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58,008</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21,716</w:t>
            </w:r>
          </w:p>
        </w:tc>
      </w:tr>
      <w:tr>
        <w:trPr>
          <w:trHeight w:val="226"/>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26"/>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costs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Interest Expense Limitation Carryforward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Environmental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18"/>
        </w:trPr>
        <w:tc>
          <w:tcPr>
            <w:tcW w:w="816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32,236</w:t>
            </w:r>
          </w:p>
        </w:tc>
      </w:tr>
      <w:tr>
        <w:trPr>
          <w:trHeight w:val="225"/>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r>
      <w:tr>
        <w:trPr>
          <w:trHeight w:val="218"/>
        </w:trPr>
        <w:tc>
          <w:tcPr>
            <w:tcW w:w="816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25,243</w:t>
            </w:r>
          </w:p>
        </w:tc>
      </w:tr>
      <w:tr>
        <w:trPr>
          <w:trHeight w:val="266"/>
        </w:trPr>
        <w:tc>
          <w:tcPr>
            <w:tcW w:w="8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6"/>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 partnership</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w:t>
            </w: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25"/>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18"/>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(10,185)</w:t>
            </w:r>
          </w:p>
        </w:tc>
      </w:tr>
      <w:tr>
        <w:trPr>
          <w:trHeight w:val="23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deferred tax assets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As of December 31, 2022, the Company had net operating loss carryforwards ("NOL") of approximately $230.8 million for U.S. federal income purposes, of which $1.2 million begins to expire in 2023. The Company also had net operating loss carryforwards for state income tax purposes</w:t>
      </w:r>
    </w:p>
    <w:p>
      <w:pPr>
        <w:ind w:right="440"/>
        <w:spacing w:after="0" w:line="230" w:lineRule="auto"/>
        <w:rPr>
          <w:sz w:val="20"/>
          <w:szCs w:val="20"/>
          <w:color w:val="auto"/>
        </w:rPr>
      </w:pPr>
      <w:r>
        <w:rPr>
          <w:rFonts w:ascii="Arial" w:cs="Arial" w:eastAsia="Arial" w:hAnsi="Arial"/>
          <w:sz w:val="18"/>
          <w:szCs w:val="18"/>
          <w:color w:val="auto"/>
        </w:rPr>
        <w:t>of approximately $169.3 million, which begin to expire in 2023. U.S. Federal NOLs incurred in or after 2018 have an indefinite carryforward period, which can be offset by 80% of future taxable income in any given year.</w:t>
      </w:r>
    </w:p>
    <w:p>
      <w:pPr>
        <w:spacing w:after="0" w:line="147"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Of the total federal NOLs, $60.8 million were acquired with Support.com, Inc. in 2021 and are subject to Section 382 limitation. Utilization of the Company's net operating loss and tax credit carryforwards can become subject to a substantial annual limitation due to the ownership change limitations provided by Section 382 and 383 of the Internal Revenue Code and similar state provisions. Such an annual limitation could result in the expiration or elimination of the net operating loss and tax credit carryforwards before utilization. The Company has performed an analysis of its changes in ownership under Section 382 of the Internal Revenue Code. Management currently believes that the Section 382 limitation will limit utilization of certain acquired net operating loss and tax credit carryforwards of Support.com and may defer the realization of the tax benefit associated with the acquired tax attributes from Support.com. As of December 31, 2022, the Company has classified the Support.com business as held for sale. If Support.com, Inc. does not continue operations under ownership by the Company during the 2-year period beginning on the change date, September 14, 2021, the Section 382 limitation for any post-change year shall be zero and these NOLs will be unavailable for use by the Company.</w:t>
      </w:r>
    </w:p>
    <w:p>
      <w:pPr>
        <w:spacing w:after="0" w:line="24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Effective as of January 1, 2022, Greenidge Generation Holdings LLC ("GGH LLC") elected to be classified as a taxable corporation for U.S. federal tax purposes by making the check-the-box ("CTB") election and is no longer classified as a partnership. As a result of this CTB election, the Company derecognized the deferred tax liability of investment in partnership and recognized the inside basis of deferred tax assets and deferred tax liabilities of GGH LLC as of January 1, 2022.</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In assessing the need for a valuation allowance, the Company considered whether it is more likely than not that some portion or all of the deferred tax assets will not be realized. The Company evaluated its ability to realize the tax benefits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17" w:name="page118"/>
    <w:bookmarkEnd w:id="117"/>
    <w:p>
      <w:pPr>
        <w:ind w:right="20"/>
        <w:spacing w:after="0" w:line="232" w:lineRule="auto"/>
        <w:rPr>
          <w:sz w:val="20"/>
          <w:szCs w:val="20"/>
          <w:color w:val="auto"/>
        </w:rPr>
      </w:pPr>
      <w:r>
        <w:rPr>
          <w:rFonts w:ascii="Arial" w:cs="Arial" w:eastAsia="Arial" w:hAnsi="Arial"/>
          <w:sz w:val="18"/>
          <w:szCs w:val="18"/>
          <w:color w:val="auto"/>
        </w:rPr>
        <w:t>associated with deferred tax assets by analyzing the relative impact of all the available positive and negative evidence regarding the Company’s forecasted taxable income, the reversal of existing deferred tax liabilities, taxable income in prior carry-back years (if permitted) and the availability of tax planning strategies. To the extent the Company does not consider it is more likely than not that a deferred tax asset will be recovered, valuation allowance is established. On the basis of this evaluation, as of December 31, 2022, the Company recorded a full valuation allowance on its net deferred tax assets of $85.2 million, as it did not meet the more likely than not threshold required under ASC 740-10-30. The main form of negative evidence is the three-year cumulative losses.</w:t>
      </w:r>
    </w:p>
    <w:p>
      <w:pPr>
        <w:spacing w:after="0" w:line="230"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Company files U.S., state and foreign income tax returns in jurisdictions with varying statutes of limitations. The federal statute of limitation is three years and the state and foreign statutes of limitations are three to four years. Due to net operating loss carryforwards, the Company’s</w:t>
      </w:r>
    </w:p>
    <w:p>
      <w:pPr>
        <w:spacing w:after="0" w:line="1"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income tax returns remain open and subject to examination for tax years 2004 and thereafter by federal and state tax authorities. The 2020 through 2022 tax years generally remain open and subject to audit by foreign tax authorities.</w:t>
      </w:r>
    </w:p>
    <w:p>
      <w:pPr>
        <w:spacing w:after="0" w:line="225" w:lineRule="exact"/>
        <w:rPr>
          <w:sz w:val="20"/>
          <w:szCs w:val="20"/>
          <w:color w:val="auto"/>
        </w:rPr>
      </w:pPr>
    </w:p>
    <w:p>
      <w:pPr>
        <w:ind w:right="300"/>
        <w:spacing w:after="0" w:line="233" w:lineRule="auto"/>
        <w:rPr>
          <w:sz w:val="20"/>
          <w:szCs w:val="20"/>
          <w:color w:val="auto"/>
        </w:rPr>
      </w:pPr>
      <w:r>
        <w:rPr>
          <w:rFonts w:ascii="Arial" w:cs="Arial" w:eastAsia="Arial" w:hAnsi="Arial"/>
          <w:sz w:val="18"/>
          <w:szCs w:val="18"/>
          <w:color w:val="auto"/>
        </w:rPr>
        <w:t>The Company recognizes the tax benefit from uncertain tax position only if it is more likely than not that the tax position will be sustained on examination by the tax authorities, based on the technical merits of the position. The Company recognizes accrued interest and penalties related to unrecognized tax benefits as part of the provision for income taxes. As of December 31, 2022, the Company has not recorded any amounts for unrecognized tax benefits. The Company’s management does not expect that total amount of unrecognized tax benefits will materially change over the next twelve months.</w:t>
      </w:r>
    </w:p>
    <w:p>
      <w:pPr>
        <w:spacing w:after="0" w:line="298" w:lineRule="exact"/>
        <w:rPr>
          <w:sz w:val="20"/>
          <w:szCs w:val="20"/>
          <w:color w:val="auto"/>
        </w:rPr>
      </w:pPr>
    </w:p>
    <w:p>
      <w:pPr>
        <w:ind w:right="7660" w:firstLine="6"/>
        <w:spacing w:after="0" w:line="399" w:lineRule="auto"/>
        <w:tabs>
          <w:tab w:leader="none" w:pos="29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Matters</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From time to time, the Company may be involved in various lawsuits and legal proceedings that arise in the ordinary course of business. However, litigation is subject to inherent uncertainties, and an adverse result in such matters may arise and harm the Company's business. The Company is currently not aware of any other such legal proceedings or claims that it believes will have a material adverse effect on its business, financial condition or operating results other than described below.</w:t>
      </w:r>
    </w:p>
    <w:p>
      <w:pPr>
        <w:spacing w:after="0" w:line="1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On January 13, 2023, Greenidge and Jeffrey Kirt (the former CEO of Greenidge) (collectively, "Defendants") were served with a lawsuit filed by certain parties in the United States District Court for the Southern District of New York asserting violations of Sections 10(b) and 20(a) of the Securities Exchange Act of 1934 and Securities and Exchange Commission Rule 10b-5. The suit alleged that the proxy statement for special meeting of stockholders of Support.com, Inc. ("Support") filed on August 10, 2021 in connection with Greenidge’s acquisition of Support misrepresented the manner in which consideration would be paid to holders of Support common stock. As of December 31, 2022, the Company had recorded a liability of $500,000 which is included in Accrued expenses of the consolidated balance sheet and a receivable for expected insurance recoveries of $250,000 included in prepaid expenses and other assets on the consolidated balance sheet. Greenidge settled this matter on February 21, 2023 for $500,000, of which $250,000 was paid by the Company's insurance agent.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Liabilities</w:t>
      </w:r>
    </w:p>
    <w:p>
      <w:pPr>
        <w:spacing w:after="0" w:line="23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Company has a coal combustion residual ("CCR") liability associated with the closure of a coal ash pond located on the Company's property in the Town of Torrey, New York. In accordance with ASC 410-30, the Company has a liability of $17.5 million and $2.7 million as of December 31, 2022 and 2021, respectively, which includes a charge of $14.8 million during 2022 as a result of an update to the cost estimates as part of the ongoing evaluation of the site. CCRs are subject to federal and state requirements.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 xml:space="preserve">The Company owns and operates a fully permitted landfill that also acts as a leachate treatment facility. In accordance with ASC 410-30, </w:t>
      </w:r>
      <w:r>
        <w:rPr>
          <w:rFonts w:ascii="Arial" w:cs="Arial" w:eastAsia="Arial" w:hAnsi="Arial"/>
          <w:sz w:val="18"/>
          <w:szCs w:val="18"/>
          <w:i w:val="1"/>
          <w:iCs w:val="1"/>
          <w:color w:val="auto"/>
        </w:rPr>
        <w:t>Environmental Obligations ("ASC 410-30")</w:t>
      </w:r>
      <w:r>
        <w:rPr>
          <w:rFonts w:ascii="Arial" w:cs="Arial" w:eastAsia="Arial" w:hAnsi="Arial"/>
          <w:sz w:val="18"/>
          <w:szCs w:val="18"/>
          <w:color w:val="auto"/>
        </w:rPr>
        <w:t>, the Company has recorded an environmental liability of $10.5 million and $8.6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and 2021, respectively, which includes a charge of $1.9 million in 2022 related to an increase in cost estimate.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18" w:name="page119"/>
    <w:bookmarkEnd w:id="118"/>
    <w:p>
      <w:pPr>
        <w:spacing w:after="0" w:line="247" w:lineRule="auto"/>
        <w:rPr>
          <w:sz w:val="20"/>
          <w:szCs w:val="20"/>
          <w:color w:val="auto"/>
        </w:rPr>
      </w:pPr>
      <w:r>
        <w:rPr>
          <w:rFonts w:ascii="Arial" w:cs="Arial" w:eastAsia="Arial" w:hAnsi="Arial"/>
          <w:sz w:val="18"/>
          <w:szCs w:val="18"/>
          <w:color w:val="auto"/>
        </w:rPr>
        <w:t>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3.0%.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29" w:lineRule="exact"/>
        <w:rPr>
          <w:sz w:val="20"/>
          <w:szCs w:val="20"/>
          <w:color w:val="auto"/>
        </w:rPr>
      </w:pPr>
    </w:p>
    <w:p>
      <w:pPr>
        <w:jc w:val="both"/>
        <w:ind w:right="420"/>
        <w:spacing w:after="0" w:line="270" w:lineRule="auto"/>
        <w:rPr>
          <w:sz w:val="20"/>
          <w:szCs w:val="20"/>
          <w:color w:val="auto"/>
        </w:rPr>
      </w:pPr>
      <w:r>
        <w:rPr>
          <w:rFonts w:ascii="Arial" w:cs="Arial" w:eastAsia="Arial" w:hAnsi="Arial"/>
          <w:sz w:val="17"/>
          <w:szCs w:val="17"/>
          <w:color w:val="auto"/>
        </w:rPr>
        <w:t>Support.com has received and may in the future receive additional requests for information, including subpoenas, from other governmental agencies relating to the subject matter of a Consent Order and Civil Investigative Demands. The Company intends to cooperate with these information requests and is not aware of any other legal proceedings against the Company by governmental authorities at this time.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entered into a contract with Empire Pipeline Incorporated in September 2020 which provides for the transportation to its pipeline of 15,000 dekatherms of natural gas per day, approximately $0.2 million per month. The contract ends in September 2030 and may be terminated by either party with 12 months' notice after the initial 10-year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33" w:lineRule="exact"/>
        <w:rPr>
          <w:sz w:val="20"/>
          <w:szCs w:val="20"/>
          <w:color w:val="auto"/>
        </w:rPr>
      </w:pPr>
    </w:p>
    <w:p>
      <w:pPr>
        <w:ind w:right="620"/>
        <w:spacing w:after="0" w:line="251" w:lineRule="auto"/>
        <w:rPr>
          <w:sz w:val="20"/>
          <w:szCs w:val="20"/>
          <w:color w:val="auto"/>
        </w:rPr>
      </w:pPr>
      <w:r>
        <w:rPr>
          <w:rFonts w:ascii="Arial" w:cs="Arial" w:eastAsia="Arial" w:hAnsi="Arial"/>
          <w:sz w:val="18"/>
          <w:szCs w:val="18"/>
          <w:color w:val="auto"/>
        </w:rPr>
        <w:t>As of December 31, 2022, Atlas and its affiliates control 88.5% of the voting power of our outstanding capital stock. As a result, we are a "controlled company" within the meaning of Nasdaq’s corporate governance standards.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3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On March 19, 2021, the Company and Atlas and its affiliates, entered into an arrangement pursuant to which Greenidge agreed, upon request, to direct its bank to issue new letters of credit to replace all or a portion of the letters of credit provided by Atlas and certain of its affiliates, upon the consummation of a potential investment in, financing of, or sale of any assets or equity or debt securities of the Company, which results in net proceeds to the Company of at least $10 million.</w:t>
      </w:r>
    </w:p>
    <w:p>
      <w:pPr>
        <w:spacing w:after="0" w:line="208"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Atlas obtained a letter of credit from a financial institution in the amount of $5.0 million at December 31, 2022, payable to the NYSDEC. This letter of credit guarantees the current value of the Company’s landfill environmental trust liability under NYSDEC guidelines.</w:t>
      </w:r>
    </w:p>
    <w:p>
      <w:pPr>
        <w:spacing w:after="0" w:line="203"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Atlas also obtained a letter of credit from a financial institution in the amount of $3.6 million at December 31, 2022, payable to Empire Pipeline Incorporated ("Empire") in the event the Company should not make contracted payments for costs related to a pipeline interconnection project the Company has entered into with Empire.</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The Company paid $0.1 million for letter of credit fees to Atlas during the year ended December 31, 2021. For the year ended December 31, 2022, the Company paid these fees directly to the NYSDEC.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23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An affiliate of Atlas has guaranteed the payment obligation of Greenidge in favor of Emera Energy Services, Inc. ("Emera") under an Energy Management Agreement and an ISDA Master Agreement under which Greenidge may enter into various transactions involving the purchase and sale of natural gas, electricity and other commodities with Emera. This guaranty is limited to $1.0 million. Atlas had no exposure under the guarantee during the years ended December 31, 2022 and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9"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color w:val="auto"/>
        </w:rPr>
        <w:t>Affiliates of Atlas from time to time incur certain costs for the benefit of Greenidge, which are fully reimbursed by Greenidge. The amount of costs reimbursed by Greenidge during 2022 and 2021 was $0.2 million and less than $0.1 million, respectively.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Spartanburg Facility</w:t>
      </w:r>
    </w:p>
    <w:p>
      <w:pPr>
        <w:spacing w:after="0" w:line="13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December 2021, the Company acquired an industrial site in Spartanburg, South Carolina, including a 750,000 square foot building and 175 acres of land (the "Property"). This agreement was entered into by one of the Company's subsidiaries and a portfolio company of private investment funds managed by Atlas. The Company has developed datacenter operations on the property, using existing electrical infrastructure at the location. . The purchase price of the Property is $15.0 million. The transaction closed in December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CONCENTRATIONS</w:t>
      </w:r>
    </w:p>
    <w:p>
      <w:pPr>
        <w:spacing w:after="0" w:line="13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Company has one major power customer, NYISO, that accounted for 18% and 10% of its revenue for the years ended December 31, 2022 and 2021, respectively.</w:t>
      </w:r>
    </w:p>
    <w:p>
      <w:pPr>
        <w:spacing w:after="0" w:line="20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For cryptocurrency datacenter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70% and 70% of total revenue for the year ended December 31, 2022, and 2021, respectively.</w:t>
      </w:r>
    </w:p>
    <w:p>
      <w:pPr>
        <w:spacing w:after="0" w:line="208" w:lineRule="exact"/>
        <w:rPr>
          <w:sz w:val="20"/>
          <w:szCs w:val="20"/>
          <w:color w:val="auto"/>
        </w:rPr>
      </w:pPr>
    </w:p>
    <w:p>
      <w:pPr>
        <w:ind w:right="1160"/>
        <w:spacing w:after="0" w:line="251" w:lineRule="auto"/>
        <w:rPr>
          <w:sz w:val="20"/>
          <w:szCs w:val="20"/>
          <w:color w:val="auto"/>
        </w:rPr>
      </w:pPr>
      <w:r>
        <w:rPr>
          <w:rFonts w:ascii="Arial" w:cs="Arial" w:eastAsia="Arial" w:hAnsi="Arial"/>
          <w:sz w:val="18"/>
          <w:szCs w:val="18"/>
          <w:color w:val="auto"/>
        </w:rPr>
        <w:t>The Company has one natural gas vendor that accounted for approximately 62% and 60% of cost of revenue for the years ended December 31, 2022 and 2021,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SUPPLEMENTAL BALANCE SHEET AND CASH FLOW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details of Prepaid expenses and other assets: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6"/>
          </w:tcPr>
          <w:p>
            <w:pPr>
              <w:jc w:val="right"/>
              <w:ind w:right="79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4"/>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225"/>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Electric deposits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prepaid expenses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The Company had the following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1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6"/>
          </w:tcPr>
          <w:p>
            <w:pPr>
              <w:jc w:val="right"/>
              <w:ind w:right="295"/>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204"/>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issued to Support.com shareholders upon Merger (Notes 3 and 7)</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93,885</w:t>
            </w:r>
          </w:p>
        </w:tc>
        <w:tc>
          <w:tcPr>
            <w:tcW w:w="0" w:type="dxa"/>
            <w:vAlign w:val="bottom"/>
          </w:tcPr>
          <w:p>
            <w:pPr>
              <w:spacing w:after="0"/>
              <w:rPr>
                <w:sz w:val="1"/>
                <w:szCs w:val="1"/>
                <w:color w:val="auto"/>
              </w:rPr>
            </w:pPr>
          </w:p>
        </w:tc>
      </w:tr>
      <w:tr>
        <w:trPr>
          <w:trHeight w:val="225"/>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Stock issued to purchase miners</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85"/>
        </w:trPr>
        <w:tc>
          <w:tcPr>
            <w:tcW w:w="8160" w:type="dxa"/>
            <w:vAlign w:val="bottom"/>
            <w:gridSpan w:val="2"/>
            <w:shd w:val="clear" w:color="auto" w:fill="CCEEFF"/>
          </w:tcPr>
          <w:p>
            <w:pPr>
              <w:ind w:left="60"/>
              <w:spacing w:after="0" w:line="185" w:lineRule="exact"/>
              <w:rPr>
                <w:sz w:val="20"/>
                <w:szCs w:val="20"/>
                <w:color w:val="auto"/>
              </w:rPr>
            </w:pPr>
            <w:r>
              <w:rPr>
                <w:rFonts w:ascii="Arial" w:cs="Arial" w:eastAsia="Arial" w:hAnsi="Arial"/>
                <w:sz w:val="18"/>
                <w:szCs w:val="18"/>
                <w:color w:val="auto"/>
                <w:w w:val="99"/>
              </w:rPr>
              <w:t>Contribution of Preferred Units, Senior Priority Units, and notes payable to related party for Greenidge</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common stock (Note 7)</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72,048</w:t>
            </w:r>
          </w:p>
        </w:tc>
        <w:tc>
          <w:tcPr>
            <w:tcW w:w="0" w:type="dxa"/>
            <w:vAlign w:val="bottom"/>
          </w:tcPr>
          <w:p>
            <w:pPr>
              <w:spacing w:after="0"/>
              <w:rPr>
                <w:sz w:val="1"/>
                <w:szCs w:val="1"/>
                <w:color w:val="auto"/>
              </w:rPr>
            </w:pPr>
          </w:p>
        </w:tc>
      </w:tr>
      <w:tr>
        <w:trPr>
          <w:trHeight w:val="225"/>
        </w:trPr>
        <w:tc>
          <w:tcPr>
            <w:tcW w:w="8160" w:type="dxa"/>
            <w:vAlign w:val="bottom"/>
            <w:gridSpan w:val="2"/>
          </w:tcPr>
          <w:p>
            <w:pPr>
              <w:ind w:left="60"/>
              <w:spacing w:after="0"/>
              <w:rPr>
                <w:sz w:val="20"/>
                <w:szCs w:val="20"/>
                <w:color w:val="auto"/>
              </w:rPr>
            </w:pPr>
            <w:r>
              <w:rPr>
                <w:rFonts w:ascii="Arial" w:cs="Arial" w:eastAsia="Arial" w:hAnsi="Arial"/>
                <w:sz w:val="18"/>
                <w:szCs w:val="18"/>
                <w:color w:val="auto"/>
              </w:rPr>
              <w:t>Issuance of shares for investor fee associated with successful completion of Merger (Notes 3 and 7)</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17,826</w:t>
            </w:r>
          </w:p>
        </w:tc>
        <w:tc>
          <w:tcPr>
            <w:tcW w:w="0" w:type="dxa"/>
            <w:vAlign w:val="bottom"/>
          </w:tcPr>
          <w:p>
            <w:pPr>
              <w:spacing w:after="0"/>
              <w:rPr>
                <w:sz w:val="1"/>
                <w:szCs w:val="1"/>
                <w:color w:val="auto"/>
              </w:rPr>
            </w:pPr>
          </w:p>
        </w:tc>
      </w:tr>
      <w:tr>
        <w:trPr>
          <w:trHeight w:val="226"/>
        </w:trPr>
        <w:tc>
          <w:tcPr>
            <w:tcW w:w="8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Issuance of warrants to advisor in connection with completion of Merger (Note 3 and 7)</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0" w:type="dxa"/>
            <w:vAlign w:val="bottom"/>
          </w:tcPr>
          <w:p>
            <w:pPr>
              <w:spacing w:after="0"/>
              <w:rPr>
                <w:sz w:val="1"/>
                <w:szCs w:val="1"/>
                <w:color w:val="auto"/>
              </w:rPr>
            </w:pPr>
          </w:p>
        </w:tc>
      </w:tr>
      <w:tr>
        <w:trPr>
          <w:trHeight w:val="224"/>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Property and equipment purchases in accounts payable</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6,676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cash flow information for cash paid for interest and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338"/>
              <w:spacing w:after="0"/>
              <w:rPr>
                <w:sz w:val="20"/>
                <w:szCs w:val="20"/>
                <w:color w:val="auto"/>
              </w:rPr>
            </w:pPr>
            <w:r>
              <w:rPr>
                <w:rFonts w:ascii="Arial" w:cs="Arial" w:eastAsia="Arial" w:hAnsi="Arial"/>
                <w:sz w:val="14"/>
                <w:szCs w:val="14"/>
                <w:b w:val="1"/>
                <w:bCs w:val="1"/>
                <w:color w:val="auto"/>
              </w:rPr>
              <w:t>For the Year Ended December 31,</w:t>
            </w:r>
          </w:p>
        </w:tc>
      </w:tr>
      <w:tr>
        <w:trPr>
          <w:trHeight w:val="20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5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224"/>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4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16,463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r>
      <w:tr>
        <w:trPr>
          <w:trHeight w:val="224"/>
        </w:trPr>
        <w:tc>
          <w:tcPr>
            <w:tcW w:w="3580" w:type="dxa"/>
            <w:vAlign w:val="bottom"/>
          </w:tcPr>
          <w:p>
            <w:pPr>
              <w:ind w:left="20"/>
              <w:spacing w:after="0"/>
              <w:rPr>
                <w:sz w:val="20"/>
                <w:szCs w:val="20"/>
                <w:color w:val="auto"/>
              </w:rPr>
            </w:pPr>
            <w:r>
              <w:rPr>
                <w:rFonts w:ascii="Arial" w:cs="Arial" w:eastAsia="Arial" w:hAnsi="Arial"/>
                <w:sz w:val="18"/>
                <w:szCs w:val="18"/>
                <w:color w:val="auto"/>
              </w:rPr>
              <w:t>Cash paid for taxes</w:t>
            </w:r>
          </w:p>
        </w:tc>
        <w:tc>
          <w:tcPr>
            <w:tcW w:w="4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2,344</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901"/>
        </w:trPr>
        <w:tc>
          <w:tcPr>
            <w:tcW w:w="3580" w:type="dxa"/>
            <w:vAlign w:val="bottom"/>
          </w:tcPr>
          <w:p>
            <w:pPr>
              <w:spacing w:after="0"/>
              <w:rPr>
                <w:sz w:val="24"/>
                <w:szCs w:val="24"/>
                <w:color w:val="auto"/>
              </w:rPr>
            </w:pPr>
          </w:p>
        </w:tc>
        <w:tc>
          <w:tcPr>
            <w:tcW w:w="4840" w:type="dxa"/>
            <w:vAlign w:val="bottom"/>
            <w:gridSpan w:val="2"/>
          </w:tcPr>
          <w:p>
            <w:pPr>
              <w:jc w:val="right"/>
              <w:ind w:right="2620"/>
              <w:spacing w:after="0"/>
              <w:rPr>
                <w:sz w:val="20"/>
                <w:szCs w:val="20"/>
                <w:color w:val="auto"/>
              </w:rPr>
            </w:pPr>
            <w:r>
              <w:rPr>
                <w:rFonts w:ascii="Arial" w:cs="Arial" w:eastAsia="Arial" w:hAnsi="Arial"/>
                <w:sz w:val="18"/>
                <w:szCs w:val="18"/>
                <w:color w:val="auto"/>
              </w:rPr>
              <w:t>F-35</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0"/>
        </w:trPr>
        <w:tc>
          <w:tcPr>
            <w:tcW w:w="358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15. SUBSEQUENT EVENTS</w:t>
      </w:r>
    </w:p>
    <w:p>
      <w:pPr>
        <w:spacing w:after="0" w:line="13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Subsequent events have been evaluated through March 31, 2023, the date at which the consolidated financial statements were available to be issued, and the Company has concluded that no such events or transactions took place that would require disclosure herein except as stated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NYDIG Agreements</w:t>
      </w:r>
    </w:p>
    <w:p>
      <w:pPr>
        <w:spacing w:after="0" w:line="160" w:lineRule="exact"/>
        <w:rPr>
          <w:sz w:val="20"/>
          <w:szCs w:val="20"/>
          <w:color w:val="auto"/>
        </w:rPr>
      </w:pPr>
    </w:p>
    <w:p>
      <w:pPr>
        <w:ind w:right="940"/>
        <w:spacing w:after="0" w:line="252" w:lineRule="auto"/>
        <w:rPr>
          <w:sz w:val="20"/>
          <w:szCs w:val="20"/>
          <w:color w:val="auto"/>
        </w:rPr>
      </w:pPr>
      <w:r>
        <w:rPr>
          <w:rFonts w:ascii="Arial" w:cs="Arial" w:eastAsia="Arial" w:hAnsi="Arial"/>
          <w:sz w:val="17"/>
          <w:szCs w:val="17"/>
          <w:color w:val="auto"/>
        </w:rPr>
        <w:t>On January 30, 2023, the Company entered into a Debt Settlement Agreement with NYDIG in order to refinance and replace certain outstanding indebtedness under certain MEFAs. The $75.8 million in debt previously outstanding under the MEFAs was reduced by</w:t>
      </w:r>
    </w:p>
    <w:p>
      <w:pPr>
        <w:ind w:right="260"/>
        <w:spacing w:after="0" w:line="238" w:lineRule="auto"/>
        <w:rPr>
          <w:sz w:val="20"/>
          <w:szCs w:val="20"/>
          <w:color w:val="auto"/>
        </w:rPr>
      </w:pPr>
      <w:r>
        <w:rPr>
          <w:rFonts w:ascii="Arial" w:cs="Arial" w:eastAsia="Arial" w:hAnsi="Arial"/>
          <w:sz w:val="18"/>
          <w:szCs w:val="18"/>
          <w:color w:val="auto"/>
        </w:rPr>
        <w:t>$58.5 million pursuant to the Debt Settlement Agreement and the remaining $17.3 million outstanding under the MEFAs was refinanced. 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under section </w:t>
      </w:r>
      <w:r>
        <w:rPr>
          <w:rFonts w:ascii="Arial" w:cs="Arial" w:eastAsia="Arial" w:hAnsi="Arial"/>
          <w:sz w:val="18"/>
          <w:szCs w:val="18"/>
          <w:i w:val="1"/>
          <w:iCs w:val="1"/>
          <w:color w:val="auto"/>
        </w:rPr>
        <w:t>Senior Unsecured Notes</w:t>
      </w:r>
      <w:r>
        <w:rPr>
          <w:rFonts w:ascii="Arial" w:cs="Arial" w:eastAsia="Arial" w:hAnsi="Arial"/>
          <w:sz w:val="18"/>
          <w:szCs w:val="18"/>
          <w:color w:val="auto"/>
        </w:rPr>
        <w:t xml:space="preserve"> for further details.</w:t>
      </w:r>
    </w:p>
    <w:p>
      <w:pPr>
        <w:spacing w:after="0" w:line="15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part of the Refinancing, the Company entered into (i) a Membership Interest and Asset Purchase Agreement dated January 30, 2023 (the "Purchase Agreement"), pursuant to which wholly-owned subsidiaries of Greenidge (the "Sellers") sold to NYDIG and certain of its subsidiaries ("Buyers"), and Buyers purchased (x) certain subsidiaries that own bitcoin mining equipment and (y) credits and coupons that had accrued to the Sellers upon the purchase of the bitcoin mining equipment, in exchange for a reduction in indebtedness under the MEFAs and (ii) Hosting Agreements dated January 30, 2023 (the "Hosting Agreements"), pursuant to which, among other things, Greenidge South Carolina LLC (the "Host") shall provide hosting services to certain NYDIG affiliates (the "Clients") in connection with the mining of bitcoin (or other digital assets recorded on a decentralized distributed ledger), and the Clients shall pay the Host for such hosting services.</w:t>
      </w:r>
    </w:p>
    <w:p>
      <w:pPr>
        <w:spacing w:after="0" w:line="146"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Under the Hosting Agreements, the Host agreed to host, power and provide technical support services, and other related services, to the Clients’ mining equipment (the "Services") at data centers operated by the Host for a period of five years, unless earlier terminated in accordance with the terms of the Hosting Agreements. The Hosting Agreements require the Clients to pay the Host a hosting fee that covers the cost of power and direct costs associated with management of the mining facilities, as well as a gross profit-sharing arrangement. The Clients are also required to pay a security deposit to the Host prior to the Host providing hosting services.</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Under the Hosting Agreements, the Clients submitted Hosting Agreement Orders ("Orders") to the Host detailing the terms of the hosting services to be provided and the amounts to be paid to the Host for providing the hosting services. The initial Orders entered into have a term of five years, but may be terminated earlier by a party (i) upon default by the other party, which default is not cured within 10 days of notice thereof,</w:t>
      </w:r>
    </w:p>
    <w:p>
      <w:pPr>
        <w:spacing w:after="0" w:line="1" w:lineRule="exact"/>
        <w:rPr>
          <w:sz w:val="20"/>
          <w:szCs w:val="20"/>
          <w:color w:val="auto"/>
        </w:rPr>
      </w:pPr>
    </w:p>
    <w:p>
      <w:pPr>
        <w:ind w:right="80" w:firstLine="6"/>
        <w:spacing w:after="0" w:line="238"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representation or warranty made by the other party in connection with such Hosting Agreement proves to have been false or misleading in any material respect and the conditions causing such representation or warranty to be false or misleading are not corrected within 10 days following notice thereof, (iii) the other party suffers certain insolvency events or (iv) the Host commits a service level commitment default (as defined in the Hosting Agreements).</w:t>
      </w:r>
    </w:p>
    <w:p>
      <w:pPr>
        <w:spacing w:after="0" w:line="14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Initial Orders under the Hosting Agreements cover all of Greenidge’s current mining capacity at the New York and South Carolina facilities, and future Orders may cover capacity at a potential third site pursuant to satisfaction of certain post-closing covenants.</w:t>
      </w:r>
    </w:p>
    <w:p>
      <w:pPr>
        <w:spacing w:after="0" w:line="159"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color w:val="auto"/>
        </w:rPr>
        <w:t>On January 30, 2023, in connection with the Refinancing, Greenidge and NYDIG executed a board observation rights letter (the "Board Rights Letter"), pursuant to which Greenidge agreed to grant NYDIG certain board observation rights, in a non-voting observational capacity, as more fully detailed therein.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Riley Amendment</w:t>
      </w:r>
    </w:p>
    <w:p>
      <w:pPr>
        <w:spacing w:after="0" w:line="21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On January 30, 2023, Greenidge entered into an amendment with B. Riley to modify the payment dates and principal and interest payment amounts under the Promissory Note, requiring no principal and interest payments until June 2023 and monthly payments thereafter through November 20, 2023. Under the B. Riley Amendment, Greenidge is required to make mandatory monthly debt repayments under the Promissory Note of 15% of the net proceeds of sales of equity, including sales under the ATM Agreement and the equity purchase agreement. Through March 30, 2023, the Company had repaid B. Riley $2.8 million through proceeds from sales under the ATM Agreement. See Note 6, "Debt" under section </w:t>
      </w:r>
      <w:r>
        <w:rPr>
          <w:rFonts w:ascii="Arial" w:cs="Arial" w:eastAsia="Arial" w:hAnsi="Arial"/>
          <w:sz w:val="18"/>
          <w:szCs w:val="18"/>
          <w:i w:val="1"/>
          <w:iCs w:val="1"/>
          <w:color w:val="auto"/>
        </w:rPr>
        <w:t>Secured Promissory Note</w:t>
      </w:r>
      <w:r>
        <w:rPr>
          <w:rFonts w:ascii="Arial" w:cs="Arial" w:eastAsia="Arial" w:hAnsi="Arial"/>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230"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9"/>
          <w:szCs w:val="19"/>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0"/>
        <w:spacing w:after="0"/>
        <w:rPr>
          <w:sz w:val="20"/>
          <w:szCs w:val="20"/>
          <w:color w:val="auto"/>
        </w:rPr>
      </w:pPr>
      <w:r>
        <w:rPr>
          <w:rFonts w:ascii="Arial" w:cs="Arial" w:eastAsia="Arial" w:hAnsi="Arial"/>
          <w:sz w:val="21"/>
          <w:szCs w:val="21"/>
          <w:color w:val="auto"/>
        </w:rPr>
        <w:t>October 7, 2022</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1"/>
          <w:szCs w:val="21"/>
          <w:color w:val="auto"/>
        </w:rPr>
        <w:t>David Anderson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BY EMAIL</w:t>
      </w:r>
    </w:p>
    <w:p>
      <w:pPr>
        <w:spacing w:after="0" w:line="29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Dear Dave:</w:t>
      </w:r>
    </w:p>
    <w:p>
      <w:pPr>
        <w:spacing w:after="0" w:line="156" w:lineRule="exact"/>
        <w:rPr>
          <w:sz w:val="20"/>
          <w:szCs w:val="20"/>
          <w:color w:val="auto"/>
        </w:rPr>
      </w:pPr>
    </w:p>
    <w:p>
      <w:pPr>
        <w:jc w:val="both"/>
        <w:ind w:left="100" w:right="100"/>
        <w:spacing w:after="0" w:line="287" w:lineRule="auto"/>
        <w:rPr>
          <w:sz w:val="20"/>
          <w:szCs w:val="20"/>
          <w:color w:val="auto"/>
        </w:rPr>
      </w:pPr>
      <w:r>
        <w:rPr>
          <w:rFonts w:ascii="Arial" w:cs="Arial" w:eastAsia="Arial" w:hAnsi="Arial"/>
          <w:sz w:val="20"/>
          <w:szCs w:val="20"/>
          <w:color w:val="auto"/>
        </w:rPr>
        <w:t>We are very pleased to offer you the opportunity to join Greenidge Generation Holdings Inc., a Delaware corporation (the “Company”), as Chief Executive Officer, reporting directly to the Board of Directors of the Company (the “Board”), effective October 8, 2022 (the “Start Date”). You will have the duties and responsibilities commensurate with your role and as may be assigned to you from time to time by the Board. Your employment with the Company will be on an “at-will” basis, meaning you and the Company each have the right to terminate your employment at any time, for any reason or for no reason.</w:t>
      </w:r>
    </w:p>
    <w:p>
      <w:pPr>
        <w:spacing w:after="0" w:line="96" w:lineRule="exact"/>
        <w:rPr>
          <w:sz w:val="20"/>
          <w:szCs w:val="20"/>
          <w:color w:val="auto"/>
        </w:rPr>
      </w:pPr>
    </w:p>
    <w:p>
      <w:pPr>
        <w:jc w:val="both"/>
        <w:ind w:left="100" w:right="100"/>
        <w:spacing w:after="0" w:line="270" w:lineRule="auto"/>
        <w:rPr>
          <w:sz w:val="20"/>
          <w:szCs w:val="20"/>
          <w:color w:val="auto"/>
        </w:rPr>
      </w:pPr>
      <w:r>
        <w:rPr>
          <w:rFonts w:ascii="Arial" w:cs="Arial" w:eastAsia="Arial" w:hAnsi="Arial"/>
          <w:sz w:val="21"/>
          <w:szCs w:val="21"/>
          <w:color w:val="auto"/>
        </w:rPr>
        <w:t>In consideration of your services, you will be paid an annual base salary of $400,000, payable in accordance with the Company’s ordinary payroll practices as established from time to time. In addition, if you remain employed by the Company on the applicable payment date, you will be eligible to receive an annual bonus with a target opportunity of up to 50% of your annual base salary, subject to the terms and performance conditions determined by the Board, payable on the date annual bonuses are paid to similarly situated employees of the Company.</w:t>
      </w:r>
    </w:p>
    <w:p>
      <w:pPr>
        <w:spacing w:after="0" w:line="112" w:lineRule="exact"/>
        <w:rPr>
          <w:sz w:val="20"/>
          <w:szCs w:val="20"/>
          <w:color w:val="auto"/>
        </w:rPr>
      </w:pPr>
    </w:p>
    <w:p>
      <w:pPr>
        <w:jc w:val="both"/>
        <w:ind w:left="100" w:right="100"/>
        <w:spacing w:after="0" w:line="277" w:lineRule="auto"/>
        <w:rPr>
          <w:sz w:val="20"/>
          <w:szCs w:val="20"/>
          <w:color w:val="auto"/>
        </w:rPr>
      </w:pPr>
      <w:r>
        <w:rPr>
          <w:rFonts w:ascii="Arial" w:cs="Arial" w:eastAsia="Arial" w:hAnsi="Arial"/>
          <w:sz w:val="21"/>
          <w:szCs w:val="21"/>
          <w:color w:val="auto"/>
        </w:rPr>
        <w:t>As an inducement material to your willingness to accept this offer of employment, on the first business day following the Start Date, you will be granted options to purchase 1,852,812 shares of the Company’s Class A common stock, subject to the terms and conditions of the stock option award agreement under which the options are granted.</w:t>
      </w:r>
    </w:p>
    <w:p>
      <w:pPr>
        <w:spacing w:after="0" w:line="91" w:lineRule="exact"/>
        <w:rPr>
          <w:sz w:val="20"/>
          <w:szCs w:val="20"/>
          <w:color w:val="auto"/>
        </w:rPr>
      </w:pPr>
    </w:p>
    <w:p>
      <w:pPr>
        <w:jc w:val="both"/>
        <w:ind w:left="100" w:right="100"/>
        <w:spacing w:after="0" w:line="287" w:lineRule="auto"/>
        <w:rPr>
          <w:sz w:val="20"/>
          <w:szCs w:val="20"/>
          <w:color w:val="auto"/>
        </w:rPr>
      </w:pPr>
      <w:r>
        <w:rPr>
          <w:rFonts w:ascii="Arial" w:cs="Arial" w:eastAsia="Arial" w:hAnsi="Arial"/>
          <w:sz w:val="20"/>
          <w:szCs w:val="20"/>
          <w:color w:val="auto"/>
        </w:rPr>
        <w:t>By signing below, you represent that you are not party to any agreement that would limit your ability to discharge your duties to the Company and its subsidiaries and affiliates. The Company may withhold from any payment due to you any taxes that are required to be withheld under any law, rule or regulation or any other authorized deductions. This letter may be executed in counterparts each of which will be deemed to be an original, but all of which will together constitute one and the same instrument. This letter will be governed by the laws of the State of New York, without regard to conflict of law principles.</w:t>
      </w:r>
    </w:p>
    <w:p>
      <w:pPr>
        <w:spacing w:after="0" w:line="96" w:lineRule="exact"/>
        <w:rPr>
          <w:sz w:val="20"/>
          <w:szCs w:val="20"/>
          <w:color w:val="auto"/>
        </w:rPr>
      </w:pPr>
    </w:p>
    <w:p>
      <w:pPr>
        <w:jc w:val="both"/>
        <w:ind w:left="100" w:right="120"/>
        <w:spacing w:after="0" w:line="292" w:lineRule="auto"/>
        <w:rPr>
          <w:sz w:val="20"/>
          <w:szCs w:val="20"/>
          <w:color w:val="auto"/>
        </w:rPr>
      </w:pPr>
      <w:r>
        <w:rPr>
          <w:rFonts w:ascii="Arial" w:cs="Arial" w:eastAsia="Arial" w:hAnsi="Arial"/>
          <w:sz w:val="21"/>
          <w:szCs w:val="21"/>
          <w:color w:val="auto"/>
        </w:rPr>
        <w:t>If you wish to accept this position, please sign below and return the executed copy of this letter to the Company. We look forward to you joining the Company!</w:t>
      </w:r>
    </w:p>
    <w:p>
      <w:pPr>
        <w:spacing w:after="0" w:line="393"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248" w:lineRule="exact"/>
        <w:rPr>
          <w:sz w:val="20"/>
          <w:szCs w:val="20"/>
          <w:color w:val="auto"/>
        </w:rPr>
      </w:pPr>
    </w:p>
    <w:p>
      <w:pPr>
        <w:ind w:left="2560"/>
        <w:spacing w:after="0"/>
        <w:rPr>
          <w:sz w:val="20"/>
          <w:szCs w:val="20"/>
          <w:color w:val="auto"/>
        </w:rPr>
      </w:pPr>
      <w:r>
        <w:rPr>
          <w:rFonts w:ascii="Arial" w:cs="Arial" w:eastAsia="Arial" w:hAnsi="Arial"/>
          <w:sz w:val="21"/>
          <w:szCs w:val="21"/>
          <w:u w:val="single" w:color="auto"/>
          <w:color w:val="auto"/>
        </w:rPr>
        <w:t>/s/ Tim Fazio</w:t>
      </w:r>
    </w:p>
    <w:p>
      <w:pPr>
        <w:ind w:left="2640"/>
        <w:spacing w:after="0" w:line="238" w:lineRule="auto"/>
        <w:rPr>
          <w:sz w:val="20"/>
          <w:szCs w:val="20"/>
          <w:color w:val="auto"/>
        </w:rPr>
      </w:pPr>
      <w:r>
        <w:rPr>
          <w:rFonts w:ascii="Arial" w:cs="Arial" w:eastAsia="Arial" w:hAnsi="Arial"/>
          <w:sz w:val="21"/>
          <w:szCs w:val="21"/>
          <w:color w:val="auto"/>
        </w:rPr>
        <w:t>Tim Fazio</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21"/>
          <w:szCs w:val="21"/>
          <w:color w:val="auto"/>
        </w:rPr>
        <w:t>Chairman of the Board of Directors, Greenidge Generation Holdings Inc.</w:t>
      </w:r>
    </w:p>
    <w:p>
      <w:pPr>
        <w:sectPr>
          <w:pgSz w:w="11900" w:h="16838" w:orient="portrait"/>
          <w:cols w:equalWidth="0" w:num="1">
            <w:col w:w="11240"/>
          </w:cols>
          <w:pgMar w:left="320" w:top="55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9"/>
          <w:szCs w:val="19"/>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100" w:right="100"/>
        <w:spacing w:after="0" w:line="273" w:lineRule="auto"/>
        <w:rPr>
          <w:sz w:val="20"/>
          <w:szCs w:val="20"/>
          <w:color w:val="auto"/>
        </w:rPr>
      </w:pPr>
      <w:r>
        <w:rPr>
          <w:rFonts w:ascii="Arial" w:cs="Arial" w:eastAsia="Arial" w:hAnsi="Arial"/>
          <w:sz w:val="21"/>
          <w:szCs w:val="21"/>
          <w:color w:val="auto"/>
        </w:rPr>
        <w:t>I have read, understood and accept all the terms of this offer letter. I have not relied on any agreements or representations, express or implied, with respect to my employment which are not set forth expressly in this letter or in the documents referenced herein, and this letter supersedes all prior and contemporaneous understandings, agreements, representations and warranties, both written and oral, with respect to my employment by the Company.</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Accepted and Agreed</w:t>
      </w:r>
      <w:r>
        <w:rPr>
          <w:rFonts w:ascii="Arial" w:cs="Arial" w:eastAsia="Arial" w:hAnsi="Arial"/>
          <w:sz w:val="21"/>
          <w:szCs w:val="21"/>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David Anderson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10/7/22</w:t>
            </w:r>
          </w:p>
        </w:tc>
      </w:tr>
    </w:tbl>
    <w:p>
      <w:pPr>
        <w:spacing w:after="0" w:line="200" w:lineRule="exact"/>
        <w:rPr>
          <w:sz w:val="20"/>
          <w:szCs w:val="20"/>
          <w:color w:val="auto"/>
        </w:rPr>
      </w:pPr>
    </w:p>
    <w:p>
      <w:pPr>
        <w:spacing w:after="0" w:line="269"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1"/>
          <w:szCs w:val="21"/>
          <w:color w:val="auto"/>
        </w:rPr>
        <w:t>David Anderson</w:t>
      </w:r>
      <w:r>
        <w:rPr>
          <w:sz w:val="20"/>
          <w:szCs w:val="20"/>
          <w:color w:val="auto"/>
        </w:rPr>
        <w:tab/>
      </w:r>
      <w:r>
        <w:rPr>
          <w:rFonts w:ascii="Arial" w:cs="Arial" w:eastAsia="Arial" w:hAnsi="Arial"/>
          <w:sz w:val="18"/>
          <w:szCs w:val="18"/>
          <w:color w:val="auto"/>
        </w:rPr>
        <w:t>Date</w:t>
      </w:r>
    </w:p>
    <w:p>
      <w:pPr>
        <w:sectPr>
          <w:pgSz w:w="11900" w:h="16838" w:orient="portrait"/>
          <w:cols w:equalWidth="0" w:num="1">
            <w:col w:w="11240"/>
          </w:cols>
          <w:pgMar w:left="320" w:top="55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9"/>
          <w:szCs w:val="19"/>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Arial" w:cs="Arial" w:eastAsia="Arial" w:hAnsi="Arial"/>
          <w:sz w:val="21"/>
          <w:szCs w:val="21"/>
          <w:color w:val="auto"/>
        </w:rPr>
        <w:t>October 7, 2022</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1"/>
          <w:szCs w:val="21"/>
          <w:color w:val="auto"/>
        </w:rPr>
        <w:t>Scott MacKenzie</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BY EMAIL</w:t>
      </w:r>
    </w:p>
    <w:p>
      <w:pPr>
        <w:spacing w:after="0" w:line="29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Dear Scott:</w:t>
      </w:r>
    </w:p>
    <w:p>
      <w:pPr>
        <w:spacing w:after="0" w:line="156" w:lineRule="exact"/>
        <w:rPr>
          <w:sz w:val="20"/>
          <w:szCs w:val="20"/>
          <w:color w:val="auto"/>
        </w:rPr>
      </w:pPr>
    </w:p>
    <w:p>
      <w:pPr>
        <w:jc w:val="both"/>
        <w:ind w:left="100" w:right="100"/>
        <w:spacing w:after="0" w:line="269" w:lineRule="auto"/>
        <w:rPr>
          <w:sz w:val="20"/>
          <w:szCs w:val="20"/>
          <w:color w:val="auto"/>
        </w:rPr>
      </w:pPr>
      <w:r>
        <w:rPr>
          <w:rFonts w:ascii="Arial" w:cs="Arial" w:eastAsia="Arial" w:hAnsi="Arial"/>
          <w:sz w:val="21"/>
          <w:szCs w:val="21"/>
          <w:color w:val="auto"/>
        </w:rPr>
        <w:t>We are very pleased to offer you the opportunity to join Greenidge Generation Holdings Inc., a Delaware corporation (the “Company”), as Chief Strategy Officer, reporting directly to the Chief Executive Officer of the Company, effective October 8, 2022 (the “Start Date”). You will have the duties and responsibilities commensurate with your role and as may be assigned to you from time to time by the Board of Directors of the Company (the “Board”) or the Chief Executive Officer. Your employment with the Company will be on an “at-will” basis, meaning you and the Company each have the right to terminate your employment at any time, for any reason or for no reason.</w:t>
      </w:r>
    </w:p>
    <w:p>
      <w:pPr>
        <w:spacing w:after="0" w:line="112" w:lineRule="exact"/>
        <w:rPr>
          <w:sz w:val="20"/>
          <w:szCs w:val="20"/>
          <w:color w:val="auto"/>
        </w:rPr>
      </w:pPr>
    </w:p>
    <w:p>
      <w:pPr>
        <w:jc w:val="both"/>
        <w:ind w:left="100" w:right="100"/>
        <w:spacing w:after="0" w:line="270" w:lineRule="auto"/>
        <w:rPr>
          <w:sz w:val="20"/>
          <w:szCs w:val="20"/>
          <w:color w:val="auto"/>
        </w:rPr>
      </w:pPr>
      <w:r>
        <w:rPr>
          <w:rFonts w:ascii="Arial" w:cs="Arial" w:eastAsia="Arial" w:hAnsi="Arial"/>
          <w:sz w:val="21"/>
          <w:szCs w:val="21"/>
          <w:color w:val="auto"/>
        </w:rPr>
        <w:t>In consideration of your services, you will be paid an annual base salary of $180,000, payable in accordance with the Company’s ordinary payroll practices as established from time to time. In addition, if you remain employed by the Company on the applicable payment date, you will be eligible to receive an annual bonus with a target opportunity of up to 50% of your annual base salary, subject to the terms and performance conditions determined by the Board, payable on the date annual bonuses are paid to similarly situated employees of the Company.</w:t>
      </w:r>
    </w:p>
    <w:p>
      <w:pPr>
        <w:spacing w:after="0" w:line="112" w:lineRule="exact"/>
        <w:rPr>
          <w:sz w:val="20"/>
          <w:szCs w:val="20"/>
          <w:color w:val="auto"/>
        </w:rPr>
      </w:pPr>
    </w:p>
    <w:p>
      <w:pPr>
        <w:jc w:val="both"/>
        <w:ind w:left="100" w:right="100"/>
        <w:spacing w:after="0" w:line="277" w:lineRule="auto"/>
        <w:rPr>
          <w:sz w:val="20"/>
          <w:szCs w:val="20"/>
          <w:color w:val="auto"/>
        </w:rPr>
      </w:pPr>
      <w:r>
        <w:rPr>
          <w:rFonts w:ascii="Arial" w:cs="Arial" w:eastAsia="Arial" w:hAnsi="Arial"/>
          <w:sz w:val="21"/>
          <w:szCs w:val="21"/>
          <w:color w:val="auto"/>
        </w:rPr>
        <w:t>As an inducement material to your willingness to accept this offer of employment, on the first business day following the Start Date, you will be granted options to purchase 1,224,030 shares of the Company’s Class A common stock, subject to the terms and conditions of the stock option award agreement under which the options are granted.</w:t>
      </w:r>
    </w:p>
    <w:p>
      <w:pPr>
        <w:spacing w:after="0" w:line="91" w:lineRule="exact"/>
        <w:rPr>
          <w:sz w:val="20"/>
          <w:szCs w:val="20"/>
          <w:color w:val="auto"/>
        </w:rPr>
      </w:pPr>
    </w:p>
    <w:p>
      <w:pPr>
        <w:jc w:val="both"/>
        <w:ind w:left="100" w:right="100"/>
        <w:spacing w:after="0" w:line="287" w:lineRule="auto"/>
        <w:rPr>
          <w:sz w:val="20"/>
          <w:szCs w:val="20"/>
          <w:color w:val="auto"/>
        </w:rPr>
      </w:pPr>
      <w:r>
        <w:rPr>
          <w:rFonts w:ascii="Arial" w:cs="Arial" w:eastAsia="Arial" w:hAnsi="Arial"/>
          <w:sz w:val="20"/>
          <w:szCs w:val="20"/>
          <w:color w:val="auto"/>
        </w:rPr>
        <w:t>By signing below, you represent that you are not party to any agreement that would limit your ability to discharge your duties to the Company and its subsidiaries and affiliates. The Company may withhold from any payment due to you any taxes that are required to be withheld under any law, rule or regulation or any other authorized deductions. This letter may be executed in counterparts each of which will be deemed to be an original, but all of which will together constitute one and the same instrument. This letter will be governed by the laws of the State of New York, without regard to conflict of law principles.</w:t>
      </w:r>
    </w:p>
    <w:p>
      <w:pPr>
        <w:spacing w:after="0" w:line="96" w:lineRule="exact"/>
        <w:rPr>
          <w:sz w:val="20"/>
          <w:szCs w:val="20"/>
          <w:color w:val="auto"/>
        </w:rPr>
      </w:pPr>
    </w:p>
    <w:p>
      <w:pPr>
        <w:jc w:val="both"/>
        <w:ind w:left="100" w:right="120"/>
        <w:spacing w:after="0" w:line="292" w:lineRule="auto"/>
        <w:rPr>
          <w:sz w:val="20"/>
          <w:szCs w:val="20"/>
          <w:color w:val="auto"/>
        </w:rPr>
      </w:pPr>
      <w:r>
        <w:rPr>
          <w:rFonts w:ascii="Arial" w:cs="Arial" w:eastAsia="Arial" w:hAnsi="Arial"/>
          <w:sz w:val="21"/>
          <w:szCs w:val="21"/>
          <w:color w:val="auto"/>
        </w:rPr>
        <w:t>If you wish to accept this position, please sign below and return the executed copy of this letter to the Company. We look forward to you joining the Company!</w:t>
      </w:r>
    </w:p>
    <w:p>
      <w:pPr>
        <w:spacing w:after="0" w:line="393"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248" w:lineRule="exact"/>
        <w:rPr>
          <w:sz w:val="20"/>
          <w:szCs w:val="20"/>
          <w:color w:val="auto"/>
        </w:rPr>
      </w:pPr>
    </w:p>
    <w:p>
      <w:pPr>
        <w:ind w:left="2560"/>
        <w:spacing w:after="0"/>
        <w:rPr>
          <w:sz w:val="20"/>
          <w:szCs w:val="20"/>
          <w:color w:val="auto"/>
        </w:rPr>
      </w:pPr>
      <w:r>
        <w:rPr>
          <w:rFonts w:ascii="Arial" w:cs="Arial" w:eastAsia="Arial" w:hAnsi="Arial"/>
          <w:sz w:val="21"/>
          <w:szCs w:val="21"/>
          <w:u w:val="single" w:color="auto"/>
          <w:color w:val="auto"/>
        </w:rPr>
        <w:t>/s/ Tim Fazio</w:t>
      </w:r>
    </w:p>
    <w:p>
      <w:pPr>
        <w:spacing w:after="0" w:line="236"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Tim Fazio</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Chairman of the Board of Directors, Greenidge Generation Holdings Inc.</w:t>
      </w:r>
    </w:p>
    <w:p>
      <w:pPr>
        <w:sectPr>
          <w:pgSz w:w="11900" w:h="16838" w:orient="portrait"/>
          <w:cols w:equalWidth="0" w:num="1">
            <w:col w:w="11240"/>
          </w:cols>
          <w:pgMar w:left="320" w:top="819" w:right="339" w:bottom="1440" w:gutter="0" w:footer="0" w:header="0"/>
        </w:sectPr>
      </w:pPr>
    </w:p>
    <w:bookmarkStart w:id="124" w:name="page125"/>
    <w:bookmarkEnd w:id="124"/>
    <w:p>
      <w:pPr>
        <w:spacing w:after="0" w:line="200" w:lineRule="exact"/>
        <w:rPr>
          <w:sz w:val="20"/>
          <w:szCs w:val="20"/>
          <w:color w:val="auto"/>
        </w:rPr>
      </w:pPr>
    </w:p>
    <w:p>
      <w:pPr>
        <w:spacing w:after="0" w:line="387" w:lineRule="exact"/>
        <w:rPr>
          <w:sz w:val="20"/>
          <w:szCs w:val="20"/>
          <w:color w:val="auto"/>
        </w:rPr>
      </w:pPr>
    </w:p>
    <w:p>
      <w:pPr>
        <w:jc w:val="both"/>
        <w:ind w:left="100"/>
        <w:spacing w:after="0" w:line="273" w:lineRule="auto"/>
        <w:rPr>
          <w:sz w:val="20"/>
          <w:szCs w:val="20"/>
          <w:color w:val="auto"/>
        </w:rPr>
      </w:pPr>
      <w:r>
        <w:rPr>
          <w:rFonts w:ascii="Arial" w:cs="Arial" w:eastAsia="Arial" w:hAnsi="Arial"/>
          <w:sz w:val="21"/>
          <w:szCs w:val="21"/>
          <w:color w:val="auto"/>
        </w:rPr>
        <w:t>I have read, understood and accept all the terms of this offer letter. I have not relied on any agreements or representations, express or implied, with respect to my employment which are not set forth expressly in this letter or in the documents referenced herein, and this letter supersedes all prior and contemporaneous understandings, agreements, representations and warranties, both written and oral, with respect to my employment by the Company.</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Accepted and Agreed</w:t>
      </w:r>
      <w:r>
        <w:rPr>
          <w:rFonts w:ascii="Arial" w:cs="Arial" w:eastAsia="Arial" w:hAnsi="Arial"/>
          <w:sz w:val="21"/>
          <w:szCs w:val="21"/>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Borders>
              <w:bottom w:val="single" w:sz="8" w:color="auto"/>
            </w:tcBorders>
          </w:tcPr>
          <w:p>
            <w:pPr>
              <w:spacing w:after="0"/>
              <w:rPr>
                <w:sz w:val="20"/>
                <w:szCs w:val="20"/>
                <w:color w:val="auto"/>
              </w:rPr>
            </w:pPr>
            <w:r>
              <w:rPr>
                <w:rFonts w:ascii="Arial" w:cs="Arial" w:eastAsia="Arial" w:hAnsi="Arial"/>
                <w:sz w:val="23"/>
                <w:szCs w:val="23"/>
                <w:color w:val="auto"/>
              </w:rPr>
              <w:t>/s/ Scott MacKenzie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3"/>
                <w:szCs w:val="23"/>
                <w:color w:val="auto"/>
              </w:rPr>
              <w:t>10/7/22</w:t>
            </w:r>
          </w:p>
        </w:tc>
      </w:tr>
    </w:tbl>
    <w:p>
      <w:pPr>
        <w:spacing w:after="0" w:line="297" w:lineRule="exact"/>
        <w:rPr>
          <w:sz w:val="20"/>
          <w:szCs w:val="20"/>
          <w:color w:val="auto"/>
        </w:rPr>
      </w:pPr>
    </w:p>
    <w:p>
      <w:pPr>
        <w:ind w:left="100"/>
        <w:spacing w:after="0"/>
        <w:tabs>
          <w:tab w:leader="none" w:pos="1760" w:val="left"/>
        </w:tabs>
        <w:rPr>
          <w:sz w:val="20"/>
          <w:szCs w:val="20"/>
          <w:color w:val="auto"/>
        </w:rPr>
      </w:pPr>
      <w:r>
        <w:rPr>
          <w:rFonts w:ascii="Arial" w:cs="Arial" w:eastAsia="Arial" w:hAnsi="Arial"/>
          <w:sz w:val="21"/>
          <w:szCs w:val="21"/>
          <w:color w:val="auto"/>
        </w:rPr>
        <w:t>Scott MacKenzie</w:t>
      </w:r>
      <w:r>
        <w:rPr>
          <w:sz w:val="20"/>
          <w:szCs w:val="20"/>
          <w:color w:val="auto"/>
        </w:rPr>
        <w:tab/>
      </w:r>
      <w:r>
        <w:rPr>
          <w:rFonts w:ascii="Arial" w:cs="Arial" w:eastAsia="Arial" w:hAnsi="Arial"/>
          <w:sz w:val="18"/>
          <w:szCs w:val="18"/>
          <w:color w:val="auto"/>
        </w:rPr>
        <w:t>Date</w:t>
      </w:r>
    </w:p>
    <w:p>
      <w:pPr>
        <w:sectPr>
          <w:pgSz w:w="11900" w:h="16838" w:orient="portrait"/>
          <w:cols w:equalWidth="0" w:num="1">
            <w:col w:w="11140"/>
          </w:cols>
          <w:pgMar w:left="320" w:top="1440" w:right="4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9"/>
          <w:szCs w:val="19"/>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color w:val="auto"/>
        </w:rPr>
        <w:t>October 10, 2022</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BY EMAIL</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color w:val="auto"/>
        </w:rPr>
        <w:t>Dear Jeff:</w:t>
      </w:r>
    </w:p>
    <w:p>
      <w:pPr>
        <w:spacing w:after="0" w:line="216" w:lineRule="exact"/>
        <w:rPr>
          <w:sz w:val="20"/>
          <w:szCs w:val="20"/>
          <w:color w:val="auto"/>
        </w:rPr>
      </w:pPr>
    </w:p>
    <w:p>
      <w:pPr>
        <w:jc w:val="both"/>
        <w:ind w:right="100" w:firstLine="636"/>
        <w:spacing w:after="0" w:line="226" w:lineRule="auto"/>
        <w:rPr>
          <w:sz w:val="20"/>
          <w:szCs w:val="20"/>
          <w:color w:val="auto"/>
        </w:rPr>
      </w:pPr>
      <w:r>
        <w:rPr>
          <w:rFonts w:ascii="Arial" w:cs="Arial" w:eastAsia="Arial" w:hAnsi="Arial"/>
          <w:sz w:val="21"/>
          <w:szCs w:val="21"/>
          <w:color w:val="auto"/>
        </w:rPr>
        <w:t>This letter agreement (this “</w:t>
      </w:r>
      <w:r>
        <w:rPr>
          <w:rFonts w:ascii="Arial" w:cs="Arial" w:eastAsia="Arial" w:hAnsi="Arial"/>
          <w:sz w:val="21"/>
          <w:szCs w:val="21"/>
          <w:b w:val="1"/>
          <w:bCs w:val="1"/>
          <w:color w:val="auto"/>
        </w:rPr>
        <w:t>Letter</w:t>
      </w:r>
      <w:r>
        <w:rPr>
          <w:rFonts w:ascii="Arial" w:cs="Arial" w:eastAsia="Arial" w:hAnsi="Arial"/>
          <w:sz w:val="21"/>
          <w:szCs w:val="21"/>
          <w:color w:val="auto"/>
        </w:rPr>
        <w:t>”) confirms the changes to your relationship with Greenidge Generation Holdings Inc. (the “</w:t>
      </w:r>
      <w:r>
        <w:rPr>
          <w:rFonts w:ascii="Arial" w:cs="Arial" w:eastAsia="Arial" w:hAnsi="Arial"/>
          <w:sz w:val="21"/>
          <w:szCs w:val="21"/>
          <w:b w:val="1"/>
          <w:bCs w:val="1"/>
          <w:color w:val="auto"/>
        </w:rPr>
        <w:t>Company</w:t>
      </w:r>
      <w:r>
        <w:rPr>
          <w:rFonts w:ascii="Arial" w:cs="Arial" w:eastAsia="Arial" w:hAnsi="Arial"/>
          <w:sz w:val="21"/>
          <w:szCs w:val="21"/>
          <w:color w:val="auto"/>
        </w:rPr>
        <w:t>”) and its subsidiaries and affiliates (together with the Company,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w:t>
      </w:r>
      <w:r>
        <w:rPr>
          <w:rFonts w:ascii="Arial" w:cs="Arial" w:eastAsia="Arial" w:hAnsi="Arial"/>
          <w:sz w:val="21"/>
          <w:szCs w:val="21"/>
          <w:b w:val="1"/>
          <w:bCs w:val="1"/>
          <w:color w:val="auto"/>
        </w:rPr>
        <w:t>Group</w:t>
      </w:r>
      <w:r>
        <w:rPr>
          <w:rFonts w:ascii="Arial" w:cs="Arial" w:eastAsia="Arial" w:hAnsi="Arial"/>
          <w:sz w:val="21"/>
          <w:szCs w:val="21"/>
          <w:color w:val="auto"/>
        </w:rPr>
        <w:t>”). You and the Company agree that this Letter represents the full and complete understanding concerning your</w:t>
      </w:r>
      <w:r>
        <w:rPr>
          <w:rFonts w:ascii="Arial" w:cs="Arial" w:eastAsia="Arial" w:hAnsi="Arial"/>
          <w:sz w:val="21"/>
          <w:szCs w:val="21"/>
          <w:b w:val="1"/>
          <w:bCs w:val="1"/>
          <w:color w:val="auto"/>
        </w:rPr>
        <w:t xml:space="preserve"> </w:t>
      </w:r>
      <w:r>
        <w:rPr>
          <w:rFonts w:ascii="Arial" w:cs="Arial" w:eastAsia="Arial" w:hAnsi="Arial"/>
          <w:sz w:val="21"/>
          <w:szCs w:val="21"/>
          <w:color w:val="auto"/>
        </w:rPr>
        <w:t>separation of employment from the Company.</w:t>
      </w:r>
    </w:p>
    <w:p>
      <w:pPr>
        <w:spacing w:after="0" w:line="183" w:lineRule="exact"/>
        <w:rPr>
          <w:sz w:val="20"/>
          <w:szCs w:val="20"/>
          <w:color w:val="auto"/>
        </w:rPr>
      </w:pPr>
    </w:p>
    <w:p>
      <w:pPr>
        <w:ind w:left="1280" w:hanging="638"/>
        <w:spacing w:after="0"/>
        <w:tabs>
          <w:tab w:leader="none" w:pos="128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Separation of Employment and Consulting Period</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jc w:val="both"/>
        <w:ind w:right="100" w:firstLine="1278"/>
        <w:spacing w:after="0" w:line="237" w:lineRule="auto"/>
        <w:tabs>
          <w:tab w:leader="none" w:pos="2117" w:val="left"/>
        </w:tabs>
        <w:numPr>
          <w:ilvl w:val="1"/>
          <w:numId w:val="56"/>
        </w:numPr>
        <w:rPr>
          <w:rFonts w:ascii="Arial" w:cs="Arial" w:eastAsia="Arial" w:hAnsi="Arial"/>
          <w:sz w:val="19"/>
          <w:szCs w:val="19"/>
          <w:color w:val="auto"/>
        </w:rPr>
      </w:pPr>
      <w:r>
        <w:rPr>
          <w:rFonts w:ascii="Arial" w:cs="Arial" w:eastAsia="Arial" w:hAnsi="Arial"/>
          <w:sz w:val="19"/>
          <w:szCs w:val="19"/>
          <w:color w:val="auto"/>
        </w:rPr>
        <w:t>Effective as of the end of October 7, 2022 (the “</w:t>
      </w:r>
      <w:r>
        <w:rPr>
          <w:rFonts w:ascii="Arial" w:cs="Arial" w:eastAsia="Arial" w:hAnsi="Arial"/>
          <w:sz w:val="19"/>
          <w:szCs w:val="19"/>
          <w:b w:val="1"/>
          <w:bCs w:val="1"/>
          <w:color w:val="auto"/>
        </w:rPr>
        <w:t>Separation Date</w:t>
      </w:r>
      <w:r>
        <w:rPr>
          <w:rFonts w:ascii="Arial" w:cs="Arial" w:eastAsia="Arial" w:hAnsi="Arial"/>
          <w:sz w:val="19"/>
          <w:szCs w:val="19"/>
          <w:color w:val="auto"/>
        </w:rPr>
        <w:t>”), you and the Company agree that you ceased to be employed by the Company. By accepting and agreeing to this Letter, you hereby confirm notice of your resignation effective as of the Separation Date, from your roles as Chief Executive Officer of the Company and member of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as well as any and all titles, positions and appointments you hold with the Company or any member of the Company Group, or as a fiduciary with respect to any employee benefit plans or trusts established by the Company Group, whether as an officer, director, trustee, committee member, agent or otherwise, other than in your capacity as a consultant to the Company, as described below. Effective as of the date of this Letter, without the prior approval of the Board in your capacity as a consultant to the Company (as described below), you will have no authority to enter into any commitment or obligation binding upon any member of the Company Group and will not hold yourself out as having such authority to enter into any agreement or incur any obligations on behalf of any member of the Company Group, commit any member of the Company Group in any manner or otherwise act in an executive or other decision- making capacity with respect to any member of the Company Group. You agree to promptly execute such documents as reasonably necessary to effect such resignations. The Company will pay to you, no later than the first payroll date after the date hereof, (i) all accrued base salary (payable in accordance with the ordinary payroll practices of the Company), and (ii) any other amounts or benefits required to be paid or provided to you by applicable law or accrued and vested for your benefit under the benefit plans of the Company through and including the Separation Date.</w:t>
      </w:r>
    </w:p>
    <w:p>
      <w:pPr>
        <w:spacing w:after="0" w:line="193" w:lineRule="exact"/>
        <w:rPr>
          <w:rFonts w:ascii="Arial" w:cs="Arial" w:eastAsia="Arial" w:hAnsi="Arial"/>
          <w:sz w:val="19"/>
          <w:szCs w:val="19"/>
          <w:color w:val="auto"/>
        </w:rPr>
      </w:pPr>
    </w:p>
    <w:p>
      <w:pPr>
        <w:jc w:val="both"/>
        <w:ind w:right="100" w:firstLine="1278"/>
        <w:spacing w:after="0" w:line="228" w:lineRule="auto"/>
        <w:tabs>
          <w:tab w:leader="none" w:pos="2115" w:val="left"/>
        </w:tabs>
        <w:numPr>
          <w:ilvl w:val="1"/>
          <w:numId w:val="56"/>
        </w:numPr>
        <w:rPr>
          <w:rFonts w:ascii="Arial" w:cs="Arial" w:eastAsia="Arial" w:hAnsi="Arial"/>
          <w:sz w:val="20"/>
          <w:szCs w:val="20"/>
          <w:color w:val="auto"/>
        </w:rPr>
      </w:pPr>
      <w:r>
        <w:rPr>
          <w:rFonts w:ascii="Arial" w:cs="Arial" w:eastAsia="Arial" w:hAnsi="Arial"/>
          <w:sz w:val="20"/>
          <w:szCs w:val="20"/>
          <w:color w:val="auto"/>
        </w:rPr>
        <w:t>From the Separation Date through the one-year anniversary of the Separation Date (the “</w:t>
      </w:r>
      <w:r>
        <w:rPr>
          <w:rFonts w:ascii="Arial" w:cs="Arial" w:eastAsia="Arial" w:hAnsi="Arial"/>
          <w:sz w:val="20"/>
          <w:szCs w:val="20"/>
          <w:b w:val="1"/>
          <w:bCs w:val="1"/>
          <w:color w:val="auto"/>
        </w:rPr>
        <w:t>Consulting Period</w:t>
      </w:r>
      <w:r>
        <w:rPr>
          <w:rFonts w:ascii="Arial" w:cs="Arial" w:eastAsia="Arial" w:hAnsi="Arial"/>
          <w:sz w:val="20"/>
          <w:szCs w:val="20"/>
          <w:color w:val="auto"/>
        </w:rPr>
        <w:t>”), you were and will be reasonably available to provide consulting services to the Company in exchange for the Consulting Fee (as defined below). During the Consulting Period, you agree to (i) assist in transitioning your duties and responsibilities with the Company; (ii) continue to assist the Company on business matters of the Company reasonably within your knowledge as reasonably requested; (iii) make business introductions on behalf of the Company as reasonably requested; and (iv) provide advice to the Company on business matters of the Company as reasonably requested. Notwithstanding anything in this Letter to the contrary, the Company may terminate the Consulting Period and the Company’s obligation to pay the</w:t>
      </w:r>
    </w:p>
    <w:p>
      <w:pPr>
        <w:spacing w:after="0" w:line="200" w:lineRule="exact"/>
        <w:rPr>
          <w:sz w:val="20"/>
          <w:szCs w:val="20"/>
          <w:color w:val="auto"/>
        </w:rPr>
      </w:pPr>
    </w:p>
    <w:p>
      <w:pPr>
        <w:spacing w:after="0" w:line="278"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180"/>
          </w:cols>
          <w:pgMar w:left="1380" w:top="580" w:right="339" w:bottom="1440" w:gutter="0" w:footer="0" w:header="0"/>
        </w:sectPr>
      </w:pPr>
    </w:p>
    <w:bookmarkStart w:id="126" w:name="page127"/>
    <w:bookmarkEnd w:id="126"/>
    <w:p>
      <w:pPr>
        <w:jc w:val="both"/>
        <w:spacing w:after="0" w:line="220" w:lineRule="auto"/>
        <w:rPr>
          <w:sz w:val="20"/>
          <w:szCs w:val="20"/>
          <w:color w:val="auto"/>
        </w:rPr>
      </w:pPr>
      <w:r>
        <w:rPr>
          <w:rFonts w:ascii="Arial" w:cs="Arial" w:eastAsia="Arial" w:hAnsi="Arial"/>
          <w:sz w:val="21"/>
          <w:szCs w:val="21"/>
          <w:color w:val="auto"/>
        </w:rPr>
        <w:t>Consulting Fee effective immediately in the event of any breach by you of any of the terms set forth in this Letter. During the Consulting Period, the Company will not disclose or otherwise provide to you any material non-public information concerning any member of the Company Group without your advance written consent (after prior notice to you that any information proposed to be provided may constitute material non-public information). The Company will promptly reimburse you for all out of pocket expenses you incur in connection with providing the consulting services, subject to the prior approval of the Company.</w:t>
      </w:r>
    </w:p>
    <w:p>
      <w:pPr>
        <w:spacing w:after="0" w:line="182" w:lineRule="exact"/>
        <w:rPr>
          <w:sz w:val="20"/>
          <w:szCs w:val="20"/>
          <w:color w:val="auto"/>
        </w:rPr>
      </w:pPr>
    </w:p>
    <w:p>
      <w:pPr>
        <w:jc w:val="both"/>
        <w:ind w:firstLine="1278"/>
        <w:spacing w:after="0"/>
        <w:tabs>
          <w:tab w:leader="none" w:pos="2117" w:val="left"/>
        </w:tabs>
        <w:numPr>
          <w:ilvl w:val="2"/>
          <w:numId w:val="57"/>
        </w:numPr>
        <w:rPr>
          <w:rFonts w:ascii="Arial" w:cs="Arial" w:eastAsia="Arial" w:hAnsi="Arial"/>
          <w:sz w:val="19"/>
          <w:szCs w:val="19"/>
          <w:color w:val="auto"/>
        </w:rPr>
      </w:pPr>
      <w:r>
        <w:rPr>
          <w:rFonts w:ascii="Arial" w:cs="Arial" w:eastAsia="Arial" w:hAnsi="Arial"/>
          <w:sz w:val="19"/>
          <w:szCs w:val="19"/>
          <w:color w:val="auto"/>
        </w:rPr>
        <w:t>For the avoidance of doubt, immediately following the Separation Date, you will not be an employee of the Company. During the Consulting Period, you will have the relationship of an independent contractor to the Company. As an independent contractor, you will have the sole responsibility and obligation to report your net earnings from the Company and otherwise as received as self-employment income on your tax returns and to pay such taxes as are required by law. You and the Company agree that you are an independent contractor and that, as such, the Company will have no right, responsibility or obligation to withhold income or payroll taxes under the United States Insurance Contributions Act or under state unemployment, disability or other laws from amounts due to you from the Company or to pay employer payroll taxes under such laws or to withhold special or general funds, assessments, or taxes generally collected by employers for the use and benefit of employees.</w:t>
      </w:r>
    </w:p>
    <w:p>
      <w:pPr>
        <w:spacing w:after="0" w:line="193" w:lineRule="exact"/>
        <w:rPr>
          <w:rFonts w:ascii="Arial" w:cs="Arial" w:eastAsia="Arial" w:hAnsi="Arial"/>
          <w:sz w:val="19"/>
          <w:szCs w:val="19"/>
          <w:color w:val="auto"/>
        </w:rPr>
      </w:pPr>
    </w:p>
    <w:p>
      <w:pPr>
        <w:jc w:val="both"/>
        <w:ind w:firstLine="641"/>
        <w:spacing w:after="0" w:line="212" w:lineRule="auto"/>
        <w:tabs>
          <w:tab w:leader="none" w:pos="848"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 In exchange for your services during the Consulting Period and your execution and non-revocation of the release set forth in this Letter and compliance with all restrictive covenant obligations you have to the Company Group, including those set forth in this Letter, you are entitled to: (i) your base salary as in effect on the date of this Letter through the end of the Consulting Period ($750,000), payable in accordance with the ordinary payroll practices of the Company but subject to Section 1(c) of this Letter (the “</w:t>
      </w:r>
      <w:r>
        <w:rPr>
          <w:rFonts w:ascii="Arial" w:cs="Arial" w:eastAsia="Arial" w:hAnsi="Arial"/>
          <w:sz w:val="21"/>
          <w:szCs w:val="21"/>
          <w:b w:val="1"/>
          <w:bCs w:val="1"/>
          <w:color w:val="auto"/>
        </w:rPr>
        <w:t>Consulting Fee</w:t>
      </w:r>
      <w:r>
        <w:rPr>
          <w:rFonts w:ascii="Arial" w:cs="Arial" w:eastAsia="Arial" w:hAnsi="Arial"/>
          <w:sz w:val="21"/>
          <w:szCs w:val="21"/>
          <w:color w:val="auto"/>
        </w:rPr>
        <w:t>”); (ii) the vesting, effective as of the first business day following the Separation Date, of the 229,868 restricted stock units (“</w:t>
      </w:r>
      <w:r>
        <w:rPr>
          <w:rFonts w:ascii="Arial" w:cs="Arial" w:eastAsia="Arial" w:hAnsi="Arial"/>
          <w:sz w:val="21"/>
          <w:szCs w:val="21"/>
          <w:b w:val="1"/>
          <w:bCs w:val="1"/>
          <w:color w:val="auto"/>
        </w:rPr>
        <w:t>RSUs</w:t>
      </w:r>
      <w:r>
        <w:rPr>
          <w:rFonts w:ascii="Arial" w:cs="Arial" w:eastAsia="Arial" w:hAnsi="Arial"/>
          <w:sz w:val="21"/>
          <w:szCs w:val="21"/>
          <w:color w:val="auto"/>
        </w:rPr>
        <w:t>”) granted to you pursuant to the Restricted Stock Unit Agreement, dated March 8, 2021 (the “</w:t>
      </w:r>
      <w:r>
        <w:rPr>
          <w:rFonts w:ascii="Arial" w:cs="Arial" w:eastAsia="Arial" w:hAnsi="Arial"/>
          <w:sz w:val="21"/>
          <w:szCs w:val="21"/>
          <w:b w:val="1"/>
          <w:bCs w:val="1"/>
          <w:color w:val="auto"/>
        </w:rPr>
        <w:t>RSU Agreement</w:t>
      </w:r>
      <w:r>
        <w:rPr>
          <w:rFonts w:ascii="Arial" w:cs="Arial" w:eastAsia="Arial" w:hAnsi="Arial"/>
          <w:sz w:val="21"/>
          <w:szCs w:val="21"/>
          <w:color w:val="auto"/>
        </w:rPr>
        <w:t>”), and the Company’s 2021 Equity Incentive Plan (the “</w:t>
      </w:r>
      <w:r>
        <w:rPr>
          <w:rFonts w:ascii="Arial" w:cs="Arial" w:eastAsia="Arial" w:hAnsi="Arial"/>
          <w:sz w:val="21"/>
          <w:szCs w:val="21"/>
          <w:b w:val="1"/>
          <w:bCs w:val="1"/>
          <w:color w:val="auto"/>
        </w:rPr>
        <w:t>Equity Plan</w:t>
      </w:r>
      <w:r>
        <w:rPr>
          <w:rFonts w:ascii="Arial" w:cs="Arial" w:eastAsia="Arial" w:hAnsi="Arial"/>
          <w:sz w:val="21"/>
          <w:szCs w:val="21"/>
          <w:color w:val="auto"/>
        </w:rPr>
        <w:t>”), which RSUs will be settled on such vesting date, with tax withholdings incurred upon such vesting and settlement to be satisfied pursuant to the net settlement provision set forth in clause</w:t>
      </w:r>
    </w:p>
    <w:p>
      <w:pPr>
        <w:spacing w:after="0" w:line="4" w:lineRule="exact"/>
        <w:rPr>
          <w:rFonts w:ascii="Arial" w:cs="Arial" w:eastAsia="Arial" w:hAnsi="Arial"/>
          <w:sz w:val="21"/>
          <w:szCs w:val="21"/>
          <w:color w:val="auto"/>
        </w:rPr>
      </w:pPr>
    </w:p>
    <w:p>
      <w:pPr>
        <w:jc w:val="both"/>
        <w:ind w:firstLine="5"/>
        <w:spacing w:after="0" w:line="224" w:lineRule="auto"/>
        <w:tabs>
          <w:tab w:leader="none" w:pos="307" w:val="left"/>
        </w:tabs>
        <w:numPr>
          <w:ilvl w:val="0"/>
          <w:numId w:val="59"/>
        </w:numPr>
        <w:rPr>
          <w:rFonts w:ascii="Arial" w:cs="Arial" w:eastAsia="Arial" w:hAnsi="Arial"/>
          <w:sz w:val="20"/>
          <w:szCs w:val="20"/>
          <w:color w:val="auto"/>
        </w:rPr>
      </w:pPr>
      <w:r>
        <w:rPr>
          <w:rFonts w:ascii="Arial" w:cs="Arial" w:eastAsia="Arial" w:hAnsi="Arial"/>
          <w:sz w:val="20"/>
          <w:szCs w:val="20"/>
          <w:color w:val="auto"/>
        </w:rPr>
        <w:t>of the second sentence of Section 8.1 of the RSU Agreement; (iii) a grant of 280,000 RSUs with respect to shares of the Company’s Class A common stock (the “</w:t>
      </w:r>
      <w:r>
        <w:rPr>
          <w:rFonts w:ascii="Arial" w:cs="Arial" w:eastAsia="Arial" w:hAnsi="Arial"/>
          <w:sz w:val="20"/>
          <w:szCs w:val="20"/>
          <w:b w:val="1"/>
          <w:bCs w:val="1"/>
          <w:color w:val="auto"/>
        </w:rPr>
        <w:t>New Grant</w:t>
      </w:r>
      <w:r>
        <w:rPr>
          <w:rFonts w:ascii="Arial" w:cs="Arial" w:eastAsia="Arial" w:hAnsi="Arial"/>
          <w:sz w:val="20"/>
          <w:szCs w:val="20"/>
          <w:color w:val="auto"/>
        </w:rPr>
        <w:t>”), granted under the Equity Plan on the first business day of the Consulting Period, which will be vested at grant and settled in 12 equal weekly installments starting the first Friday following the grant date and each Friday thereafter; (iv) Company coverage and payment of your Bloomberg terminal subscription fees during the Consulting Period; and (v) prompt reimbursement of your reasonable, documented attorneys’ fees incurred in connection with your review and negotiation of this Letter and the transactions contemplated by this Letter, not to exceed $7,500. Notwithstanding anything to the contrary in the RSU Agreement, the Equity Plan or any other agreement between you and the Company, you acknowledge and agree that you are solely responsible for the taxes and remittance of taxes related to the New Grant, which is granted to you in your capacity as a consultant to the Company, and the Company will have no obligations to withhold or pay any taxes related thereto. Within 30 days following the Separation Date, the Company will reimburse you for all travel and other business-related expenses incurred by you in the fulfillment of your duties to the Company on or before the Separation Date (upon presentation of written documentation thereof, in accordance with the business expense reimbursement policies and procedures of the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080"/>
          </w:cols>
          <w:pgMar w:left="1380" w:top="1377" w:right="439" w:bottom="1440" w:gutter="0" w:footer="0" w:header="0"/>
        </w:sectPr>
      </w:pPr>
    </w:p>
    <w:bookmarkStart w:id="127" w:name="page128"/>
    <w:bookmarkEnd w:id="127"/>
    <w:p>
      <w:pPr>
        <w:spacing w:after="0" w:line="176" w:lineRule="exact"/>
        <w:rPr>
          <w:sz w:val="20"/>
          <w:szCs w:val="20"/>
          <w:color w:val="auto"/>
        </w:rPr>
      </w:pPr>
    </w:p>
    <w:p>
      <w:pPr>
        <w:jc w:val="both"/>
        <w:spacing w:after="0" w:line="210" w:lineRule="auto"/>
        <w:rPr>
          <w:sz w:val="20"/>
          <w:szCs w:val="20"/>
          <w:color w:val="auto"/>
        </w:rPr>
      </w:pPr>
      <w:r>
        <w:rPr>
          <w:rFonts w:ascii="Arial" w:cs="Arial" w:eastAsia="Arial" w:hAnsi="Arial"/>
          <w:sz w:val="21"/>
          <w:szCs w:val="21"/>
          <w:color w:val="auto"/>
        </w:rPr>
        <w:t>Company). In the event that the Company breaches any of its obligations under this Section 2 and, if such breach is curable, fails to cure such breach within five (5) business days following written notice from you of such breach, (a) your obligations under Section 1(b) and 8(a) of this Agreement shall automatically terminate upon such breach or, if such breach is curable, on the fifth (5</w:t>
      </w:r>
      <w:r>
        <w:rPr>
          <w:rFonts w:ascii="Arial" w:cs="Arial" w:eastAsia="Arial" w:hAnsi="Arial"/>
          <w:sz w:val="27"/>
          <w:szCs w:val="27"/>
          <w:color w:val="auto"/>
          <w:vertAlign w:val="superscript"/>
        </w:rPr>
        <w:t>th</w:t>
      </w:r>
      <w:r>
        <w:rPr>
          <w:rFonts w:ascii="Arial" w:cs="Arial" w:eastAsia="Arial" w:hAnsi="Arial"/>
          <w:sz w:val="21"/>
          <w:szCs w:val="21"/>
          <w:color w:val="auto"/>
        </w:rPr>
        <w:t>) business day after such breach if the breach has not been cured and (b) all amounts due and payable, but not yet paid, under this Section 2, including without limitation subsections 2(i), 2(iii), 2(iv) and 2(v), shall accelerate and be due and payable within three (3) business days after such termination of this Agreement. The compensation provided to you under this Letter is the result of an arm’s length negotiation and reflects the fair market value of the services and other consideration that you will provide during the Consulting Period.</w:t>
      </w:r>
    </w:p>
    <w:p>
      <w:pPr>
        <w:spacing w:after="0" w:line="184" w:lineRule="exact"/>
        <w:rPr>
          <w:sz w:val="20"/>
          <w:szCs w:val="20"/>
          <w:color w:val="auto"/>
        </w:rPr>
      </w:pPr>
    </w:p>
    <w:p>
      <w:pPr>
        <w:jc w:val="both"/>
        <w:ind w:firstLine="642"/>
        <w:spacing w:after="0" w:line="226" w:lineRule="auto"/>
        <w:tabs>
          <w:tab w:leader="none" w:pos="84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xml:space="preserve">. Except as may be reasonably required by you in order to provide consulting services during the Consulting Period (as defined in this Letter), you agree that no later than five days following the Separation Date, you will return any and all property, including all copies or duplicates thereof, belonging to the Company Group, including but not limited to, keys, key cards, security cards, identification badges, Confidential and Proprietary Information, equipment, phone, computer equipment and software, computer disks, thumb drives, supplies, customer or client lists and customer or client information, and all copies thereof and any other Company Group property under your control. Anything to the contrary notwithstanding, you will be entitled to retain (a) personal papers and other materials of a personal nature; </w:t>
      </w:r>
      <w:r>
        <w:rPr>
          <w:rFonts w:ascii="Arial" w:cs="Arial" w:eastAsia="Arial" w:hAnsi="Arial"/>
          <w:sz w:val="20"/>
          <w:szCs w:val="20"/>
          <w:u w:val="single" w:color="auto"/>
          <w:color w:val="auto"/>
        </w:rPr>
        <w:t>provided</w:t>
      </w:r>
      <w:r>
        <w:rPr>
          <w:rFonts w:ascii="Arial" w:cs="Arial" w:eastAsia="Arial" w:hAnsi="Arial"/>
          <w:sz w:val="20"/>
          <w:szCs w:val="20"/>
          <w:color w:val="auto"/>
        </w:rPr>
        <w:t>, that such papers or materials do not include Confidential and Proprietary Information, (b) information showing your compensation or relating to reimbursement of expenses, and (c) copies of notices and agreements relating to your employment, or termination thereof, with the Company that you received in your capacity as a party to such notices or agreements</w:t>
      </w:r>
    </w:p>
    <w:p>
      <w:pPr>
        <w:spacing w:after="0" w:line="201" w:lineRule="exact"/>
        <w:rPr>
          <w:rFonts w:ascii="Arial" w:cs="Arial" w:eastAsia="Arial" w:hAnsi="Arial"/>
          <w:sz w:val="20"/>
          <w:szCs w:val="20"/>
          <w:color w:val="auto"/>
        </w:rPr>
      </w:pPr>
    </w:p>
    <w:p>
      <w:pPr>
        <w:jc w:val="both"/>
        <w:ind w:firstLine="642"/>
        <w:spacing w:after="0" w:line="220" w:lineRule="auto"/>
        <w:tabs>
          <w:tab w:leader="none" w:pos="848"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You will cooperate in all reasonable respects with the Company and its directors, officers, attorneys and experts in connection with matters arising out of your service to the Company, including the transition of your duties and responsibilities to any successor and in connection with any action, proceeding, investigation or litigation involving the Company, including any such action, proceeding, investigation or litigation in which you are called to testify. The Company will reimburse you for reasonable expenses incurred in connection with such cooperation.</w:t>
      </w:r>
    </w:p>
    <w:p>
      <w:pPr>
        <w:spacing w:after="0" w:line="195" w:lineRule="exact"/>
        <w:rPr>
          <w:rFonts w:ascii="Arial" w:cs="Arial" w:eastAsia="Arial" w:hAnsi="Arial"/>
          <w:sz w:val="21"/>
          <w:szCs w:val="21"/>
          <w:color w:val="auto"/>
        </w:rPr>
      </w:pPr>
    </w:p>
    <w:p>
      <w:pPr>
        <w:jc w:val="both"/>
        <w:ind w:firstLine="642"/>
        <w:spacing w:after="0" w:line="219" w:lineRule="auto"/>
        <w:tabs>
          <w:tab w:leader="none" w:pos="848"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You agree that from the date hereof, you will not make any negative comments or otherwise disparage any member of the Company Group or any member’s officers, boards or individual directors, employees, shareholders or agents. The Company agrees that it will direct its executive officers and members of the Board to not make any negative comments or otherwise disparage you. The preceding sentences will not be violated by truthful statements in response to legal process, required governmental testimony or filings, or administrative or arbitral proceedings (including, without limitation, depositions in connection with such proceedings) nor will it bar any comments that cannot be barred by law.</w:t>
      </w:r>
    </w:p>
    <w:p>
      <w:pPr>
        <w:spacing w:after="0" w:line="180" w:lineRule="exact"/>
        <w:rPr>
          <w:rFonts w:ascii="Arial" w:cs="Arial" w:eastAsia="Arial" w:hAnsi="Arial"/>
          <w:sz w:val="21"/>
          <w:szCs w:val="21"/>
          <w:color w:val="auto"/>
        </w:rPr>
      </w:pPr>
    </w:p>
    <w:p>
      <w:pPr>
        <w:ind w:left="1280" w:hanging="638"/>
        <w:spacing w:after="0"/>
        <w:tabs>
          <w:tab w:leader="none" w:pos="128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jc w:val="both"/>
        <w:ind w:firstLine="1278"/>
        <w:spacing w:after="0" w:line="230" w:lineRule="auto"/>
        <w:tabs>
          <w:tab w:leader="none" w:pos="2117" w:val="left"/>
        </w:tabs>
        <w:numPr>
          <w:ilvl w:val="1"/>
          <w:numId w:val="60"/>
        </w:numPr>
        <w:rPr>
          <w:rFonts w:ascii="Arial" w:cs="Arial" w:eastAsia="Arial" w:hAnsi="Arial"/>
          <w:sz w:val="21"/>
          <w:szCs w:val="21"/>
          <w:color w:val="auto"/>
        </w:rPr>
      </w:pPr>
      <w:r>
        <w:rPr>
          <w:rFonts w:ascii="Arial" w:cs="Arial" w:eastAsia="Arial" w:hAnsi="Arial"/>
          <w:sz w:val="21"/>
          <w:szCs w:val="21"/>
          <w:color w:val="auto"/>
        </w:rPr>
        <w:t>You hereby represent, warrant and agree that: (a) during the course of your employment, you were provided or have had access to Confidential and Proprietary Information and during the Consulting Period you may be provided or have access to Confidential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080"/>
          </w:cols>
          <w:pgMar w:left="1380" w:top="1440" w:right="439" w:bottom="1440" w:gutter="0" w:footer="0" w:header="0"/>
        </w:sectPr>
      </w:pPr>
    </w:p>
    <w:bookmarkStart w:id="128" w:name="page129"/>
    <w:bookmarkEnd w:id="128"/>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Proprietary Information (as defined below); (b) you have not removed (except for use in the Company’s business), nor will you at any time (including after the Separation Date) remove from any Company Group facility any Confidential and Proprietary Information or documents, materials, or copies thereof containing any Confidential and Proprietary Information (including electronic data in any form, except for use in the Company’s business during the Consulting Period); and (c) you will retain in strict confidence and will not use for any purpose whatsoever or divulge, disseminate, copy, disclose to any third party, or otherwise use any Confidential and Proprietary Information (except for use in the Company’s business during the Consulting Period) (and in each case subject to Section 3 of this Letter). You further understand and agree that all Confidential and Proprietary Information has been divulged or made available to you in confidence and that it would be damaging to the Company if any such Confidential and Proprietary Information were disclosed to any competitor of the Company Group or any third party or person. As used in this Letter, “</w:t>
      </w:r>
      <w:r>
        <w:rPr>
          <w:rFonts w:ascii="Arial" w:cs="Arial" w:eastAsia="Arial" w:hAnsi="Arial"/>
          <w:sz w:val="19"/>
          <w:szCs w:val="19"/>
          <w:b w:val="1"/>
          <w:bCs w:val="1"/>
          <w:color w:val="auto"/>
        </w:rPr>
        <w:t>Confidential and Proprietary Information</w:t>
      </w:r>
      <w:r>
        <w:rPr>
          <w:rFonts w:ascii="Arial" w:cs="Arial" w:eastAsia="Arial" w:hAnsi="Arial"/>
          <w:sz w:val="19"/>
          <w:szCs w:val="19"/>
          <w:color w:val="auto"/>
        </w:rPr>
        <w:t>” means any non-public information of a confidential or proprietary nature of the Company Group and its equityholders, including: (i) information of a commercially sensitive, proprietary or personal nature; (ii) information and documents that have been designated or treated as confidential;</w:t>
      </w:r>
    </w:p>
    <w:p>
      <w:pPr>
        <w:spacing w:after="0" w:line="5" w:lineRule="exact"/>
        <w:rPr>
          <w:sz w:val="20"/>
          <w:szCs w:val="20"/>
          <w:color w:val="auto"/>
        </w:rPr>
      </w:pPr>
    </w:p>
    <w:p>
      <w:pPr>
        <w:jc w:val="both"/>
        <w:ind w:firstLine="5"/>
        <w:spacing w:after="0" w:line="236" w:lineRule="auto"/>
        <w:tabs>
          <w:tab w:leader="none" w:pos="371" w:val="left"/>
        </w:tabs>
        <w:numPr>
          <w:ilvl w:val="0"/>
          <w:numId w:val="61"/>
        </w:numPr>
        <w:rPr>
          <w:rFonts w:ascii="Arial" w:cs="Arial" w:eastAsia="Arial" w:hAnsi="Arial"/>
          <w:sz w:val="19"/>
          <w:szCs w:val="19"/>
          <w:color w:val="auto"/>
        </w:rPr>
      </w:pPr>
      <w:r>
        <w:rPr>
          <w:rFonts w:ascii="Arial" w:cs="Arial" w:eastAsia="Arial" w:hAnsi="Arial"/>
          <w:sz w:val="19"/>
          <w:szCs w:val="19"/>
          <w:color w:val="auto"/>
        </w:rPr>
        <w:t>financial data, customer, vendor or shareholder lists or data, advertising, business, sales or marketing plans, tactics and strategies, projects, technical or strategic information about any of the Company Group’s businesses, plans or strategies to market or distribute the services or products of such businesses, plans, tactics, or strategies for third-party negotiations, including planned or actual collective bargaining negotiations; economic or commercially sensitive information, policies, practices, procedures or techniques, trade secrets and other intellectual property, merchandising, advertising, marketing or sales strategies or plans, litigation theories or strategies, terms of agreements with third parties and third party trade secrets, information about any of the Company Group’s (to the extent applicable) employees, agents, compensation (including bonuses, incentives and commissions), or other human resources policies, plans and procedures, or any other non- public material or information relating to any of the Company Group; and (iv) any information (personal, proprietary or otherwise) you learned about any officer, director or member of management of the Company Group, during your employment with or service to, including consulting service, the Company. Information publicly available or generally known within the industry in which any member of the Company Group competes (other than information that has become publicly available as a result of a breach of this Letter) is not considered Confidential and Proprietary Information.</w:t>
      </w:r>
    </w:p>
    <w:p>
      <w:pPr>
        <w:spacing w:after="0" w:line="180" w:lineRule="exact"/>
        <w:rPr>
          <w:rFonts w:ascii="Arial" w:cs="Arial" w:eastAsia="Arial" w:hAnsi="Arial"/>
          <w:sz w:val="19"/>
          <w:szCs w:val="19"/>
          <w:color w:val="auto"/>
        </w:rPr>
      </w:pPr>
    </w:p>
    <w:p>
      <w:pPr>
        <w:jc w:val="both"/>
        <w:ind w:firstLine="1277"/>
        <w:spacing w:after="0" w:line="215" w:lineRule="auto"/>
        <w:tabs>
          <w:tab w:leader="none" w:pos="2115" w:val="left"/>
        </w:tabs>
        <w:numPr>
          <w:ilvl w:val="1"/>
          <w:numId w:val="61"/>
        </w:numPr>
        <w:rPr>
          <w:rFonts w:ascii="Arial" w:cs="Arial" w:eastAsia="Arial" w:hAnsi="Arial"/>
          <w:sz w:val="21"/>
          <w:szCs w:val="21"/>
          <w:color w:val="auto"/>
        </w:rPr>
      </w:pPr>
      <w:r>
        <w:rPr>
          <w:rFonts w:ascii="Arial" w:cs="Arial" w:eastAsia="Arial" w:hAnsi="Arial"/>
          <w:sz w:val="21"/>
          <w:szCs w:val="21"/>
          <w:color w:val="auto"/>
        </w:rPr>
        <w:t xml:space="preserve">Notwithstanding the foregoing in Section 6(a), Confidential and Proprietary Information of the Company may be disclosed (i) where required by law or order of a court of competent jurisdiction or (ii) where you have the legally protected right to disclose to any federal, state or local government agency under any whistleblower or similar statute;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 and (ii), to the extent reasonably practicable, you give to the Company reasonable prior written notice of such disclosure and afford the Company, to the extent reasonably practicable and legally permissible, the opportunity for the Company to obtain protective or similar orders, where available. In the event that such protective order or other remedy is not obtained, or if the Company waives compliance with the terms hereof, you will disclose only that portion of the Confidential and Proprietary Information which, based on the advice of your legal counsel, is legally required to be disclosed and will exercise reasonable efforts to provide that the receiving person will agree to treat such Confidential and Proprietary Information as confidential to the extent possible (and permitted under applicable law) in respect of the applicable proceeding or process, and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080"/>
          </w:cols>
          <w:pgMar w:left="1380" w:top="1440" w:right="439" w:bottom="1440" w:gutter="0" w:footer="0" w:header="0"/>
        </w:sectPr>
      </w:pPr>
    </w:p>
    <w:bookmarkStart w:id="129" w:name="page130"/>
    <w:bookmarkEnd w:id="129"/>
    <w:p>
      <w:pPr>
        <w:spacing w:after="0" w:line="176"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Company will be given an opportunity to review the Confidential and Proprietary Information prior to disclosure thereof. No provisions in this Letter are intended to prohibit you from cooperating with or reporting violations to, the Securities and Exchange Commission or any other such governmental entity, and you may do so without disclosure to the Company.</w:t>
      </w:r>
    </w:p>
    <w:p>
      <w:pPr>
        <w:spacing w:after="0" w:line="181" w:lineRule="exact"/>
        <w:rPr>
          <w:sz w:val="20"/>
          <w:szCs w:val="20"/>
          <w:color w:val="auto"/>
        </w:rPr>
      </w:pPr>
    </w:p>
    <w:p>
      <w:pPr>
        <w:jc w:val="both"/>
        <w:ind w:firstLine="641"/>
        <w:spacing w:after="0" w:line="230" w:lineRule="auto"/>
        <w:tabs>
          <w:tab w:leader="none" w:pos="848"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 You agree that the Company is the owner of all rights, title and interest in and to all documents, tapes, videos, designs, plans, formulas, models, processes, computer programs, inventions (whether patentable or not), schematics, music, lyrics and other technical, business, financial, advertising, sales, marketing, customer or product development plans, forecasts, strategies, information and materials (in any media whatsoever) developed or prepared by you or with your input during the course of your employment or other service with the Company (the “</w:t>
      </w:r>
      <w:r>
        <w:rPr>
          <w:rFonts w:ascii="Arial" w:cs="Arial" w:eastAsia="Arial" w:hAnsi="Arial"/>
          <w:sz w:val="20"/>
          <w:szCs w:val="20"/>
          <w:b w:val="1"/>
          <w:bCs w:val="1"/>
          <w:color w:val="auto"/>
        </w:rPr>
        <w:t>Materials</w:t>
      </w:r>
      <w:r>
        <w:rPr>
          <w:rFonts w:ascii="Arial" w:cs="Arial" w:eastAsia="Arial" w:hAnsi="Arial"/>
          <w:sz w:val="20"/>
          <w:szCs w:val="20"/>
          <w:color w:val="auto"/>
        </w:rPr>
        <w:t>”). The Company will have the sole and exclusive authority to use the Materials in any manner that it deems appropriate, in perpetuity, without payment to you.</w:t>
      </w:r>
    </w:p>
    <w:p>
      <w:pPr>
        <w:spacing w:after="0" w:line="192" w:lineRule="exact"/>
        <w:rPr>
          <w:rFonts w:ascii="Arial" w:cs="Arial" w:eastAsia="Arial" w:hAnsi="Arial"/>
          <w:sz w:val="20"/>
          <w:szCs w:val="20"/>
          <w:color w:val="auto"/>
        </w:rPr>
      </w:pPr>
    </w:p>
    <w:p>
      <w:pPr>
        <w:ind w:left="1280" w:hanging="638"/>
        <w:spacing w:after="0"/>
        <w:tabs>
          <w:tab w:leader="none" w:pos="128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Non-Competition and Non-Solicitation</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firstLine="1278"/>
        <w:spacing w:after="0" w:line="239" w:lineRule="auto"/>
        <w:tabs>
          <w:tab w:leader="none" w:pos="2117"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In consideration of the Consulting Fee, you agree that during the Consulting Period, you will not, without the prior written consent of the Company, directly or indirectly, and whether as principal or investor or as an employee, officer, director, manager, partner, consultant, agent or otherwise, alone or in association with any other person, firm, corporation or other business organization, provide any labor, work, services or assistance to a business (other than an affiliate of Atlas Holdings LLC) competitive with the Company Group, including a business engaged in or exploring the business of cryptocurrency mining or electrical power generation, in the United States and any other geographic area in which the Company Group has engaged in business, or is reasonably expected to engage in business during such Consulting Period (including, without limitation, any area in which any customer of the Company Group may be located);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limits your right to own not more than 1% of any of the debt or equity securities of any business organization.</w:t>
      </w:r>
    </w:p>
    <w:p>
      <w:pPr>
        <w:spacing w:after="0" w:line="195" w:lineRule="exact"/>
        <w:rPr>
          <w:rFonts w:ascii="Arial" w:cs="Arial" w:eastAsia="Arial" w:hAnsi="Arial"/>
          <w:sz w:val="19"/>
          <w:szCs w:val="19"/>
          <w:color w:val="auto"/>
        </w:rPr>
      </w:pPr>
    </w:p>
    <w:p>
      <w:pPr>
        <w:jc w:val="both"/>
        <w:ind w:firstLine="1277"/>
        <w:spacing w:after="0" w:line="225" w:lineRule="auto"/>
        <w:tabs>
          <w:tab w:leader="none" w:pos="2115" w:val="left"/>
        </w:tabs>
        <w:numPr>
          <w:ilvl w:val="1"/>
          <w:numId w:val="62"/>
        </w:numPr>
        <w:rPr>
          <w:rFonts w:ascii="Arial" w:cs="Arial" w:eastAsia="Arial" w:hAnsi="Arial"/>
          <w:sz w:val="20"/>
          <w:szCs w:val="20"/>
          <w:color w:val="auto"/>
        </w:rPr>
      </w:pPr>
      <w:r>
        <w:rPr>
          <w:rFonts w:ascii="Arial" w:cs="Arial" w:eastAsia="Arial" w:hAnsi="Arial"/>
          <w:sz w:val="20"/>
          <w:szCs w:val="20"/>
          <w:color w:val="auto"/>
        </w:rPr>
        <w:t>In consideration of the Consulting Fee, you agree that, during the Consulting Period, you will not, directly or indirectly: (a) solicit or induce, or attempt to solicit or induce, or assist any third party to solicit or induce, directly or indirectly, any employee of the Company Group to leave the employ of the Company Group; (b) hire any current or former employee of the Company Group or assist in the hiring of any such employee by any person, association or entity not affiliated with the Company Group; or (c) induce, solicit or encourage any customer or potential customer of the Company Group to cease doing business with the Company Group (or decrease the amount of business it does with the Company Group) or do business with you (unless for the benefit of a member of the Company Group) or any business competitive with the Company Group. For purposes of this Letter, a “</w:t>
      </w:r>
      <w:r>
        <w:rPr>
          <w:rFonts w:ascii="Arial" w:cs="Arial" w:eastAsia="Arial" w:hAnsi="Arial"/>
          <w:sz w:val="20"/>
          <w:szCs w:val="20"/>
          <w:b w:val="1"/>
          <w:bCs w:val="1"/>
          <w:color w:val="auto"/>
        </w:rPr>
        <w:t>potential</w:t>
      </w:r>
      <w:r>
        <w:rPr>
          <w:rFonts w:ascii="Arial" w:cs="Arial" w:eastAsia="Arial" w:hAnsi="Arial"/>
          <w:sz w:val="20"/>
          <w:szCs w:val="20"/>
          <w:color w:val="auto"/>
        </w:rPr>
        <w:t xml:space="preserve"> </w:t>
      </w:r>
      <w:r>
        <w:rPr>
          <w:rFonts w:ascii="Arial" w:cs="Arial" w:eastAsia="Arial" w:hAnsi="Arial"/>
          <w:sz w:val="20"/>
          <w:szCs w:val="20"/>
          <w:b w:val="1"/>
          <w:bCs w:val="1"/>
          <w:color w:val="auto"/>
        </w:rPr>
        <w:t>customer or client</w:t>
      </w:r>
      <w:r>
        <w:rPr>
          <w:rFonts w:ascii="Arial" w:cs="Arial" w:eastAsia="Arial" w:hAnsi="Arial"/>
          <w:sz w:val="20"/>
          <w:szCs w:val="20"/>
          <w:color w:val="auto"/>
        </w:rPr>
        <w:t>” is any person or entity with whom any member of the Company Group is, at the Separation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or was, during the one-year period immediately preceding the Separation Date, engaged in discussions regarding one or more possible transactions with the Company Group. You will not be prohibited from advertising to the general public any employment opportunities or requests for consultancy services (which advertisements are not targeted at employees or independent contractors of the Company Group).</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080"/>
          </w:cols>
          <w:pgMar w:left="1380" w:top="1440" w:right="439" w:bottom="1440" w:gutter="0" w:footer="0" w:header="0"/>
        </w:sectPr>
      </w:pPr>
    </w:p>
    <w:bookmarkStart w:id="130" w:name="page131"/>
    <w:bookmarkEnd w:id="130"/>
    <w:p>
      <w:pPr>
        <w:spacing w:after="0" w:line="176" w:lineRule="exact"/>
        <w:rPr>
          <w:sz w:val="20"/>
          <w:szCs w:val="20"/>
          <w:color w:val="auto"/>
        </w:rPr>
      </w:pPr>
    </w:p>
    <w:p>
      <w:pPr>
        <w:jc w:val="both"/>
        <w:ind w:left="-60" w:firstLine="1277"/>
        <w:spacing w:after="0" w:line="247" w:lineRule="auto"/>
        <w:tabs>
          <w:tab w:leader="none" w:pos="2057" w:val="left"/>
        </w:tabs>
        <w:numPr>
          <w:ilvl w:val="1"/>
          <w:numId w:val="63"/>
        </w:numPr>
        <w:rPr>
          <w:rFonts w:ascii="Arial" w:cs="Arial" w:eastAsia="Arial" w:hAnsi="Arial"/>
          <w:sz w:val="19"/>
          <w:szCs w:val="19"/>
          <w:color w:val="auto"/>
        </w:rPr>
      </w:pPr>
      <w:r>
        <w:rPr>
          <w:rFonts w:ascii="Arial" w:cs="Arial" w:eastAsia="Arial" w:hAnsi="Arial"/>
          <w:sz w:val="19"/>
          <w:szCs w:val="19"/>
          <w:color w:val="auto"/>
        </w:rPr>
        <w:t>You agree that you and the Company have attempted to limit your right to solicit and compete as applicable only to the extent permitted by applicable law and necessary to protect the legitimate business interests of the Company. If a court of competent jurisdiction determines that the duration and geographic scope of restrictions in this Section 8 are too long in duration or too broad in scope to be reasonable and enforceable, the court will reduce the duration or geographic scope only so much as is necessary for the restrictions to be enforceable.</w:t>
      </w:r>
    </w:p>
    <w:p>
      <w:pPr>
        <w:spacing w:after="0" w:line="168" w:lineRule="exact"/>
        <w:rPr>
          <w:rFonts w:ascii="Arial" w:cs="Arial" w:eastAsia="Arial" w:hAnsi="Arial"/>
          <w:sz w:val="19"/>
          <w:szCs w:val="19"/>
          <w:color w:val="auto"/>
        </w:rPr>
      </w:pPr>
    </w:p>
    <w:p>
      <w:pPr>
        <w:jc w:val="both"/>
        <w:ind w:left="-60" w:firstLine="642"/>
        <w:spacing w:after="0" w:line="226" w:lineRule="auto"/>
        <w:tabs>
          <w:tab w:leader="none" w:pos="788" w:val="left"/>
        </w:tabs>
        <w:numPr>
          <w:ilvl w:val="0"/>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General Release of Claims</w:t>
      </w:r>
      <w:r>
        <w:rPr>
          <w:rFonts w:ascii="Arial" w:cs="Arial" w:eastAsia="Arial" w:hAnsi="Arial"/>
          <w:sz w:val="21"/>
          <w:szCs w:val="21"/>
          <w:color w:val="auto"/>
        </w:rPr>
        <w:t>. In consideration for receiving the benefits set forth in Section 2 of this Letter,</w:t>
      </w:r>
      <w:r>
        <w:rPr>
          <w:rFonts w:ascii="Arial" w:cs="Arial" w:eastAsia="Arial" w:hAnsi="Arial"/>
          <w:sz w:val="21"/>
          <w:szCs w:val="21"/>
          <w:b w:val="1"/>
          <w:bCs w:val="1"/>
          <w:color w:val="auto"/>
        </w:rPr>
        <w:t xml:space="preserve"> </w:t>
      </w:r>
      <w:r>
        <w:rPr>
          <w:rFonts w:ascii="Arial" w:cs="Arial" w:eastAsia="Arial" w:hAnsi="Arial"/>
          <w:sz w:val="21"/>
          <w:szCs w:val="21"/>
          <w:color w:val="auto"/>
        </w:rPr>
        <w:t>which you agree are valuable and sufficient consideration to which you would not otherwise be entitled, and, having had the opportunity to consult with counsel of your choice, you agree to the general release of claims set forth in this Section 9.</w:t>
      </w:r>
    </w:p>
    <w:p>
      <w:pPr>
        <w:spacing w:after="0" w:line="196" w:lineRule="exact"/>
        <w:rPr>
          <w:rFonts w:ascii="Arial" w:cs="Arial" w:eastAsia="Arial" w:hAnsi="Arial"/>
          <w:sz w:val="21"/>
          <w:szCs w:val="21"/>
          <w:color w:val="auto"/>
        </w:rPr>
      </w:pPr>
    </w:p>
    <w:p>
      <w:pPr>
        <w:jc w:val="both"/>
        <w:ind w:left="-60" w:firstLine="1277"/>
        <w:spacing w:after="0" w:line="223" w:lineRule="auto"/>
        <w:tabs>
          <w:tab w:leader="none" w:pos="2057" w:val="left"/>
        </w:tabs>
        <w:numPr>
          <w:ilvl w:val="1"/>
          <w:numId w:val="64"/>
        </w:numPr>
        <w:rPr>
          <w:rFonts w:ascii="Arial" w:cs="Arial" w:eastAsia="Arial" w:hAnsi="Arial"/>
          <w:sz w:val="20"/>
          <w:szCs w:val="20"/>
          <w:color w:val="auto"/>
        </w:rPr>
      </w:pPr>
      <w:r>
        <w:rPr>
          <w:rFonts w:ascii="Arial" w:cs="Arial" w:eastAsia="Arial" w:hAnsi="Arial"/>
          <w:sz w:val="20"/>
          <w:szCs w:val="20"/>
          <w:color w:val="auto"/>
        </w:rPr>
        <w:t>You and each of your respective heirs, executors, administrators, representatives, agents, successors and assigns (collectively, the “</w:t>
      </w:r>
      <w:r>
        <w:rPr>
          <w:rFonts w:ascii="Arial" w:cs="Arial" w:eastAsia="Arial" w:hAnsi="Arial"/>
          <w:sz w:val="20"/>
          <w:szCs w:val="20"/>
          <w:b w:val="1"/>
          <w:bCs w:val="1"/>
          <w:color w:val="auto"/>
        </w:rPr>
        <w:t>Releasors</w:t>
      </w:r>
      <w:r>
        <w:rPr>
          <w:rFonts w:ascii="Arial" w:cs="Arial" w:eastAsia="Arial" w:hAnsi="Arial"/>
          <w:sz w:val="20"/>
          <w:szCs w:val="20"/>
          <w:color w:val="auto"/>
        </w:rPr>
        <w:t>”) hereby irrevocably and unconditionally waive, release and forever discharge the Company and all members of the Company Group and its and their subsidiaries, predecessors, affiliated companies as well as any of their current and former directors, officers, agents, shareholders, employees, trustees and partners, in their corporate and individual capacities (the “</w:t>
      </w:r>
      <w:r>
        <w:rPr>
          <w:rFonts w:ascii="Arial" w:cs="Arial" w:eastAsia="Arial" w:hAnsi="Arial"/>
          <w:sz w:val="20"/>
          <w:szCs w:val="20"/>
          <w:b w:val="1"/>
          <w:bCs w:val="1"/>
          <w:color w:val="auto"/>
        </w:rPr>
        <w:t>Releasees</w:t>
      </w:r>
      <w:r>
        <w:rPr>
          <w:rFonts w:ascii="Arial" w:cs="Arial" w:eastAsia="Arial" w:hAnsi="Arial"/>
          <w:sz w:val="20"/>
          <w:szCs w:val="20"/>
          <w:color w:val="auto"/>
        </w:rPr>
        <w:t>”) from any and all claims, demands, actions, causes of action, rights, judgments, obligations, damages, demands, accountings or liabilities of whatever kind or character, whether known or unknown, suspected or unsuspected, that the Releasors may have, or in the future may possess, arising from (i) your employment relationship with and service as an employee or service provider of the Company, and the termination of such employment relationship or service and (ii) any event, condition, circumstance, conduct, occurrence, omission, transaction or obligation that occurred, existed or arose on or prior to the date hereof (“</w:t>
      </w:r>
      <w:r>
        <w:rPr>
          <w:rFonts w:ascii="Arial" w:cs="Arial" w:eastAsia="Arial" w:hAnsi="Arial"/>
          <w:sz w:val="20"/>
          <w:szCs w:val="20"/>
          <w:b w:val="1"/>
          <w:bCs w:val="1"/>
          <w:color w:val="auto"/>
        </w:rPr>
        <w:t>Claims</w:t>
      </w:r>
      <w:r>
        <w:rPr>
          <w:rFonts w:ascii="Arial" w:cs="Arial" w:eastAsia="Arial" w:hAnsi="Arial"/>
          <w:sz w:val="20"/>
          <w:szCs w:val="20"/>
          <w:color w:val="auto"/>
        </w:rPr>
        <w:t>”) including, without limitation, (1) any Claims under Title VII of the Civil Rights Act of 1964, the Civil Rights Act of 1991, the Americans With Disabilities Act, the Family and Medical Leave Act of 1993, the Employee Retirement Income Security Act of 1974, the Sarbanes-Oxley Act of 2002, the New York Labor Law, including the New York State Human Rights Law, the New York Retaliatory Action by Employers Law, Article 6 of the New York Labor Law, the New York Nondiscrimination for Legal Actions Law, Article 4 of the New York Civil Rights Law, Age Discrimination in Employment Act as amended by the Older Workers Benefit Protection Act of 1990 (“</w:t>
      </w:r>
      <w:r>
        <w:rPr>
          <w:rFonts w:ascii="Arial" w:cs="Arial" w:eastAsia="Arial" w:hAnsi="Arial"/>
          <w:sz w:val="20"/>
          <w:szCs w:val="20"/>
          <w:b w:val="1"/>
          <w:bCs w:val="1"/>
          <w:color w:val="auto"/>
        </w:rPr>
        <w:t>ADEA</w:t>
      </w:r>
      <w:r>
        <w:rPr>
          <w:rFonts w:ascii="Arial" w:cs="Arial" w:eastAsia="Arial" w:hAnsi="Arial"/>
          <w:sz w:val="20"/>
          <w:szCs w:val="20"/>
          <w:color w:val="auto"/>
        </w:rPr>
        <w:t>”), each as amended, and any other federal, state, local or foreign law (statutory, regulatory or otherwise) that may be legally waived and released, (2) any and all Claims for compensation of any type whatsoever, including but not limited to claims for salary, wages, bonuses, commissions, incentive compensation, equity compensation, vacation and/or severance and (3) any tort or contract Claims, including, without limitation, wrongful or retaliatory discharge, breach of contract, defamation, slander, libel, emotional distress, tortious conduct, invasion of privacy, interference with contract, violation of public policy, implied covenant of good faith and fair dealing, negligence, fraud, personal injury or sickness or any other harm. The Releasors do not hereby release, discharge or waive (i) any right Releasors may have to enforce this Letter (ii) any Claims which cannot be waived by law, (iii) any rights to vested benefits under the Company’s ERISA retirement and welfare benefit plans or (iv) any rights to indemnification as a director, officer, fiduciary or otherwise in connection with your service for the Company Group, whether pursuant to any contract, insurance policy, organizational documents, applicable law or otherwise, including, without limitation, pursuant to the Indemnification Agreement, effective as of September 14, 2021, by and between the Company and you.</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020"/>
          </w:cols>
          <w:pgMar w:left="1440" w:top="1440" w:right="439" w:bottom="1440" w:gutter="0" w:footer="0" w:header="0"/>
        </w:sectPr>
      </w:pPr>
    </w:p>
    <w:bookmarkStart w:id="131" w:name="page132"/>
    <w:bookmarkEnd w:id="131"/>
    <w:p>
      <w:pPr>
        <w:spacing w:after="0" w:line="176" w:lineRule="exact"/>
        <w:rPr>
          <w:sz w:val="20"/>
          <w:szCs w:val="20"/>
          <w:color w:val="auto"/>
        </w:rPr>
      </w:pPr>
    </w:p>
    <w:p>
      <w:pPr>
        <w:jc w:val="both"/>
        <w:ind w:left="-6" w:firstLine="1277"/>
        <w:spacing w:after="0" w:line="222" w:lineRule="auto"/>
        <w:tabs>
          <w:tab w:leader="none" w:pos="2109" w:val="left"/>
        </w:tabs>
        <w:numPr>
          <w:ilvl w:val="2"/>
          <w:numId w:val="65"/>
        </w:numPr>
        <w:rPr>
          <w:rFonts w:ascii="Arial" w:cs="Arial" w:eastAsia="Arial" w:hAnsi="Arial"/>
          <w:sz w:val="20"/>
          <w:szCs w:val="20"/>
          <w:color w:val="auto"/>
        </w:rPr>
      </w:pPr>
      <w:r>
        <w:rPr>
          <w:rFonts w:ascii="Arial" w:cs="Arial" w:eastAsia="Arial" w:hAnsi="Arial"/>
          <w:sz w:val="20"/>
          <w:szCs w:val="20"/>
          <w:color w:val="auto"/>
        </w:rPr>
        <w:t>You have not filed and, except as provided in the following sentence of this Section 9(b), you hereby agree not to initiate or cause to be initiated on your behalf, any complaint, claim or proceeding against the Releasees relating to your employment or termination of employment (each, individually, a “</w:t>
      </w:r>
      <w:r>
        <w:rPr>
          <w:rFonts w:ascii="Arial" w:cs="Arial" w:eastAsia="Arial" w:hAnsi="Arial"/>
          <w:sz w:val="20"/>
          <w:szCs w:val="20"/>
          <w:b w:val="1"/>
          <w:bCs w:val="1"/>
          <w:color w:val="auto"/>
        </w:rPr>
        <w:t>Proceeding</w:t>
      </w:r>
      <w:r>
        <w:rPr>
          <w:rFonts w:ascii="Arial" w:cs="Arial" w:eastAsia="Arial" w:hAnsi="Arial"/>
          <w:sz w:val="20"/>
          <w:szCs w:val="20"/>
          <w:color w:val="auto"/>
        </w:rPr>
        <w:t>”), and agree not to participate voluntarily in any Proceeding. You hereby waive any right you may have to benefit in any manner from any relief (whether monetary or otherwise) arising out of any Proceeding. This Section 9(b) will not preclude you from filing a charge with or participating in any administrative investigation or proceeding by the Equal Employment Opportunity Commission or any other government entity. You are, however, waiving your right to recover money in connection with any such charge or investigation. You are also waiving your right to recover money in connection with a charge filed by any other entity or individual, or by any federal, state or local agency. Furthermore, notwithstanding anything herein to the contrary, nothing in this Letter or any other agreement with the Company, will (A) prohibit you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w:t>
      </w:r>
    </w:p>
    <w:p>
      <w:pPr>
        <w:spacing w:after="0" w:line="7" w:lineRule="exact"/>
        <w:rPr>
          <w:rFonts w:ascii="Arial" w:cs="Arial" w:eastAsia="Arial" w:hAnsi="Arial"/>
          <w:sz w:val="20"/>
          <w:szCs w:val="20"/>
          <w:color w:val="auto"/>
        </w:rPr>
      </w:pPr>
    </w:p>
    <w:p>
      <w:pPr>
        <w:ind w:left="334" w:hanging="334"/>
        <w:spacing w:after="0"/>
        <w:tabs>
          <w:tab w:leader="none" w:pos="334" w:val="left"/>
        </w:tabs>
        <w:numPr>
          <w:ilvl w:val="0"/>
          <w:numId w:val="66"/>
        </w:numPr>
        <w:rPr>
          <w:rFonts w:ascii="Arial" w:cs="Arial" w:eastAsia="Arial" w:hAnsi="Arial"/>
          <w:sz w:val="21"/>
          <w:szCs w:val="21"/>
          <w:color w:val="auto"/>
        </w:rPr>
      </w:pPr>
      <w:r>
        <w:rPr>
          <w:rFonts w:ascii="Arial" w:cs="Arial" w:eastAsia="Arial" w:hAnsi="Arial"/>
          <w:sz w:val="21"/>
          <w:szCs w:val="21"/>
          <w:color w:val="auto"/>
        </w:rPr>
        <w:t>require notification or prior approval by the Company of any reporting described in clause (A).</w:t>
      </w:r>
    </w:p>
    <w:p>
      <w:pPr>
        <w:spacing w:after="0" w:line="191" w:lineRule="exact"/>
        <w:rPr>
          <w:rFonts w:ascii="Arial" w:cs="Arial" w:eastAsia="Arial" w:hAnsi="Arial"/>
          <w:sz w:val="21"/>
          <w:szCs w:val="21"/>
          <w:color w:val="auto"/>
        </w:rPr>
      </w:pPr>
    </w:p>
    <w:p>
      <w:pPr>
        <w:jc w:val="both"/>
        <w:ind w:left="-6" w:firstLine="1278"/>
        <w:spacing w:after="0" w:line="230" w:lineRule="auto"/>
        <w:tabs>
          <w:tab w:leader="none" w:pos="2111" w:val="left"/>
        </w:tabs>
        <w:numPr>
          <w:ilvl w:val="2"/>
          <w:numId w:val="66"/>
        </w:numPr>
        <w:rPr>
          <w:rFonts w:ascii="Arial" w:cs="Arial" w:eastAsia="Arial" w:hAnsi="Arial"/>
          <w:sz w:val="20"/>
          <w:szCs w:val="20"/>
          <w:color w:val="auto"/>
        </w:rPr>
      </w:pPr>
      <w:r>
        <w:rPr>
          <w:rFonts w:ascii="Arial" w:cs="Arial" w:eastAsia="Arial" w:hAnsi="Arial"/>
          <w:sz w:val="20"/>
          <w:szCs w:val="20"/>
          <w:color w:val="auto"/>
        </w:rPr>
        <w:t>This Letter is intended to comply with the Older Workers Benefit Protection Act of 1990 with regard to your waiver of rights under the ADEA. You will have up to 21 calendar days from the date of this Letter to decide whether to accept and sign this Letter. In the event you do sign this Letter, you may revoke or rescind your acceptance to those provisions of this Letter releasing and waiving your rights and claims under ADEA within seven calendar days of signing this Letter. In order to effectively revoke or rescind in accordance herewith, the revocation or rescission must be in writing and postmarked within such period, and properly addressed to the General Counsel of the Company at the Company’s principal corporate offices.</w:t>
      </w:r>
    </w:p>
    <w:p>
      <w:pPr>
        <w:spacing w:after="0" w:line="192" w:lineRule="exact"/>
        <w:rPr>
          <w:rFonts w:ascii="Arial" w:cs="Arial" w:eastAsia="Arial" w:hAnsi="Arial"/>
          <w:sz w:val="20"/>
          <w:szCs w:val="20"/>
          <w:color w:val="auto"/>
        </w:rPr>
      </w:pPr>
    </w:p>
    <w:p>
      <w:pPr>
        <w:ind w:left="1494" w:hanging="858"/>
        <w:spacing w:after="0"/>
        <w:tabs>
          <w:tab w:leader="none" w:pos="1494"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Acknowledgements</w:t>
      </w:r>
      <w:r>
        <w:rPr>
          <w:rFonts w:ascii="Arial" w:cs="Arial" w:eastAsia="Arial" w:hAnsi="Arial"/>
          <w:sz w:val="20"/>
          <w:szCs w:val="20"/>
          <w:color w:val="auto"/>
        </w:rPr>
        <w:t>. By executing and delivering this Letter, you acknowledge and agree that: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34"/>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074"/>
          </w:cols>
          <w:pgMar w:left="1386" w:top="1440" w:right="4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71"/>
        </w:trPr>
        <w:tc>
          <w:tcPr>
            <w:tcW w:w="6040" w:type="dxa"/>
            <w:vAlign w:val="bottom"/>
          </w:tcPr>
          <w:p>
            <w:pPr>
              <w:spacing w:after="0"/>
              <w:rPr>
                <w:sz w:val="23"/>
                <w:szCs w:val="23"/>
                <w:color w:val="auto"/>
              </w:rPr>
            </w:pPr>
          </w:p>
        </w:tc>
        <w:tc>
          <w:tcPr>
            <w:tcW w:w="4780" w:type="dxa"/>
            <w:vAlign w:val="bottom"/>
          </w:tcPr>
          <w:p>
            <w:pPr>
              <w:ind w:left="200"/>
              <w:spacing w:after="0"/>
              <w:rPr>
                <w:sz w:val="20"/>
                <w:szCs w:val="20"/>
                <w:color w:val="auto"/>
              </w:rPr>
            </w:pPr>
            <w:r>
              <w:rPr>
                <w:rFonts w:ascii="Arial" w:cs="Arial" w:eastAsia="Arial" w:hAnsi="Arial"/>
                <w:sz w:val="21"/>
                <w:szCs w:val="21"/>
                <w:color w:val="auto"/>
              </w:rPr>
              <w:t>You have carefully read this Letter;</w:t>
            </w:r>
          </w:p>
        </w:tc>
        <w:tc>
          <w:tcPr>
            <w:tcW w:w="0" w:type="dxa"/>
            <w:vAlign w:val="bottom"/>
          </w:tcPr>
          <w:p>
            <w:pPr>
              <w:spacing w:after="0"/>
              <w:rPr>
                <w:sz w:val="1"/>
                <w:szCs w:val="1"/>
                <w:color w:val="auto"/>
              </w:rPr>
            </w:pPr>
          </w:p>
        </w:tc>
      </w:tr>
      <w:tr>
        <w:trPr>
          <w:trHeight w:val="405"/>
        </w:trPr>
        <w:tc>
          <w:tcPr>
            <w:tcW w:w="6040" w:type="dxa"/>
            <w:vAlign w:val="bottom"/>
          </w:tcPr>
          <w:p>
            <w:pPr>
              <w:ind w:left="5600"/>
              <w:spacing w:after="0"/>
              <w:rPr>
                <w:sz w:val="20"/>
                <w:szCs w:val="20"/>
                <w:color w:val="auto"/>
              </w:rPr>
            </w:pPr>
            <w:r>
              <w:rPr>
                <w:rFonts w:ascii="Arial" w:cs="Arial" w:eastAsia="Arial" w:hAnsi="Arial"/>
                <w:sz w:val="21"/>
                <w:szCs w:val="21"/>
                <w:color w:val="auto"/>
              </w:rPr>
              <w:t>(b)</w:t>
            </w:r>
          </w:p>
        </w:tc>
        <w:tc>
          <w:tcPr>
            <w:tcW w:w="4780" w:type="dxa"/>
            <w:vAlign w:val="bottom"/>
          </w:tcPr>
          <w:p>
            <w:pPr>
              <w:ind w:left="200"/>
              <w:spacing w:after="0"/>
              <w:rPr>
                <w:sz w:val="20"/>
                <w:szCs w:val="20"/>
                <w:color w:val="auto"/>
              </w:rPr>
            </w:pPr>
            <w:r>
              <w:rPr>
                <w:rFonts w:ascii="Arial" w:cs="Arial" w:eastAsia="Arial" w:hAnsi="Arial"/>
                <w:sz w:val="21"/>
                <w:szCs w:val="21"/>
                <w:color w:val="auto"/>
                <w:w w:val="92"/>
              </w:rPr>
              <w:t>This Letter (including Section 9) has been written in a</w:t>
            </w:r>
          </w:p>
        </w:tc>
        <w:tc>
          <w:tcPr>
            <w:tcW w:w="0" w:type="dxa"/>
            <w:vAlign w:val="bottom"/>
          </w:tcPr>
          <w:p>
            <w:pPr>
              <w:spacing w:after="0"/>
              <w:rPr>
                <w:sz w:val="1"/>
                <w:szCs w:val="1"/>
                <w:color w:val="auto"/>
              </w:rPr>
            </w:pPr>
          </w:p>
        </w:tc>
      </w:tr>
      <w:tr>
        <w:trPr>
          <w:trHeight w:val="324"/>
        </w:trPr>
        <w:tc>
          <w:tcPr>
            <w:tcW w:w="6040" w:type="dxa"/>
            <w:vAlign w:val="bottom"/>
          </w:tcPr>
          <w:p>
            <w:pPr>
              <w:ind w:left="980"/>
              <w:spacing w:after="0"/>
              <w:rPr>
                <w:sz w:val="20"/>
                <w:szCs w:val="20"/>
                <w:color w:val="auto"/>
              </w:rPr>
            </w:pPr>
            <w:r>
              <w:rPr>
                <w:rFonts w:ascii="Arial" w:cs="Arial" w:eastAsia="Arial" w:hAnsi="Arial"/>
                <w:sz w:val="21"/>
                <w:szCs w:val="21"/>
                <w:color w:val="auto"/>
              </w:rPr>
              <w:t>understand it;</w:t>
            </w:r>
          </w:p>
        </w:tc>
        <w:tc>
          <w:tcPr>
            <w:tcW w:w="4780" w:type="dxa"/>
            <w:vAlign w:val="bottom"/>
          </w:tcPr>
          <w:p>
            <w:pPr>
              <w:ind w:left="200"/>
              <w:spacing w:after="0"/>
              <w:rPr>
                <w:sz w:val="20"/>
                <w:szCs w:val="20"/>
                <w:color w:val="auto"/>
              </w:rPr>
            </w:pPr>
            <w:r>
              <w:rPr>
                <w:rFonts w:ascii="Arial" w:cs="Arial" w:eastAsia="Arial" w:hAnsi="Arial"/>
                <w:sz w:val="21"/>
                <w:szCs w:val="21"/>
                <w:color w:val="auto"/>
              </w:rPr>
              <w:t>way so that you could</w:t>
            </w:r>
          </w:p>
        </w:tc>
        <w:tc>
          <w:tcPr>
            <w:tcW w:w="0" w:type="dxa"/>
            <w:vAlign w:val="bottom"/>
          </w:tcPr>
          <w:p>
            <w:pPr>
              <w:spacing w:after="0"/>
              <w:rPr>
                <w:sz w:val="1"/>
                <w:szCs w:val="1"/>
                <w:color w:val="auto"/>
              </w:rPr>
            </w:pPr>
          </w:p>
        </w:tc>
      </w:tr>
      <w:tr>
        <w:trPr>
          <w:trHeight w:val="292"/>
        </w:trPr>
        <w:tc>
          <w:tcPr>
            <w:tcW w:w="6040" w:type="dxa"/>
            <w:vAlign w:val="bottom"/>
          </w:tcPr>
          <w:p>
            <w:pPr>
              <w:spacing w:after="0"/>
              <w:rPr>
                <w:sz w:val="20"/>
                <w:szCs w:val="20"/>
                <w:color w:val="auto"/>
              </w:rPr>
            </w:pPr>
            <w:r>
              <w:rPr>
                <w:rFonts w:ascii="Arial" w:cs="Arial" w:eastAsia="Arial" w:hAnsi="Arial"/>
                <w:sz w:val="21"/>
                <w:szCs w:val="21"/>
                <w:color w:val="auto"/>
              </w:rPr>
              <w:t>(a)</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40" w:type="dxa"/>
            <w:vAlign w:val="bottom"/>
          </w:tcPr>
          <w:p>
            <w:pPr>
              <w:ind w:left="5600"/>
              <w:spacing w:after="0" w:line="233" w:lineRule="exact"/>
              <w:rPr>
                <w:sz w:val="20"/>
                <w:szCs w:val="20"/>
                <w:color w:val="auto"/>
              </w:rPr>
            </w:pPr>
            <w:r>
              <w:rPr>
                <w:rFonts w:ascii="Arial" w:cs="Arial" w:eastAsia="Arial" w:hAnsi="Arial"/>
                <w:sz w:val="21"/>
                <w:szCs w:val="21"/>
                <w:color w:val="auto"/>
              </w:rPr>
              <w:t>(c)</w:t>
            </w:r>
          </w:p>
        </w:tc>
        <w:tc>
          <w:tcPr>
            <w:tcW w:w="4780" w:type="dxa"/>
            <w:vAlign w:val="bottom"/>
          </w:tcPr>
          <w:p>
            <w:pPr>
              <w:ind w:left="200"/>
              <w:spacing w:after="0" w:line="233" w:lineRule="exact"/>
              <w:rPr>
                <w:sz w:val="20"/>
                <w:szCs w:val="20"/>
                <w:color w:val="auto"/>
              </w:rPr>
            </w:pPr>
            <w:r>
              <w:rPr>
                <w:rFonts w:ascii="Arial" w:cs="Arial" w:eastAsia="Arial" w:hAnsi="Arial"/>
                <w:sz w:val="21"/>
                <w:szCs w:val="21"/>
                <w:color w:val="auto"/>
                <w:w w:val="96"/>
              </w:rPr>
              <w:t>You have had sufficient time to consider this Letter</w:t>
            </w:r>
          </w:p>
        </w:tc>
        <w:tc>
          <w:tcPr>
            <w:tcW w:w="0" w:type="dxa"/>
            <w:vAlign w:val="bottom"/>
          </w:tcPr>
          <w:p>
            <w:pPr>
              <w:spacing w:after="0"/>
              <w:rPr>
                <w:sz w:val="1"/>
                <w:szCs w:val="1"/>
                <w:color w:val="auto"/>
              </w:rPr>
            </w:pPr>
          </w:p>
        </w:tc>
      </w:tr>
      <w:tr>
        <w:trPr>
          <w:trHeight w:val="271"/>
        </w:trPr>
        <w:tc>
          <w:tcPr>
            <w:tcW w:w="6040" w:type="dxa"/>
            <w:vAlign w:val="bottom"/>
            <w:vMerge w:val="restart"/>
          </w:tcPr>
          <w:p>
            <w:pPr>
              <w:ind w:left="980"/>
              <w:spacing w:after="0"/>
              <w:rPr>
                <w:sz w:val="20"/>
                <w:szCs w:val="20"/>
                <w:color w:val="auto"/>
              </w:rPr>
            </w:pPr>
            <w:r>
              <w:rPr>
                <w:rFonts w:ascii="Arial" w:cs="Arial" w:eastAsia="Arial" w:hAnsi="Arial"/>
                <w:sz w:val="21"/>
                <w:szCs w:val="21"/>
                <w:color w:val="auto"/>
              </w:rPr>
              <w:t>and delivery hereof to the Company;</w:t>
            </w:r>
          </w:p>
        </w:tc>
        <w:tc>
          <w:tcPr>
            <w:tcW w:w="4780" w:type="dxa"/>
            <w:vAlign w:val="bottom"/>
          </w:tcPr>
          <w:p>
            <w:pPr>
              <w:ind w:left="200"/>
              <w:spacing w:after="0"/>
              <w:rPr>
                <w:sz w:val="20"/>
                <w:szCs w:val="20"/>
                <w:color w:val="auto"/>
              </w:rPr>
            </w:pPr>
            <w:r>
              <w:rPr>
                <w:rFonts w:ascii="Arial" w:cs="Arial" w:eastAsia="Arial" w:hAnsi="Arial"/>
                <w:sz w:val="21"/>
                <w:szCs w:val="21"/>
                <w:color w:val="auto"/>
              </w:rPr>
              <w:t>before the execution</w:t>
            </w:r>
          </w:p>
        </w:tc>
        <w:tc>
          <w:tcPr>
            <w:tcW w:w="0" w:type="dxa"/>
            <w:vAlign w:val="bottom"/>
          </w:tcPr>
          <w:p>
            <w:pPr>
              <w:spacing w:after="0"/>
              <w:rPr>
                <w:sz w:val="1"/>
                <w:szCs w:val="1"/>
                <w:color w:val="auto"/>
              </w:rPr>
            </w:pPr>
          </w:p>
        </w:tc>
      </w:tr>
      <w:tr>
        <w:trPr>
          <w:trHeight w:val="212"/>
        </w:trPr>
        <w:tc>
          <w:tcPr>
            <w:tcW w:w="6040" w:type="dxa"/>
            <w:vAlign w:val="bottom"/>
            <w:vMerge w:val="continue"/>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980" w:firstLine="1278"/>
        <w:spacing w:after="0" w:line="232" w:lineRule="auto"/>
        <w:tabs>
          <w:tab w:leader="none" w:pos="3095" w:val="left"/>
        </w:tabs>
        <w:numPr>
          <w:ilvl w:val="0"/>
          <w:numId w:val="67"/>
        </w:numPr>
        <w:rPr>
          <w:rFonts w:ascii="Arial" w:cs="Arial" w:eastAsia="Arial" w:hAnsi="Arial"/>
          <w:sz w:val="21"/>
          <w:szCs w:val="21"/>
          <w:color w:val="auto"/>
        </w:rPr>
      </w:pPr>
      <w:r>
        <w:rPr>
          <w:rFonts w:ascii="Arial" w:cs="Arial" w:eastAsia="Arial" w:hAnsi="Arial"/>
          <w:sz w:val="21"/>
          <w:szCs w:val="21"/>
          <w:b w:val="1"/>
          <w:bCs w:val="1"/>
          <w:color w:val="auto"/>
        </w:rPr>
        <w:t>You have been advised, and hereby are advised in writing, to discuss this Letter with an attorney of your choice and you have had adequate opportunity to do so prior to executing and delivering this Letter</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left="980" w:firstLine="1278"/>
        <w:spacing w:after="0" w:line="261" w:lineRule="auto"/>
        <w:tabs>
          <w:tab w:leader="none" w:pos="3097" w:val="left"/>
        </w:tabs>
        <w:numPr>
          <w:ilvl w:val="0"/>
          <w:numId w:val="67"/>
        </w:numPr>
        <w:rPr>
          <w:rFonts w:ascii="Arial" w:cs="Arial" w:eastAsia="Arial" w:hAnsi="Arial"/>
          <w:sz w:val="19"/>
          <w:szCs w:val="19"/>
          <w:color w:val="auto"/>
        </w:rPr>
      </w:pPr>
      <w:r>
        <w:rPr>
          <w:rFonts w:ascii="Arial" w:cs="Arial" w:eastAsia="Arial" w:hAnsi="Arial"/>
          <w:sz w:val="19"/>
          <w:szCs w:val="19"/>
          <w:color w:val="auto"/>
        </w:rPr>
        <w:t>You fully understand the final and binding effect of this Letter, the only promises made to you to sign this Letter are those stated within the four corners of this Letter, and you are signing this Letter knowingly, voluntarily and of your own free will, and you understand and agree to each of the terms and conditions herein; and</w:t>
      </w:r>
    </w:p>
    <w:p>
      <w:pPr>
        <w:spacing w:after="0" w:line="200" w:lineRule="exact"/>
        <w:rPr>
          <w:sz w:val="20"/>
          <w:szCs w:val="20"/>
          <w:color w:val="auto"/>
        </w:rPr>
      </w:pPr>
    </w:p>
    <w:p>
      <w:pPr>
        <w:spacing w:after="0" w:line="266" w:lineRule="exact"/>
        <w:rPr>
          <w:sz w:val="20"/>
          <w:szCs w:val="20"/>
          <w:color w:val="auto"/>
        </w:rPr>
      </w:pPr>
    </w:p>
    <w:p>
      <w:pPr>
        <w:ind w:left="502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060"/>
          </w:cols>
          <w:pgMar w:left="400" w:top="1377" w:right="439" w:bottom="1440" w:gutter="0" w:footer="0" w:header="0"/>
        </w:sectPr>
      </w:pPr>
    </w:p>
    <w:bookmarkStart w:id="133" w:name="page134"/>
    <w:bookmarkEnd w:id="133"/>
    <w:p>
      <w:pPr>
        <w:jc w:val="both"/>
        <w:ind w:firstLine="1272"/>
        <w:spacing w:after="0" w:line="230" w:lineRule="auto"/>
        <w:rPr>
          <w:sz w:val="20"/>
          <w:szCs w:val="20"/>
          <w:color w:val="auto"/>
        </w:rPr>
      </w:pPr>
      <w:r>
        <w:rPr>
          <w:rFonts w:ascii="Arial" w:cs="Arial" w:eastAsia="Arial" w:hAnsi="Arial"/>
          <w:sz w:val="21"/>
          <w:szCs w:val="21"/>
          <w:color w:val="auto"/>
        </w:rPr>
        <w:t>(f)No Releasee has provided any tax or legal advice regarding this Letter, and you have had an adequate opportunity to receive sufficient tax and legal advice from advisors of your own choosing such that you enter into this Letter with full understanding of the tax and legal implications thereof.</w:t>
      </w:r>
    </w:p>
    <w:p>
      <w:pPr>
        <w:spacing w:after="0" w:line="180" w:lineRule="exact"/>
        <w:rPr>
          <w:sz w:val="20"/>
          <w:szCs w:val="20"/>
          <w:color w:val="auto"/>
        </w:rPr>
      </w:pPr>
    </w:p>
    <w:p>
      <w:pPr>
        <w:jc w:val="both"/>
        <w:ind w:firstLine="642"/>
        <w:spacing w:after="0" w:line="234" w:lineRule="auto"/>
        <w:tabs>
          <w:tab w:leader="none" w:pos="147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compensation and benefits provided by this Letter are intended to be exempt from or comply with the requirements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this Letter will be interpreted and construed consistent with that intent. A termination of employment will not be deemed to have occurred for purposes of any provision of this Letter providing for the payment of any amounts or benefits considered “nonqualified deferred compensation” under Section 409A of the Code upon or following a termination of employment unless such termination is also a “separation from service” within the meaning of Section 409A of the Code and, for purposes of any such provision of this Letter, references to a “termination,” “termination of employment” or like terms will mean “separation from service.” Notwithstanding any other provision of this Letter, to the extent that the right to any payment (including the provision of benefits) hereunder provides for the “deferral of compensation” within the meaning of Section 409A(d)(1) of the Code, the payment will be paid (or provided) in accordance with this Section 10(h). As a “Specified Employee” within the meaning of Section 409A(a)</w:t>
      </w:r>
    </w:p>
    <w:p>
      <w:pPr>
        <w:spacing w:after="0" w:line="6" w:lineRule="exact"/>
        <w:rPr>
          <w:rFonts w:ascii="Arial" w:cs="Arial" w:eastAsia="Arial" w:hAnsi="Arial"/>
          <w:sz w:val="19"/>
          <w:szCs w:val="19"/>
          <w:color w:val="auto"/>
        </w:rPr>
      </w:pPr>
    </w:p>
    <w:p>
      <w:pPr>
        <w:jc w:val="both"/>
        <w:spacing w:after="0" w:line="225" w:lineRule="auto"/>
        <w:rPr>
          <w:rFonts w:ascii="Arial" w:cs="Arial" w:eastAsia="Arial" w:hAnsi="Arial"/>
          <w:sz w:val="19"/>
          <w:szCs w:val="19"/>
          <w:color w:val="auto"/>
        </w:rPr>
      </w:pPr>
      <w:r>
        <w:rPr>
          <w:rFonts w:ascii="Arial" w:cs="Arial" w:eastAsia="Arial" w:hAnsi="Arial"/>
          <w:sz w:val="20"/>
          <w:szCs w:val="20"/>
          <w:color w:val="auto"/>
        </w:rPr>
        <w:t>(2)(B)(i) of the Code, to the extent required by Section 409A of the Code, no payment of any amounts or benefits considered “nonqualified deferred compensation” under Section 409A of the Code will be made or commence during the period beginning on your termination and ending on the date that is six months following your termination or, if earlier, on the date of your death. The amount of any payment that would otherwise be paid to you during this period will instead be paid to you on the fifteenth day of the first calendar month following the end of the period. Each amount to be paid or benefit to be provided under this Letter will be construed as a separate and distinct payment for purposes of Section 409A. Payments with respect to reimbursements of expenses will be made in accordance with Company policy and in no event later than the last day of the calendar year following the calendar year in which the relevant expense is incurred. The amount of expenses eligible for reimbursement during a calendar year may not affect the expenses eligible for reimbursement in any other calendar year.</w:t>
      </w:r>
    </w:p>
    <w:p>
      <w:pPr>
        <w:spacing w:after="0" w:line="197" w:lineRule="exact"/>
        <w:rPr>
          <w:rFonts w:ascii="Arial" w:cs="Arial" w:eastAsia="Arial" w:hAnsi="Arial"/>
          <w:sz w:val="19"/>
          <w:szCs w:val="19"/>
          <w:color w:val="auto"/>
        </w:rPr>
      </w:pPr>
    </w:p>
    <w:p>
      <w:pPr>
        <w:ind w:left="1280" w:hanging="638"/>
        <w:spacing w:after="0"/>
        <w:tabs>
          <w:tab w:leader="none" w:pos="128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jc w:val="both"/>
        <w:ind w:firstLine="1277"/>
        <w:spacing w:after="0" w:line="244" w:lineRule="auto"/>
        <w:tabs>
          <w:tab w:leader="none" w:pos="2117"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This Letter will be deemed to be made under, and in all respects will be interpreted, construed and governed by and in accordance with the laws of the State of New York without reference to its conflict of law principles. You and the Company hereby irrevocably submit to the jurisdiction of the courts of the State of New York and the federal courts of the United States of America located in the City and State of New York with respect to the interpretation and enforcement of the provisions of this Letter, and you and the Company each hereby waive, and agree not to assert as a defense, that you or it is not subject thereto or that the venue thereof may not be appropriate.</w:t>
      </w:r>
    </w:p>
    <w:p>
      <w:pPr>
        <w:spacing w:after="0" w:line="177" w:lineRule="exact"/>
        <w:rPr>
          <w:rFonts w:ascii="Arial" w:cs="Arial" w:eastAsia="Arial" w:hAnsi="Arial"/>
          <w:sz w:val="19"/>
          <w:szCs w:val="19"/>
          <w:color w:val="auto"/>
        </w:rPr>
      </w:pPr>
    </w:p>
    <w:p>
      <w:pPr>
        <w:jc w:val="both"/>
        <w:ind w:firstLine="1277"/>
        <w:spacing w:after="0" w:line="225" w:lineRule="auto"/>
        <w:tabs>
          <w:tab w:leader="none" w:pos="2115"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This Letter sets forth the entire agreement and understanding between you and the Company Group with respect to the matters covered by this Letter and supersedes and replaces any express or implied, written or oral, prior agreement with respect to the terms of your employment. This Letter may be amended only by a written document signed by both you and the Company.</w:t>
      </w:r>
    </w:p>
    <w:p>
      <w:pPr>
        <w:spacing w:after="0" w:line="200" w:lineRule="exact"/>
        <w:rPr>
          <w:sz w:val="20"/>
          <w:szCs w:val="20"/>
          <w:color w:val="auto"/>
        </w:rPr>
      </w:pPr>
    </w:p>
    <w:p>
      <w:pPr>
        <w:spacing w:after="0" w:line="272"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080"/>
          </w:cols>
          <w:pgMar w:left="1380" w:top="1377" w:right="439" w:bottom="1440" w:gutter="0" w:footer="0" w:header="0"/>
        </w:sectPr>
      </w:pPr>
    </w:p>
    <w:bookmarkStart w:id="134" w:name="page135"/>
    <w:bookmarkEnd w:id="134"/>
    <w:p>
      <w:pPr>
        <w:spacing w:after="0" w:line="242" w:lineRule="exact"/>
        <w:rPr>
          <w:sz w:val="20"/>
          <w:szCs w:val="20"/>
          <w:color w:val="auto"/>
        </w:rPr>
      </w:pPr>
    </w:p>
    <w:p>
      <w:pPr>
        <w:jc w:val="both"/>
        <w:ind w:left="1060" w:firstLine="1278"/>
        <w:spacing w:after="0" w:line="225" w:lineRule="auto"/>
        <w:tabs>
          <w:tab w:leader="none" w:pos="3177"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failure by you or the Company to enforce any of the terms, provisions or covenants of this Letter will not be construed as a waiver of the same or of the right of such party to enforce the same. Waiver by you or the Company of any breach or default by the other party to this Letter of any term or provision of this Letter will not operate as a waiver of any other breach or default.</w:t>
      </w:r>
    </w:p>
    <w:p>
      <w:pPr>
        <w:spacing w:after="0" w:line="194" w:lineRule="exact"/>
        <w:rPr>
          <w:rFonts w:ascii="Arial" w:cs="Arial" w:eastAsia="Arial" w:hAnsi="Arial"/>
          <w:sz w:val="21"/>
          <w:szCs w:val="21"/>
          <w:color w:val="auto"/>
        </w:rPr>
      </w:pPr>
    </w:p>
    <w:p>
      <w:pPr>
        <w:jc w:val="both"/>
        <w:ind w:left="1060" w:firstLine="1278"/>
        <w:spacing w:after="0" w:line="230" w:lineRule="auto"/>
        <w:tabs>
          <w:tab w:leader="none" w:pos="3175"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This Letter may be executed in one or more counterparts, which together will constitute one and the same agreement. Facsimile signatures and those transmitted by e-mail or other electronic means will have the same effect as originals.</w:t>
      </w:r>
    </w:p>
    <w:p>
      <w:pPr>
        <w:spacing w:after="0" w:line="193" w:lineRule="exact"/>
        <w:rPr>
          <w:rFonts w:ascii="Arial" w:cs="Arial" w:eastAsia="Arial" w:hAnsi="Arial"/>
          <w:sz w:val="21"/>
          <w:szCs w:val="21"/>
          <w:color w:val="auto"/>
        </w:rPr>
      </w:pPr>
    </w:p>
    <w:p>
      <w:pPr>
        <w:ind w:left="1060" w:firstLine="1278"/>
        <w:spacing w:after="0" w:line="239" w:lineRule="auto"/>
        <w:tabs>
          <w:tab w:leader="none" w:pos="3177"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Company may withhold from any payment due under this Letter any taxes that are required to be withheld under any applicable law, rule or regulation.</w:t>
      </w:r>
    </w:p>
    <w:p>
      <w:pPr>
        <w:spacing w:after="0" w:line="182" w:lineRule="exact"/>
        <w:rPr>
          <w:sz w:val="20"/>
          <w:szCs w:val="20"/>
          <w:color w:val="auto"/>
        </w:rPr>
      </w:pPr>
    </w:p>
    <w:p>
      <w:pPr>
        <w:jc w:val="both"/>
        <w:ind w:left="1060" w:firstLine="1272"/>
        <w:spacing w:after="0" w:line="222" w:lineRule="auto"/>
        <w:rPr>
          <w:sz w:val="20"/>
          <w:szCs w:val="20"/>
          <w:color w:val="auto"/>
        </w:rPr>
      </w:pPr>
      <w:r>
        <w:rPr>
          <w:rFonts w:ascii="Arial" w:cs="Arial" w:eastAsia="Arial" w:hAnsi="Arial"/>
          <w:sz w:val="21"/>
          <w:szCs w:val="21"/>
          <w:color w:val="auto"/>
        </w:rPr>
        <w:t>(f)In the event of a breach or threatened breach by you of any of the provisions of this Letter, you consent and agree that the Company will be entitled to seek, in addition to other available remedies, a temporary or permanent injunction or other equitable relief against such breach or threatened breach from any court of competent jurisdiction. Any equitable relief will be in addition to, not in lieu of, legal remedies, monetary damages, or other available relief.</w:t>
      </w:r>
    </w:p>
    <w:p>
      <w:pPr>
        <w:spacing w:after="0" w:line="195" w:lineRule="exact"/>
        <w:rPr>
          <w:sz w:val="20"/>
          <w:szCs w:val="20"/>
          <w:color w:val="auto"/>
        </w:rPr>
      </w:pPr>
    </w:p>
    <w:p>
      <w:pPr>
        <w:jc w:val="both"/>
        <w:ind w:left="1060" w:firstLine="1277"/>
        <w:spacing w:after="0" w:line="230" w:lineRule="auto"/>
        <w:tabs>
          <w:tab w:leader="none" w:pos="3175"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provisions of this Letter will be binding upon and inure to the benefit of the parties hereto and their respective successors and assigns, provided that you may not assign this Letter without the express written consent of the Company.</w:t>
      </w:r>
    </w:p>
    <w:p>
      <w:pPr>
        <w:spacing w:after="0" w:line="193" w:lineRule="exact"/>
        <w:rPr>
          <w:rFonts w:ascii="Arial" w:cs="Arial" w:eastAsia="Arial" w:hAnsi="Arial"/>
          <w:sz w:val="21"/>
          <w:szCs w:val="21"/>
          <w:color w:val="auto"/>
        </w:rPr>
      </w:pPr>
    </w:p>
    <w:p>
      <w:pPr>
        <w:jc w:val="both"/>
        <w:ind w:left="1060" w:firstLine="1277"/>
        <w:spacing w:after="0" w:line="242" w:lineRule="auto"/>
        <w:tabs>
          <w:tab w:leader="none" w:pos="3175"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 the event any provision or portion of this Letter will be determined to be illegal, invalid or unenforceable, the remainder of this Letter, and the remainder of any such provision or portion will not be affected and will be given full effect without regard to the illegal, invalid or unenforceable provision or portion.</w:t>
      </w:r>
    </w:p>
    <w:p>
      <w:pPr>
        <w:spacing w:after="0" w:line="179" w:lineRule="exact"/>
        <w:rPr>
          <w:sz w:val="20"/>
          <w:szCs w:val="20"/>
          <w:color w:val="auto"/>
        </w:rPr>
      </w:pPr>
    </w:p>
    <w:p>
      <w:pPr>
        <w:ind w:left="1060" w:firstLine="1272"/>
        <w:spacing w:after="0" w:line="239" w:lineRule="auto"/>
        <w:rPr>
          <w:sz w:val="20"/>
          <w:szCs w:val="20"/>
          <w:color w:val="auto"/>
        </w:rPr>
      </w:pPr>
      <w:r>
        <w:rPr>
          <w:rFonts w:ascii="Arial" w:cs="Arial" w:eastAsia="Arial" w:hAnsi="Arial"/>
          <w:sz w:val="21"/>
          <w:szCs w:val="21"/>
          <w:color w:val="auto"/>
        </w:rPr>
        <w:t>(i)Nothing contained in this Letter will be deemed or construed as an admission of wrongdoing or liability on the part of you or the Company.</w:t>
      </w:r>
    </w:p>
    <w:p>
      <w:pPr>
        <w:spacing w:after="0" w:line="200" w:lineRule="exact"/>
        <w:rPr>
          <w:sz w:val="20"/>
          <w:szCs w:val="20"/>
          <w:color w:val="auto"/>
        </w:rPr>
      </w:pPr>
    </w:p>
    <w:p>
      <w:pPr>
        <w:spacing w:after="0" w:line="366"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Sincerely,</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Tim Fazio</w:t>
      </w:r>
    </w:p>
    <w:p>
      <w:pPr>
        <w:spacing w:after="0" w:line="237"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Tim Fazio</w:t>
      </w:r>
    </w:p>
    <w:p>
      <w:pPr>
        <w:ind w:left="1060"/>
        <w:spacing w:after="0"/>
        <w:rPr>
          <w:sz w:val="20"/>
          <w:szCs w:val="20"/>
          <w:color w:val="auto"/>
        </w:rPr>
      </w:pPr>
      <w:r>
        <w:rPr>
          <w:rFonts w:ascii="Arial" w:cs="Arial" w:eastAsia="Arial" w:hAnsi="Arial"/>
          <w:sz w:val="21"/>
          <w:szCs w:val="21"/>
          <w:color w:val="auto"/>
        </w:rPr>
        <w:t>Chair of the Board of Directors of Greenidge Generation Holdings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40"/>
          </w:cols>
          <w:pgMar w:left="320" w:top="1440" w:right="439" w:bottom="1440" w:gutter="0" w:footer="0" w:header="0"/>
        </w:sectPr>
      </w:pPr>
    </w:p>
    <w:bookmarkStart w:id="135" w:name="page136"/>
    <w:bookmarkEnd w:id="135"/>
    <w:p>
      <w:pPr>
        <w:spacing w:after="0" w:line="170" w:lineRule="exact"/>
        <w:rPr>
          <w:sz w:val="20"/>
          <w:szCs w:val="20"/>
          <w:color w:val="auto"/>
        </w:rPr>
      </w:pPr>
    </w:p>
    <w:p>
      <w:pPr>
        <w:jc w:val="both"/>
        <w:ind w:left="420"/>
        <w:spacing w:after="0" w:line="226" w:lineRule="auto"/>
        <w:rPr>
          <w:sz w:val="20"/>
          <w:szCs w:val="20"/>
          <w:color w:val="auto"/>
        </w:rPr>
      </w:pPr>
      <w:r>
        <w:rPr>
          <w:rFonts w:ascii="Arial" w:cs="Arial" w:eastAsia="Arial" w:hAnsi="Arial"/>
          <w:sz w:val="21"/>
          <w:szCs w:val="21"/>
          <w:b w:val="1"/>
          <w:bCs w:val="1"/>
          <w:color w:val="auto"/>
        </w:rPr>
        <w:t>You acknowledge and agree that you understand this Letter and that you have had adequate time and a full opportunity to consider and seek legal advice regarding all its aspects. In signing this Letter, you have acted voluntarily and have not relied upon any representation made by the Company or any of its agents, employees or representatives.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21"/>
          <w:szCs w:val="21"/>
          <w:b w:val="1"/>
          <w:bCs w:val="1"/>
          <w:color w:val="auto"/>
        </w:rPr>
        <w:t>Accepted and Agreed</w:t>
      </w:r>
      <w:r>
        <w:rPr>
          <w:rFonts w:ascii="Arial" w:cs="Arial" w:eastAsia="Arial" w:hAnsi="Arial"/>
          <w:sz w:val="21"/>
          <w:szCs w:val="21"/>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 Jeffrey E. Kirt</w:t>
      </w:r>
    </w:p>
    <w:p>
      <w:pPr>
        <w:ind w:left="420"/>
        <w:spacing w:after="0" w:line="210" w:lineRule="auto"/>
        <w:rPr>
          <w:sz w:val="20"/>
          <w:szCs w:val="20"/>
          <w:color w:val="auto"/>
        </w:rPr>
      </w:pPr>
      <w:r>
        <w:rPr>
          <w:rFonts w:ascii="Arial" w:cs="Arial" w:eastAsia="Arial" w:hAnsi="Arial"/>
          <w:sz w:val="21"/>
          <w:szCs w:val="21"/>
          <w:color w:val="auto"/>
        </w:rPr>
        <w:t>Jeffrey E. Kirt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1"/>
          <w:szCs w:val="21"/>
          <w:color w:val="auto"/>
        </w:rPr>
        <w:t>Date: October 10, 2022</w:t>
      </w:r>
    </w:p>
    <w:p>
      <w:pPr>
        <w:spacing w:after="0" w:line="200" w:lineRule="exact"/>
        <w:rPr>
          <w:sz w:val="20"/>
          <w:szCs w:val="20"/>
          <w:color w:val="auto"/>
        </w:rPr>
      </w:pPr>
    </w:p>
    <w:p>
      <w:pPr>
        <w:spacing w:after="0" w:line="283"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500"/>
          </w:cols>
          <w:pgMar w:left="960" w:top="1440" w:right="4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360" w:type="dxa"/>
            <w:vAlign w:val="bottom"/>
          </w:tcPr>
          <w:p>
            <w:pPr>
              <w:ind w:left="60"/>
              <w:spacing w:after="0"/>
              <w:rPr>
                <w:sz w:val="20"/>
                <w:szCs w:val="20"/>
                <w:color w:val="auto"/>
              </w:rPr>
            </w:pPr>
            <w:r>
              <w:rPr>
                <w:rFonts w:ascii="Arial" w:cs="Arial" w:eastAsia="Arial" w:hAnsi="Arial"/>
                <w:sz w:val="18"/>
                <w:szCs w:val="18"/>
                <w:b w:val="1"/>
                <w:bCs w:val="1"/>
                <w:color w:val="auto"/>
              </w:rPr>
              <w:t>List of Subsidiaries</w:t>
            </w:r>
          </w:p>
        </w:tc>
      </w:tr>
      <w:tr>
        <w:trPr>
          <w:trHeight w:val="398"/>
        </w:trPr>
        <w:tc>
          <w:tcPr>
            <w:tcW w:w="4840" w:type="dxa"/>
            <w:vAlign w:val="bottom"/>
            <w:gridSpan w:val="2"/>
          </w:tcPr>
          <w:p>
            <w:pPr>
              <w:spacing w:after="0"/>
              <w:rPr>
                <w:sz w:val="20"/>
                <w:szCs w:val="20"/>
                <w:color w:val="auto"/>
              </w:rPr>
            </w:pPr>
            <w:r>
              <w:rPr>
                <w:rFonts w:ascii="Arial" w:cs="Arial" w:eastAsia="Arial" w:hAnsi="Arial"/>
                <w:sz w:val="18"/>
                <w:szCs w:val="18"/>
                <w:color w:val="auto"/>
                <w:w w:val="90"/>
              </w:rPr>
              <w:t>Greenidge Generation Holdings Inc.’s subsidiaries are listed below.</w:t>
            </w:r>
          </w:p>
        </w:tc>
        <w:tc>
          <w:tcPr>
            <w:tcW w:w="5360" w:type="dxa"/>
            <w:vAlign w:val="bottom"/>
          </w:tcPr>
          <w:p>
            <w:pPr>
              <w:spacing w:after="0"/>
              <w:rPr>
                <w:sz w:val="24"/>
                <w:szCs w:val="24"/>
                <w:color w:val="auto"/>
              </w:rPr>
            </w:pPr>
          </w:p>
        </w:tc>
      </w:tr>
      <w:tr>
        <w:trPr>
          <w:trHeight w:val="478"/>
        </w:trPr>
        <w:tc>
          <w:tcPr>
            <w:tcW w:w="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25"/>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Name of Subsidiary</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b w:val="1"/>
                <w:bCs w:val="1"/>
                <w:color w:val="auto"/>
                <w:w w:val="98"/>
              </w:rPr>
              <w:t>Jurisdiction of Formation</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Greenidge Generation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4"/>
              </w:rPr>
              <w:t>New York</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Lockwood Hills LLC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4"/>
              </w:rPr>
              <w:t>New York</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Greenidge Solar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Greenidge Pipeline LLC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Greenidge Pipeline Properties Corporation</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4"/>
              </w:rPr>
              <w:t>New York</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Greenidge Markets and Trading LLC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Greenidge Generation Blocker Inc.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Greenidge Generation Holdings LLC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Greenidge Secured Lending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Support.com, Inc.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Greenidge Texas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GNY Collateral Holding LLC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GNY Collateral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Greenidge British Columbia ULC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8"/>
              </w:rPr>
              <w:t>Canada</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GTX Gen 1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GTX Gen 1 Collateral Holding LLC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GTX Gen 1 Collateral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GTX Dev 1 LLC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Greenidge South Carolina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GSC Collateral Holding LLC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GSC Collateral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GSC RE LLC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5"/>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GSC DemoCo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6"/>
        </w:trPr>
        <w:tc>
          <w:tcPr>
            <w:tcW w:w="6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300 Jones Road LLC</w:t>
            </w:r>
          </w:p>
        </w:tc>
        <w:tc>
          <w:tcPr>
            <w:tcW w:w="5360" w:type="dxa"/>
            <w:vAlign w:val="bottom"/>
            <w:shd w:val="clear" w:color="auto" w:fill="CCEEFF"/>
          </w:tcPr>
          <w:p>
            <w:pPr>
              <w:jc w:val="center"/>
              <w:ind w:left="1252"/>
              <w:spacing w:after="0"/>
              <w:rPr>
                <w:sz w:val="20"/>
                <w:szCs w:val="20"/>
                <w:color w:val="auto"/>
              </w:rPr>
            </w:pPr>
            <w:r>
              <w:rPr>
                <w:rFonts w:ascii="Arial" w:cs="Arial" w:eastAsia="Arial" w:hAnsi="Arial"/>
                <w:sz w:val="18"/>
                <w:szCs w:val="18"/>
                <w:color w:val="auto"/>
                <w:w w:val="97"/>
              </w:rPr>
              <w:t>Delaware</w:t>
            </w:r>
          </w:p>
        </w:tc>
      </w:tr>
      <w:tr>
        <w:trPr>
          <w:trHeight w:val="224"/>
        </w:trPr>
        <w:tc>
          <w:tcPr>
            <w:tcW w:w="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GGHI Inactive Holdings LLC</w:t>
            </w:r>
          </w:p>
        </w:tc>
        <w:tc>
          <w:tcPr>
            <w:tcW w:w="5360" w:type="dxa"/>
            <w:vAlign w:val="bottom"/>
          </w:tcPr>
          <w:p>
            <w:pPr>
              <w:jc w:val="center"/>
              <w:ind w:left="1252"/>
              <w:spacing w:after="0"/>
              <w:rPr>
                <w:sz w:val="20"/>
                <w:szCs w:val="20"/>
                <w:color w:val="auto"/>
              </w:rPr>
            </w:pPr>
            <w:r>
              <w:rPr>
                <w:rFonts w:ascii="Arial" w:cs="Arial" w:eastAsia="Arial" w:hAnsi="Arial"/>
                <w:sz w:val="18"/>
                <w:szCs w:val="18"/>
                <w:color w:val="auto"/>
                <w:w w:val="97"/>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80" w:right="339" w:bottom="1440" w:gutter="0" w:footer="0" w:header="0"/>
        </w:sectPr>
      </w:pPr>
    </w:p>
    <w:bookmarkStart w:id="137" w:name="page138"/>
    <w:bookmarkEnd w:id="137"/>
    <w:p>
      <w:pPr>
        <w:ind w:left="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4944110</wp:posOffset>
            </wp:positionH>
            <wp:positionV relativeFrom="page">
              <wp:posOffset>501015</wp:posOffset>
            </wp:positionV>
            <wp:extent cx="1892935" cy="546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892935" cy="546735"/>
                    </a:xfrm>
                    <a:prstGeom prst="rect">
                      <a:avLst/>
                    </a:prstGeom>
                    <a:noFill/>
                  </pic:spPr>
                </pic:pic>
              </a:graphicData>
            </a:graphic>
          </wp:anchor>
        </w:drawing>
        <w:t>Armanino LLP</w:t>
      </w:r>
    </w:p>
    <w:p>
      <w:pPr>
        <w:ind w:left="20"/>
        <w:spacing w:after="0" w:line="212" w:lineRule="auto"/>
        <w:rPr>
          <w:sz w:val="20"/>
          <w:szCs w:val="20"/>
          <w:color w:val="auto"/>
        </w:rPr>
      </w:pPr>
      <w:r>
        <w:rPr>
          <w:rFonts w:ascii="Arial" w:cs="Arial" w:eastAsia="Arial" w:hAnsi="Arial"/>
          <w:sz w:val="13"/>
          <w:szCs w:val="13"/>
          <w:color w:val="auto"/>
        </w:rPr>
        <w:t>15950 N. Dallas Parkway</w:t>
      </w:r>
    </w:p>
    <w:p>
      <w:pPr>
        <w:ind w:left="20"/>
        <w:spacing w:after="0" w:line="213" w:lineRule="auto"/>
        <w:rPr>
          <w:sz w:val="20"/>
          <w:szCs w:val="20"/>
          <w:color w:val="auto"/>
        </w:rPr>
      </w:pPr>
      <w:r>
        <w:rPr>
          <w:rFonts w:ascii="Arial" w:cs="Arial" w:eastAsia="Arial" w:hAnsi="Arial"/>
          <w:sz w:val="13"/>
          <w:szCs w:val="13"/>
          <w:color w:val="auto"/>
        </w:rPr>
        <w:t>Suite 600</w:t>
      </w:r>
    </w:p>
    <w:p>
      <w:pPr>
        <w:ind w:left="20"/>
        <w:spacing w:after="0" w:line="213" w:lineRule="auto"/>
        <w:rPr>
          <w:sz w:val="20"/>
          <w:szCs w:val="20"/>
          <w:color w:val="auto"/>
        </w:rPr>
      </w:pPr>
      <w:r>
        <w:rPr>
          <w:rFonts w:ascii="Arial" w:cs="Arial" w:eastAsia="Arial" w:hAnsi="Arial"/>
          <w:sz w:val="13"/>
          <w:szCs w:val="13"/>
          <w:color w:val="auto"/>
        </w:rPr>
        <w:t>Dallas, TX 75248-6685</w:t>
      </w:r>
    </w:p>
    <w:p>
      <w:pPr>
        <w:ind w:left="20"/>
        <w:spacing w:after="0" w:line="212" w:lineRule="auto"/>
        <w:rPr>
          <w:sz w:val="20"/>
          <w:szCs w:val="20"/>
          <w:color w:val="auto"/>
        </w:rPr>
      </w:pPr>
      <w:r>
        <w:rPr>
          <w:rFonts w:ascii="Arial" w:cs="Arial" w:eastAsia="Arial" w:hAnsi="Arial"/>
          <w:sz w:val="13"/>
          <w:szCs w:val="13"/>
          <w:color w:val="auto"/>
        </w:rPr>
        <w:t>972 661 1843 main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armaninoLLP.com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00" w:lineRule="exact"/>
        <w:rPr>
          <w:sz w:val="20"/>
          <w:szCs w:val="20"/>
          <w:color w:val="auto"/>
        </w:rPr>
      </w:pPr>
    </w:p>
    <w:p>
      <w:pPr>
        <w:spacing w:after="0" w:line="280"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We hereby consent to the incorporation by reference in the Registration Statement (Nos. 333-260257 and 333-268074) on Form S-8 of our report dated March 31, 2023, relating to the consolidated financial statements of Greenidge Generation Holdings Inc. and subsidiaries, which appears in this Annual Report on Form 10-K.</w:t>
      </w:r>
    </w:p>
    <w:p>
      <w:pPr>
        <w:spacing w:after="0" w:line="386" w:lineRule="exact"/>
        <w:rPr>
          <w:sz w:val="20"/>
          <w:szCs w:val="20"/>
          <w:color w:val="auto"/>
        </w:rPr>
      </w:pPr>
    </w:p>
    <w:p>
      <w:pPr>
        <w:spacing w:after="0"/>
        <w:rPr>
          <w:sz w:val="20"/>
          <w:szCs w:val="20"/>
          <w:color w:val="auto"/>
        </w:rPr>
      </w:pPr>
      <w:r>
        <w:rPr>
          <w:rFonts w:ascii="Arial" w:cs="Arial" w:eastAsia="Arial" w:hAnsi="Arial"/>
          <w:sz w:val="21"/>
          <w:szCs w:val="21"/>
          <w:color w:val="auto"/>
        </w:rPr>
        <w:t>/s/Armanino</w:t>
      </w:r>
      <w:r>
        <w:rPr>
          <w:rFonts w:ascii="Arial" w:cs="Arial" w:eastAsia="Arial" w:hAnsi="Arial"/>
          <w:sz w:val="27"/>
          <w:szCs w:val="27"/>
          <w:color w:val="auto"/>
          <w:vertAlign w:val="superscript"/>
        </w:rPr>
        <w:t>LLP</w:t>
      </w:r>
    </w:p>
    <w:p>
      <w:pPr>
        <w:spacing w:after="0" w:line="237" w:lineRule="auto"/>
        <w:rPr>
          <w:sz w:val="20"/>
          <w:szCs w:val="20"/>
          <w:color w:val="auto"/>
        </w:rPr>
      </w:pPr>
      <w:r>
        <w:rPr>
          <w:rFonts w:ascii="Arial" w:cs="Arial" w:eastAsia="Arial" w:hAnsi="Arial"/>
          <w:sz w:val="21"/>
          <w:szCs w:val="21"/>
          <w:color w:val="auto"/>
        </w:rPr>
        <w:t>Dallas, Texas</w:t>
      </w:r>
    </w:p>
    <w:p>
      <w:pPr>
        <w:spacing w:after="0"/>
        <w:rPr>
          <w:sz w:val="20"/>
          <w:szCs w:val="20"/>
          <w:color w:val="auto"/>
        </w:rPr>
      </w:pPr>
      <w:r>
        <w:rPr>
          <w:rFonts w:ascii="Arial" w:cs="Arial" w:eastAsia="Arial" w:hAnsi="Arial"/>
          <w:sz w:val="21"/>
          <w:szCs w:val="21"/>
          <w:color w:val="auto"/>
        </w:rPr>
        <w:t>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4240530</wp:posOffset>
            </wp:positionV>
            <wp:extent cx="1051560" cy="6311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1051560" cy="631190"/>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Anderson, Chief Executive Officer of Greenidge Generation Holdings, Inc., certify that:</w:t>
      </w:r>
    </w:p>
    <w:p>
      <w:pPr>
        <w:spacing w:after="0" w:line="5" w:lineRule="exact"/>
        <w:rPr>
          <w:sz w:val="20"/>
          <w:szCs w:val="20"/>
          <w:color w:val="auto"/>
        </w:rPr>
      </w:pPr>
    </w:p>
    <w:p>
      <w:pPr>
        <w:ind w:left="640" w:hanging="634"/>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Greenidge Generation Holdings, Inc.;</w:t>
      </w:r>
    </w:p>
    <w:p>
      <w:pPr>
        <w:spacing w:after="0" w:line="5" w:lineRule="exact"/>
        <w:rPr>
          <w:rFonts w:ascii="Arial" w:cs="Arial" w:eastAsia="Arial" w:hAnsi="Arial"/>
          <w:sz w:val="18"/>
          <w:szCs w:val="18"/>
          <w:color w:val="auto"/>
        </w:rPr>
      </w:pPr>
    </w:p>
    <w:p>
      <w:pPr>
        <w:ind w:left="640" w:right="20" w:hanging="634"/>
        <w:spacing w:after="0" w:line="245" w:lineRule="auto"/>
        <w:tabs>
          <w:tab w:leader="none" w:pos="6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640" w:right="60" w:hanging="634"/>
        <w:spacing w:after="0" w:line="260" w:lineRule="auto"/>
        <w:tabs>
          <w:tab w:leader="none" w:pos="641"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40" w:right="120" w:hanging="634"/>
        <w:spacing w:after="0" w:line="245" w:lineRule="auto"/>
        <w:tabs>
          <w:tab w:leader="none" w:pos="6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financial reporting (as defined in Exchange Act Rules 13a-15(f) and 15d-15(f))for the registrant and have:</w:t>
      </w:r>
    </w:p>
    <w:p>
      <w:pPr>
        <w:spacing w:after="0" w:line="5" w:lineRule="exact"/>
        <w:rPr>
          <w:rFonts w:ascii="Arial" w:cs="Arial" w:eastAsia="Arial" w:hAnsi="Arial"/>
          <w:sz w:val="18"/>
          <w:szCs w:val="18"/>
          <w:color w:val="auto"/>
        </w:rPr>
      </w:pPr>
    </w:p>
    <w:p>
      <w:pPr>
        <w:ind w:left="1280" w:right="200" w:hanging="638"/>
        <w:spacing w:after="0" w:line="245" w:lineRule="auto"/>
        <w:tabs>
          <w:tab w:leader="none" w:pos="1297"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280" w:right="2060" w:hanging="638"/>
        <w:spacing w:after="0" w:line="238" w:lineRule="auto"/>
        <w:tabs>
          <w:tab w:leader="none" w:pos="1284"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80" w:right="120" w:hanging="638"/>
        <w:spacing w:after="0" w:line="245"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ind w:left="1280" w:right="280" w:hanging="638"/>
        <w:spacing w:after="0" w:line="245" w:lineRule="auto"/>
        <w:tabs>
          <w:tab w:leader="none" w:pos="1284"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640" w:right="40" w:hanging="634"/>
        <w:spacing w:after="0" w:line="245" w:lineRule="auto"/>
        <w:tabs>
          <w:tab w:leader="none" w:pos="6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1280" w:right="120" w:hanging="638"/>
        <w:spacing w:after="0" w:line="245" w:lineRule="auto"/>
        <w:tabs>
          <w:tab w:leader="none" w:pos="129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280" w:right="60" w:hanging="638"/>
        <w:spacing w:after="0" w:line="251" w:lineRule="auto"/>
        <w:tabs>
          <w:tab w:leader="none" w:pos="1284"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1360" w:val="left"/>
          <w:tab w:leader="none" w:pos="7020" w:val="left"/>
          <w:tab w:leader="none" w:pos="8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3810</wp:posOffset>
            </wp:positionV>
            <wp:extent cx="23812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238125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3810</wp:posOffset>
            </wp:positionV>
            <wp:extent cx="1985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jc w:val="center"/>
        <w:ind w:left="7480"/>
        <w:spacing w:after="0"/>
        <w:rPr>
          <w:sz w:val="20"/>
          <w:szCs w:val="20"/>
          <w:color w:val="auto"/>
        </w:rPr>
      </w:pPr>
      <w:r>
        <w:rPr>
          <w:rFonts w:ascii="Arial" w:cs="Arial" w:eastAsia="Arial" w:hAnsi="Arial"/>
          <w:sz w:val="18"/>
          <w:szCs w:val="18"/>
          <w:b w:val="1"/>
          <w:bCs w:val="1"/>
          <w:color w:val="auto"/>
        </w:rPr>
        <w:t>David Anderson</w:t>
      </w:r>
    </w:p>
    <w:p>
      <w:pPr>
        <w:spacing w:after="0" w:line="27" w:lineRule="exact"/>
        <w:rPr>
          <w:sz w:val="20"/>
          <w:szCs w:val="20"/>
          <w:color w:val="auto"/>
        </w:rPr>
      </w:pPr>
    </w:p>
    <w:p>
      <w:pPr>
        <w:jc w:val="center"/>
        <w:ind w:left="74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30"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Robert Loughran, Chief Financial Officer of Greenidge Generation Holdings, Inc., certify that:</w:t>
      </w:r>
    </w:p>
    <w:p>
      <w:pPr>
        <w:spacing w:after="0" w:line="5" w:lineRule="exact"/>
        <w:rPr>
          <w:sz w:val="20"/>
          <w:szCs w:val="20"/>
          <w:color w:val="auto"/>
        </w:rPr>
      </w:pPr>
    </w:p>
    <w:p>
      <w:pPr>
        <w:ind w:left="640" w:hanging="634"/>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Greenidge Generation Holdings, Inc.;</w:t>
      </w:r>
    </w:p>
    <w:p>
      <w:pPr>
        <w:spacing w:after="0" w:line="5" w:lineRule="exact"/>
        <w:rPr>
          <w:rFonts w:ascii="Arial" w:cs="Arial" w:eastAsia="Arial" w:hAnsi="Arial"/>
          <w:sz w:val="18"/>
          <w:szCs w:val="18"/>
          <w:color w:val="auto"/>
        </w:rPr>
      </w:pPr>
    </w:p>
    <w:p>
      <w:pPr>
        <w:ind w:left="640" w:right="20" w:hanging="634"/>
        <w:spacing w:after="0" w:line="245" w:lineRule="auto"/>
        <w:tabs>
          <w:tab w:leader="none" w:pos="6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640" w:right="60" w:hanging="634"/>
        <w:spacing w:after="0" w:line="260" w:lineRule="auto"/>
        <w:tabs>
          <w:tab w:leader="none" w:pos="641"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40" w:right="120" w:hanging="634"/>
        <w:spacing w:after="0" w:line="245" w:lineRule="auto"/>
        <w:tabs>
          <w:tab w:leader="none" w:pos="6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w:t>
      </w:r>
    </w:p>
    <w:p>
      <w:pPr>
        <w:spacing w:after="0" w:line="1" w:lineRule="exact"/>
        <w:rPr>
          <w:rFonts w:ascii="Arial" w:cs="Arial" w:eastAsia="Arial" w:hAnsi="Arial"/>
          <w:sz w:val="18"/>
          <w:szCs w:val="18"/>
          <w:color w:val="auto"/>
        </w:rPr>
      </w:pPr>
    </w:p>
    <w:p>
      <w:pPr>
        <w:ind w:left="640"/>
        <w:spacing w:after="0" w:line="230" w:lineRule="auto"/>
        <w:rPr>
          <w:rFonts w:ascii="Arial" w:cs="Arial" w:eastAsia="Arial" w:hAnsi="Arial"/>
          <w:sz w:val="18"/>
          <w:szCs w:val="18"/>
          <w:color w:val="auto"/>
        </w:rPr>
      </w:pPr>
      <w:r>
        <w:rPr>
          <w:rFonts w:ascii="Arial" w:cs="Arial" w:eastAsia="Arial" w:hAnsi="Arial"/>
          <w:sz w:val="18"/>
          <w:szCs w:val="18"/>
          <w:color w:val="auto"/>
        </w:rPr>
        <w:t>financial reporting (as defined in Exchange Act Rules 13a-15(f) and 15d-15(f))for the registrant and have:</w:t>
      </w:r>
    </w:p>
    <w:p>
      <w:pPr>
        <w:ind w:left="1280" w:right="200" w:hanging="638"/>
        <w:spacing w:after="0" w:line="245" w:lineRule="auto"/>
        <w:tabs>
          <w:tab w:leader="none" w:pos="1297"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280" w:right="200" w:hanging="638"/>
        <w:spacing w:after="0" w:line="245" w:lineRule="auto"/>
        <w:tabs>
          <w:tab w:leader="none" w:pos="1284"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w:t>
      </w:r>
    </w:p>
    <w:p>
      <w:pPr>
        <w:spacing w:after="0" w:line="1" w:lineRule="exact"/>
        <w:rPr>
          <w:rFonts w:ascii="Arial" w:cs="Arial" w:eastAsia="Arial" w:hAnsi="Arial"/>
          <w:sz w:val="18"/>
          <w:szCs w:val="18"/>
          <w:color w:val="auto"/>
        </w:rPr>
      </w:pPr>
    </w:p>
    <w:p>
      <w:pPr>
        <w:ind w:left="1280" w:right="2060"/>
        <w:spacing w:after="0" w:line="238" w:lineRule="auto"/>
        <w:rPr>
          <w:rFonts w:ascii="Arial" w:cs="Arial" w:eastAsia="Arial" w:hAnsi="Arial"/>
          <w:sz w:val="18"/>
          <w:szCs w:val="18"/>
          <w:color w:val="auto"/>
        </w:rPr>
      </w:pPr>
      <w:r>
        <w:rPr>
          <w:rFonts w:ascii="Arial" w:cs="Arial" w:eastAsia="Arial" w:hAnsi="Arial"/>
          <w:sz w:val="18"/>
          <w:szCs w:val="18"/>
          <w:color w:val="auto"/>
        </w:rPr>
        <w:t>the reliability of financial reporting and the preparation of financial statements for external purposes in accordance with generally accepted accounting principles;</w:t>
      </w:r>
    </w:p>
    <w:p>
      <w:pPr>
        <w:ind w:left="1280" w:right="120" w:hanging="638"/>
        <w:spacing w:after="0" w:line="245"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ind w:left="1280" w:right="280" w:hanging="638"/>
        <w:spacing w:after="0" w:line="245" w:lineRule="auto"/>
        <w:tabs>
          <w:tab w:leader="none" w:pos="1284"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640" w:right="40" w:hanging="634"/>
        <w:spacing w:after="0" w:line="245" w:lineRule="auto"/>
        <w:tabs>
          <w:tab w:leader="none" w:pos="6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1280" w:right="120" w:hanging="638"/>
        <w:spacing w:after="0" w:line="245" w:lineRule="auto"/>
        <w:tabs>
          <w:tab w:leader="none" w:pos="1297"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280" w:right="60" w:hanging="638"/>
        <w:spacing w:after="0" w:line="251" w:lineRule="auto"/>
        <w:tabs>
          <w:tab w:leader="none" w:pos="128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1360" w:val="left"/>
          <w:tab w:leader="none" w:pos="7020" w:val="left"/>
          <w:tab w:leader="none" w:pos="8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3810</wp:posOffset>
            </wp:positionV>
            <wp:extent cx="23812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238125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3810</wp:posOffset>
            </wp:positionV>
            <wp:extent cx="1985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jc w:val="center"/>
        <w:ind w:left="7480"/>
        <w:spacing w:after="0"/>
        <w:rPr>
          <w:sz w:val="20"/>
          <w:szCs w:val="20"/>
          <w:color w:val="auto"/>
        </w:rPr>
      </w:pPr>
      <w:r>
        <w:rPr>
          <w:rFonts w:ascii="Arial" w:cs="Arial" w:eastAsia="Arial" w:hAnsi="Arial"/>
          <w:sz w:val="18"/>
          <w:szCs w:val="18"/>
          <w:b w:val="1"/>
          <w:bCs w:val="1"/>
          <w:color w:val="auto"/>
        </w:rPr>
        <w:t>Robert Loughran</w:t>
      </w:r>
    </w:p>
    <w:p>
      <w:pPr>
        <w:spacing w:after="0" w:line="27" w:lineRule="exact"/>
        <w:rPr>
          <w:sz w:val="20"/>
          <w:szCs w:val="20"/>
          <w:color w:val="auto"/>
        </w:rPr>
      </w:pPr>
    </w:p>
    <w:p>
      <w:pPr>
        <w:jc w:val="center"/>
        <w:ind w:left="74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30"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11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CERTIFICATION PURSUANT TO</w:t>
      </w:r>
    </w:p>
    <w:p>
      <w:pPr>
        <w:spacing w:after="0" w:line="1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80" w:firstLine="636"/>
        <w:spacing w:after="0" w:line="245" w:lineRule="auto"/>
        <w:rPr>
          <w:sz w:val="20"/>
          <w:szCs w:val="20"/>
          <w:color w:val="auto"/>
        </w:rPr>
      </w:pPr>
      <w:r>
        <w:rPr>
          <w:rFonts w:ascii="Arial" w:cs="Arial" w:eastAsia="Arial" w:hAnsi="Arial"/>
          <w:sz w:val="18"/>
          <w:szCs w:val="18"/>
          <w:color w:val="auto"/>
        </w:rPr>
        <w:t>In connection with the annual report of Greenidge Generation Holdings, Inc. (the “Company”) on Form 10-K for the period ended December 31, 2022, as filed with the Securities and Exchange Commission on the date hereof (the “Report”), I, David Anderson, Chief Executive Officer of the Company, certify, pursuant to Rule 13a-14(b) or Rule 15d-14(b) of the Securities Exchange Act of 1934 (the “Exchange Act”) and Section 1350 of Chapter 63 of Title 18</w:t>
      </w:r>
    </w:p>
    <w:p>
      <w:pPr>
        <w:spacing w:after="0" w:line="3" w:lineRule="exact"/>
        <w:rPr>
          <w:sz w:val="20"/>
          <w:szCs w:val="20"/>
          <w:color w:val="auto"/>
        </w:rPr>
      </w:pPr>
    </w:p>
    <w:p>
      <w:pPr>
        <w:ind w:right="2060"/>
        <w:spacing w:after="0" w:line="238" w:lineRule="auto"/>
        <w:rPr>
          <w:sz w:val="20"/>
          <w:szCs w:val="20"/>
          <w:color w:val="auto"/>
        </w:rPr>
      </w:pPr>
      <w:r>
        <w:rPr>
          <w:rFonts w:ascii="Arial" w:cs="Arial" w:eastAsia="Arial" w:hAnsi="Arial"/>
          <w:sz w:val="18"/>
          <w:szCs w:val="18"/>
          <w:color w:val="auto"/>
        </w:rPr>
        <w:t>of the United States Code, as adopted pursuant to Section 906 of the Sarbanes-Oxley Act of 2002, that, to the best of my knowledge:</w:t>
      </w:r>
    </w:p>
    <w:p>
      <w:pPr>
        <w:ind w:left="1300" w:hanging="658"/>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5" w:lineRule="exact"/>
        <w:rPr>
          <w:rFonts w:ascii="Arial" w:cs="Arial" w:eastAsia="Arial" w:hAnsi="Arial"/>
          <w:sz w:val="18"/>
          <w:szCs w:val="18"/>
          <w:color w:val="auto"/>
        </w:rPr>
      </w:pPr>
    </w:p>
    <w:p>
      <w:pPr>
        <w:ind w:left="1280" w:right="60" w:hanging="638"/>
        <w:spacing w:after="0" w:line="251" w:lineRule="auto"/>
        <w:tabs>
          <w:tab w:leader="none" w:pos="129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20"/>
        <w:spacing w:after="0"/>
        <w:tabs>
          <w:tab w:leader="none" w:pos="1360" w:val="left"/>
          <w:tab w:leader="none" w:pos="7020" w:val="left"/>
          <w:tab w:leader="none" w:pos="8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3810</wp:posOffset>
            </wp:positionV>
            <wp:extent cx="23812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238125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3810</wp:posOffset>
            </wp:positionV>
            <wp:extent cx="19856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jc w:val="center"/>
        <w:ind w:left="7480"/>
        <w:spacing w:after="0"/>
        <w:rPr>
          <w:sz w:val="20"/>
          <w:szCs w:val="20"/>
          <w:color w:val="auto"/>
        </w:rPr>
      </w:pPr>
      <w:r>
        <w:rPr>
          <w:rFonts w:ascii="Arial" w:cs="Arial" w:eastAsia="Arial" w:hAnsi="Arial"/>
          <w:sz w:val="18"/>
          <w:szCs w:val="18"/>
          <w:b w:val="1"/>
          <w:bCs w:val="1"/>
          <w:color w:val="auto"/>
        </w:rPr>
        <w:t>David Anderson</w:t>
      </w:r>
    </w:p>
    <w:p>
      <w:pPr>
        <w:spacing w:after="0" w:line="27" w:lineRule="exact"/>
        <w:rPr>
          <w:sz w:val="20"/>
          <w:szCs w:val="20"/>
          <w:color w:val="auto"/>
        </w:rPr>
      </w:pPr>
    </w:p>
    <w:p>
      <w:pPr>
        <w:jc w:val="center"/>
        <w:ind w:left="74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30"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600" w:firstLine="636"/>
        <w:spacing w:after="0" w:line="245" w:lineRule="auto"/>
        <w:rPr>
          <w:sz w:val="20"/>
          <w:szCs w:val="20"/>
          <w:color w:val="auto"/>
        </w:rPr>
      </w:pPr>
      <w:r>
        <w:rPr>
          <w:rFonts w:ascii="Arial" w:cs="Arial" w:eastAsia="Arial" w:hAnsi="Arial"/>
          <w:sz w:val="18"/>
          <w:szCs w:val="18"/>
          <w:color w:val="auto"/>
        </w:rPr>
        <w:t>In connection with the annual report of Greenidge Generation Holdings, Inc. (the “Company”) on Form 10-K for the period ended December 31, 2022 as filed with the Securities and Exchange Commission on the date hereof (the “Report”), I, Robert Loughran, Chief Financial Officer of the Company, certify, pursuant to Rule 13a-14(b)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Rule 15d-14(b) of the Securities Exchange Act of 1934 (the “Exchange Act”) and Section 1350 of Chapter 63 of Title 18</w:t>
      </w:r>
    </w:p>
    <w:p>
      <w:pPr>
        <w:spacing w:after="0" w:line="236" w:lineRule="auto"/>
        <w:rPr>
          <w:sz w:val="20"/>
          <w:szCs w:val="20"/>
          <w:color w:val="auto"/>
        </w:rPr>
      </w:pPr>
      <w:r>
        <w:rPr>
          <w:rFonts w:ascii="Arial" w:cs="Arial" w:eastAsia="Arial" w:hAnsi="Arial"/>
          <w:sz w:val="18"/>
          <w:szCs w:val="18"/>
          <w:color w:val="auto"/>
        </w:rPr>
        <w:t>of the United States Code, as adopted pursuant to Section 906 of the Sarbanes-Oxley Act of 2002, that, to the best of my knowledge:</w:t>
      </w:r>
    </w:p>
    <w:p>
      <w:pPr>
        <w:ind w:left="1300" w:hanging="658"/>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5" w:lineRule="exact"/>
        <w:rPr>
          <w:rFonts w:ascii="Arial" w:cs="Arial" w:eastAsia="Arial" w:hAnsi="Arial"/>
          <w:sz w:val="18"/>
          <w:szCs w:val="18"/>
          <w:color w:val="auto"/>
        </w:rPr>
      </w:pPr>
    </w:p>
    <w:p>
      <w:pPr>
        <w:ind w:left="1280" w:right="60" w:hanging="638"/>
        <w:spacing w:after="0" w:line="251" w:lineRule="auto"/>
        <w:tabs>
          <w:tab w:leader="none" w:pos="129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20"/>
        <w:spacing w:after="0"/>
        <w:tabs>
          <w:tab w:leader="none" w:pos="1360" w:val="left"/>
          <w:tab w:leader="none" w:pos="7020" w:val="left"/>
          <w:tab w:leader="none" w:pos="8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3810</wp:posOffset>
            </wp:positionV>
            <wp:extent cx="23812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238125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3810</wp:posOffset>
            </wp:positionV>
            <wp:extent cx="19856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jc w:val="center"/>
        <w:ind w:left="7480"/>
        <w:spacing w:after="0"/>
        <w:rPr>
          <w:sz w:val="20"/>
          <w:szCs w:val="20"/>
          <w:color w:val="auto"/>
        </w:rPr>
      </w:pPr>
      <w:r>
        <w:rPr>
          <w:rFonts w:ascii="Arial" w:cs="Arial" w:eastAsia="Arial" w:hAnsi="Arial"/>
          <w:sz w:val="18"/>
          <w:szCs w:val="18"/>
          <w:b w:val="1"/>
          <w:bCs w:val="1"/>
          <w:color w:val="auto"/>
        </w:rPr>
        <w:t>Robert Loughran</w:t>
      </w:r>
    </w:p>
    <w:p>
      <w:pPr>
        <w:spacing w:after="0" w:line="27" w:lineRule="exact"/>
        <w:rPr>
          <w:sz w:val="20"/>
          <w:szCs w:val="20"/>
          <w:color w:val="auto"/>
        </w:rPr>
      </w:pPr>
    </w:p>
    <w:p>
      <w:pPr>
        <w:jc w:val="center"/>
        <w:ind w:left="74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1)"/>
      <w:numFmt w:val="lowerLetter"/>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decimal"/>
      <w:start w:val="2"/>
    </w:lvl>
  </w:abstractNum>
  <w:abstractNum w:abstractNumId="36">
    <w:nsid w:val="649BB77C"/>
    <w:multiLevelType w:val="hybridMultilevel"/>
    <w:lvl w:ilvl="0">
      <w:lvlJc w:val="left"/>
      <w:lvlText w:val="*"/>
      <w:numFmt w:val="bullet"/>
      <w:start w:val="1"/>
    </w:lvl>
    <w:lvl w:ilvl="1">
      <w:lvlJc w:val="left"/>
      <w:lvlText w:val="(%2)"/>
      <w:numFmt w:val="decimal"/>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decimal"/>
      <w:start w:val="2"/>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1."/>
      <w:numFmt w:val="decimal"/>
      <w:start w:val="7"/>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decimal"/>
      <w:start w:val="9"/>
    </w:lvl>
  </w:abstractNum>
  <w:abstractNum w:abstractNumId="53">
    <w:nsid w:val="310C50B3"/>
    <w:multiLevelType w:val="hybridMultilevel"/>
    <w:lvl w:ilvl="0">
      <w:lvlJc w:val="left"/>
      <w:lvlText w:val="%1."/>
      <w:numFmt w:val="decimal"/>
      <w:start w:val="11"/>
    </w:lvl>
  </w:abstractNum>
  <w:abstractNum w:abstractNumId="54">
    <w:nsid w:val="5FF87E05"/>
    <w:multiLevelType w:val="hybridMultilevel"/>
    <w:lvl w:ilvl="0">
      <w:lvlJc w:val="left"/>
      <w:lvlText w:val="(%1)"/>
      <w:numFmt w:val="lowerRoman"/>
      <w:start w:val="2"/>
    </w:lvl>
  </w:abstractNum>
  <w:abstractNum w:abstractNumId="55">
    <w:nsid w:val="2F305DEF"/>
    <w:multiLevelType w:val="hybridMultilevel"/>
    <w:lvl w:ilvl="0">
      <w:lvlJc w:val="left"/>
      <w:lvlText w:val="%1."/>
      <w:numFmt w:val="decimal"/>
      <w:start w:val="1"/>
    </w:lvl>
    <w:lvl w:ilvl="1">
      <w:lvlJc w:val="left"/>
      <w:lvlText w:val="(%2)"/>
      <w:numFmt w:val="lowerLetter"/>
      <w:start w:val="1"/>
    </w:lvl>
  </w:abstractNum>
  <w:abstractNum w:abstractNumId="56">
    <w:nsid w:val="25A70BF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7">
    <w:nsid w:val="1DBABF0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58">
    <w:nsid w:val="4AD084E9"/>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59">
    <w:nsid w:val="1F48EAA1"/>
    <w:multiLevelType w:val="hybridMultilevel"/>
    <w:lvl w:ilvl="0">
      <w:lvlJc w:val="left"/>
      <w:lvlText w:val="%1."/>
      <w:numFmt w:val="decimal"/>
      <w:start w:val="3"/>
    </w:lvl>
    <w:lvl w:ilvl="1">
      <w:lvlJc w:val="left"/>
      <w:lvlText w:val="(%2)"/>
      <w:numFmt w:val="lowerLetter"/>
      <w:start w:val="1"/>
    </w:lvl>
  </w:abstractNum>
  <w:abstractNum w:abstractNumId="60">
    <w:nsid w:val="1381823A"/>
    <w:multiLevelType w:val="hybridMultilevel"/>
    <w:lvl w:ilvl="0">
      <w:lvlJc w:val="left"/>
      <w:lvlText w:val="(%1)"/>
      <w:numFmt w:val="lowerLetter"/>
      <w:start w:val="61"/>
    </w:lvl>
    <w:lvl w:ilvl="1">
      <w:lvlJc w:val="left"/>
      <w:lvlText w:val="(%2)"/>
      <w:numFmt w:val="lowerLetter"/>
      <w:start w:val="2"/>
    </w:lvl>
  </w:abstractNum>
  <w:abstractNum w:abstractNumId="61">
    <w:nsid w:val="5DB70AE5"/>
    <w:multiLevelType w:val="hybridMultilevel"/>
    <w:lvl w:ilvl="0">
      <w:lvlJc w:val="left"/>
      <w:lvlText w:val="%1."/>
      <w:numFmt w:val="decimal"/>
      <w:start w:val="7"/>
    </w:lvl>
    <w:lvl w:ilvl="1">
      <w:lvlJc w:val="left"/>
      <w:lvlText w:val="(%2)"/>
      <w:numFmt w:val="lowerLetter"/>
      <w:start w:val="1"/>
    </w:lvl>
  </w:abstractNum>
  <w:abstractNum w:abstractNumId="62">
    <w:nsid w:val="100F8FCA"/>
    <w:multiLevelType w:val="hybridMultilevel"/>
    <w:lvl w:ilvl="0">
      <w:lvlJc w:val="left"/>
      <w:lvlText w:val="%1"/>
      <w:numFmt w:val="decimal"/>
      <w:start w:val="1"/>
    </w:lvl>
    <w:lvl w:ilvl="1">
      <w:lvlJc w:val="left"/>
      <w:lvlText w:val="(%2)"/>
      <w:numFmt w:val="lowerLetter"/>
      <w:start w:val="3"/>
    </w:lvl>
  </w:abstractNum>
  <w:abstractNum w:abstractNumId="63">
    <w:nsid w:val="6590700B"/>
    <w:multiLevelType w:val="hybridMultilevel"/>
    <w:lvl w:ilvl="0">
      <w:lvlJc w:val="left"/>
      <w:lvlText w:val="%1."/>
      <w:numFmt w:val="decimal"/>
      <w:start w:val="9"/>
    </w:lvl>
    <w:lvl w:ilvl="1">
      <w:lvlJc w:val="left"/>
      <w:lvlText w:val="(%2)"/>
      <w:numFmt w:val="lowerLetter"/>
      <w:start w:val="1"/>
    </w:lvl>
  </w:abstractNum>
  <w:abstractNum w:abstractNumId="64">
    <w:nsid w:val="15014AC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65">
    <w:nsid w:val="5F5E7FD0"/>
    <w:multiLevelType w:val="hybridMultilevel"/>
    <w:lvl w:ilvl="0">
      <w:lvlJc w:val="left"/>
      <w:lvlText w:val="(%1)"/>
      <w:numFmt w:val="upperLetter"/>
      <w:start w:val="2"/>
    </w:lvl>
    <w:lvl w:ilvl="1">
      <w:lvlJc w:val="left"/>
      <w:lvlText w:val="%2."/>
      <w:numFmt w:val="decimal"/>
      <w:start w:val="9"/>
    </w:lvl>
    <w:lvl w:ilvl="2">
      <w:lvlJc w:val="left"/>
      <w:lvlText w:val="(%3)"/>
      <w:numFmt w:val="lowerLetter"/>
      <w:start w:val="3"/>
    </w:lvl>
  </w:abstractNum>
  <w:abstractNum w:abstractNumId="66">
    <w:nsid w:val="98A3148"/>
    <w:multiLevelType w:val="hybridMultilevel"/>
    <w:lvl w:ilvl="0">
      <w:lvlJc w:val="left"/>
      <w:lvlText w:val="(%1)"/>
      <w:numFmt w:val="lowerLetter"/>
      <w:start w:val="4"/>
    </w:lvl>
  </w:abstractNum>
  <w:abstractNum w:abstractNumId="67">
    <w:nsid w:val="799D0247"/>
    <w:multiLevelType w:val="hybridMultilevel"/>
    <w:lvl w:ilvl="0">
      <w:lvlJc w:val="left"/>
      <w:lvlText w:val="%1."/>
      <w:numFmt w:val="decimal"/>
      <w:start w:val="11"/>
    </w:lvl>
    <w:lvl w:ilvl="1">
      <w:lvlJc w:val="left"/>
      <w:lvlText w:val="(%2)"/>
      <w:numFmt w:val="lowerLetter"/>
      <w:start w:val="1"/>
    </w:lvl>
  </w:abstractNum>
  <w:abstractNum w:abstractNumId="68">
    <w:nsid w:val="6B94764"/>
    <w:multiLevelType w:val="hybridMultilevel"/>
    <w:lvl w:ilvl="0">
      <w:lvlJc w:val="left"/>
      <w:lvlText w:val="(%1)"/>
      <w:numFmt w:val="lowerLetter"/>
      <w:start w:val="3"/>
    </w:lvl>
  </w:abstractNum>
  <w:abstractNum w:abstractNumId="69">
    <w:nsid w:val="42C296BD"/>
    <w:multiLevelType w:val="hybridMultilevel"/>
    <w:lvl w:ilvl="0">
      <w:lvlJc w:val="left"/>
      <w:lvlText w:val="(%1)"/>
      <w:numFmt w:val="lowerLetter"/>
      <w:start w:val="7"/>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jpeg"/><Relationship Id="rId182" Type="http://schemas.openxmlformats.org/officeDocument/2006/relationships/image" Target="media/image138.jpe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96" Type="http://schemas.openxmlformats.org/officeDocument/2006/relationships/hyperlink" Target="https://www.sec.gov/Archives/edgar/data/1844971/000119312521149057/d166032ds4.htm" TargetMode="External"/><Relationship Id="rId97" Type="http://schemas.openxmlformats.org/officeDocument/2006/relationships/hyperlink" Target="http://www.sec.gov/Archives/edgar/data/1844971/000094787122001118/ss1462961_ex0301.htm" TargetMode="External"/><Relationship Id="rId98" Type="http://schemas.openxmlformats.org/officeDocument/2006/relationships/hyperlink" Target="http://www.sec.gov/Archives/edgar/data/1844971/000119312521217543/d166032dex32.htm" TargetMode="External"/><Relationship Id="rId99" Type="http://schemas.openxmlformats.org/officeDocument/2006/relationships/hyperlink" Target="https://www.sec.gov/Archives/edgar/data/1844971/000119312521297840/d207492dex41.htm" TargetMode="External"/><Relationship Id="rId100" Type="http://schemas.openxmlformats.org/officeDocument/2006/relationships/hyperlink" Target="https://www.sec.gov/Archives/edgar/data/1844971/000119312521297840/d207492dex42.htm" TargetMode="External"/><Relationship Id="rId101" Type="http://schemas.openxmlformats.org/officeDocument/2006/relationships/hyperlink" Target="https://www.sec.gov/Archives/edgar/data/1844971/000095017021004487/gree-ex4_4.htm" TargetMode="External"/><Relationship Id="rId102" Type="http://schemas.openxmlformats.org/officeDocument/2006/relationships/hyperlink" Target="https://www.sec.gov/Archives/edgar/data/1844971/000119312521149057/d166032dex41.htm" TargetMode="External"/><Relationship Id="rId103" Type="http://schemas.openxmlformats.org/officeDocument/2006/relationships/hyperlink" Target="https://www.sec.gov/Archives/edgar/data/1844971/000119312521149057/d166032dex42.htm" TargetMode="External"/><Relationship Id="rId104" Type="http://schemas.openxmlformats.org/officeDocument/2006/relationships/hyperlink" Target="https://www.sec.gov/Archives/edgar/data/1844971/000119312521263306/d132360dex44.htm" TargetMode="External"/><Relationship Id="rId105" Type="http://schemas.openxmlformats.org/officeDocument/2006/relationships/hyperlink" Target="https://www.sec.gov/Archives/edgar/data/1844971/000119312521271901/d132360dex45.htm" TargetMode="External"/><Relationship Id="rId106" Type="http://schemas.openxmlformats.org/officeDocument/2006/relationships/hyperlink" Target="https://www.sec.gov/Archives/edgar/data/1844971/000119312521149057/d166032dex31.htm" TargetMode="External"/><Relationship Id="rId107" Type="http://schemas.openxmlformats.org/officeDocument/2006/relationships/hyperlink" Target="https://www.sec.gov/Archives/edgar/data/1844971/000119312521344458/d253482dex108.htm" TargetMode="External"/><Relationship Id="rId108" Type="http://schemas.openxmlformats.org/officeDocument/2006/relationships/hyperlink" Target="https://www.sec.gov/Archives/edgar/data/1844971/000119312521271901/d132360dex101.htm" TargetMode="External"/><Relationship Id="rId109" Type="http://schemas.openxmlformats.org/officeDocument/2006/relationships/hyperlink" Target="https://www.sec.gov/Archives/edgar/data/1844971/000119312521149057/d166032dex102.htm" TargetMode="External"/><Relationship Id="rId110" Type="http://schemas.openxmlformats.org/officeDocument/2006/relationships/hyperlink" Target="https://www.sec.gov/Archives/edgar/data/1844971/000119312521149057/d166032dex103.htm" TargetMode="External"/><Relationship Id="rId111" Type="http://schemas.openxmlformats.org/officeDocument/2006/relationships/hyperlink" Target="https://www.sec.gov/Archives/edgar/data/1844971/000095017021004487/gree-ex10_7.htm" TargetMode="External"/><Relationship Id="rId112" Type="http://schemas.openxmlformats.org/officeDocument/2006/relationships/hyperlink" Target="https://www.sec.gov/Archives/edgar/data/1844971/000095017021004487/gree-ex10_3.htm" TargetMode="External"/><Relationship Id="rId113" Type="http://schemas.openxmlformats.org/officeDocument/2006/relationships/hyperlink" Target="https://www.sec.gov/Archives/edgar/data/1844971/000119312521200431/d166032dex107.htm" TargetMode="External"/><Relationship Id="rId114" Type="http://schemas.openxmlformats.org/officeDocument/2006/relationships/hyperlink" Target="https://www.sec.gov/Archives/edgar/data/1844971/000119312521273530/d226437dex101.htm" TargetMode="External"/><Relationship Id="rId115" Type="http://schemas.openxmlformats.org/officeDocument/2006/relationships/hyperlink" Target="https://www.sec.gov/Archives/edgar/data/1844971/000095017021004487/gree-ex10_6.htm" TargetMode="External"/><Relationship Id="rId118" Type="http://schemas.openxmlformats.org/officeDocument/2006/relationships/hyperlink" Target="http://www.sec.gov/Archives/edgar/data/1844971/000095017022005214/gree-ex10_12.htm" TargetMode="External"/><Relationship Id="rId119" Type="http://schemas.openxmlformats.org/officeDocument/2006/relationships/hyperlink" Target="http://www.sec.gov/Archives/edgar/data/1844971/000095017022005214/gree-ex10_14.htm" TargetMode="External"/><Relationship Id="rId120" Type="http://schemas.openxmlformats.org/officeDocument/2006/relationships/hyperlink" Target="https://www.sec.gov/Archives/edgar/data/1844971/000119312522084017/d340294dex101.htm" TargetMode="External"/><Relationship Id="rId121" Type="http://schemas.openxmlformats.org/officeDocument/2006/relationships/hyperlink" Target="https://www.sec.gov/Archives/edgar/data/1844971/000119312522084017/d340294dex102.htm" TargetMode="External"/><Relationship Id="rId122" Type="http://schemas.openxmlformats.org/officeDocument/2006/relationships/hyperlink" Target="http://www.sec.gov/Archives/edgar/data/1844971/000119312522099511/d305185dex101.htm" TargetMode="External"/><Relationship Id="rId123" Type="http://schemas.openxmlformats.org/officeDocument/2006/relationships/hyperlink" Target="http://www.sec.gov/Archives/edgar/data/1844971/000119312522099511/d305185dex102.htm" TargetMode="External"/><Relationship Id="rId124" Type="http://schemas.openxmlformats.org/officeDocument/2006/relationships/hyperlink" Target="http://www.sec.gov/Archives/edgar/data/1844971/000119312522105679/d322201dex101.htm" TargetMode="External"/><Relationship Id="rId125" Type="http://schemas.openxmlformats.org/officeDocument/2006/relationships/hyperlink" Target="http://www.sec.gov/Archives/edgar/data/1844971/000095017022017424/gree-ex10_6.htm" TargetMode="External"/><Relationship Id="rId126" Type="http://schemas.openxmlformats.org/officeDocument/2006/relationships/hyperlink" Target="http://www.sec.gov/Archives/edgar/data/1844971/000095017022017424/gree-ex10_7.htm" TargetMode="External"/><Relationship Id="rId127" Type="http://schemas.openxmlformats.org/officeDocument/2006/relationships/hyperlink" Target="http://www.sec.gov/Archives/edgar/data/1844971/000119312522247179/d397978dex11.htm" TargetMode="External"/><Relationship Id="rId128" Type="http://schemas.openxmlformats.org/officeDocument/2006/relationships/hyperlink" Target="http://www.sec.gov/Archives/edgar/data/1844971/000119312522256918/d258070dex101.htm" TargetMode="External"/><Relationship Id="rId129" Type="http://schemas.openxmlformats.org/officeDocument/2006/relationships/hyperlink" Target="http://www.sec.gov/Archives/edgar/data/1844971/000162828023001779/exhibit101_greex2023x01x30.htm" TargetMode="External"/><Relationship Id="rId130" Type="http://schemas.openxmlformats.org/officeDocument/2006/relationships/hyperlink" Target="http://www.sec.gov/Archives/edgar/data/1844971/000162828023001779/exhibit102_greex2023x01x30.htm" TargetMode="External"/><Relationship Id="rId131" Type="http://schemas.openxmlformats.org/officeDocument/2006/relationships/hyperlink" Target="http://www.sec.gov/Archives/edgar/data/1844971/000162828023001779/exhibit103_greex2023x01x30.htm" TargetMode="External"/><Relationship Id="rId132" Type="http://schemas.openxmlformats.org/officeDocument/2006/relationships/hyperlink" Target="http://www.sec.gov/Archives/edgar/data/1844971/000162828023001779/exhibit104_greex2023x01x30.htm" TargetMode="External"/><Relationship Id="rId133" Type="http://schemas.openxmlformats.org/officeDocument/2006/relationships/hyperlink" Target="http://www.sec.gov/Archives/edgar/data/1844971/000162828023001779/exhibit105_greex2023x01x30.htm" TargetMode="External"/><Relationship Id="rId134" Type="http://schemas.openxmlformats.org/officeDocument/2006/relationships/hyperlink" Target="https://www.sec.gov/Archives/edgar/data/1844971/000094787122001118/ss1462961_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2023-03-31T16:25:36Z</dcterms:created>
  <dcterms:modified xsi:type="dcterms:W3CDTF">2023-03-31T16:25:36Z</dcterms:modified>
</cp:coreProperties>
</file>