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before="54" w:after="283"/>
        <w:jc w:val="center"/>
        <w:rPr/>
      </w:pPr>
      <w:r>
        <w:rPr/>
      </w:r>
    </w:p>
    <w:p>
      <w:pPr>
        <w:pStyle w:val="TextBody"/>
        <w:bidi w:val="0"/>
        <w:spacing w:before="0" w:after="2"/>
        <w:jc w:val="left"/>
        <w:rPr/>
      </w:pPr>
      <w:r>
        <w:rPr/>
      </w:r>
    </w:p>
    <w:p>
      <w:pPr>
        <w:pStyle w:val="TextBody"/>
        <w:bidi w:val="0"/>
        <w:spacing w:lineRule="auto" w:line="300"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23,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Vulcan Infrastructure and Power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001-40808</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86-1746728</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1159 Pittsford-Victor Road, Suite 240</w:t>
            </w:r>
          </w:p>
          <w:p>
            <w:pPr>
              <w:pStyle w:val="TableContents"/>
              <w:bidi w:val="0"/>
              <w:spacing w:lineRule="auto" w:line="288" w:before="0" w:after="2"/>
              <w:jc w:val="center"/>
              <w:rPr/>
            </w:pPr>
            <w:r>
              <w:rPr>
                <w:rFonts w:ascii="Times New Roman;serif" w:hAnsi="Times New Roman;serif"/>
                <w:b/>
                <w:color w:val="000000"/>
                <w:sz w:val="20"/>
              </w:rPr>
              <w:t>Pittsford, New York 14534</w:t>
            </w:r>
            <w:r>
              <w:rPr>
                <w:color w:val="3051F2"/>
              </w:rPr>
              <w:t xml:space="preserve"> </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(315) 536-2359</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793" w:type="dxa"/>
        <w:jc w:val="left"/>
        <w:tblInd w:w="0" w:type="dxa"/>
        <w:tblLayout w:type="fixed"/>
        <w:tblCellMar>
          <w:top w:w="28" w:type="dxa"/>
          <w:left w:w="28" w:type="dxa"/>
          <w:bottom w:w="28" w:type="dxa"/>
          <w:right w:w="28" w:type="dxa"/>
        </w:tblCellMar>
      </w:tblPr>
      <w:tblGrid>
        <w:gridCol w:w="1240"/>
        <w:gridCol w:w="1090"/>
        <w:gridCol w:w="1090"/>
        <w:gridCol w:w="516"/>
        <w:gridCol w:w="516"/>
        <w:gridCol w:w="516"/>
        <w:gridCol w:w="1120"/>
        <w:gridCol w:w="1120"/>
        <w:gridCol w:w="1585"/>
      </w:tblGrid>
      <w:tr>
        <w:trPr/>
        <w:tc>
          <w:tcPr>
            <w:tcW w:w="124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879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42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$.0001</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VIP</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342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 xml:space="preserve">8.50% Senior Notes due 2026 </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GREEL</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12b-2 of the Exchange Act.</w:t>
      </w:r>
    </w:p>
    <w:p>
      <w:pPr>
        <w:pStyle w:val="TextBody"/>
        <w:bidi w:val="0"/>
        <w:spacing w:lineRule="auto" w:line="288" w:before="108" w:after="283"/>
        <w:jc w:val="both"/>
        <w:rPr/>
      </w:pPr>
      <w:r>
        <w:rPr>
          <w:rFonts w:ascii="Times New Roman;serif" w:hAnsi="Times New Roman;serif"/>
          <w:b w:val="false"/>
          <w:color w:val="000000"/>
          <w:sz w:val="20"/>
        </w:rPr>
        <w:t>Emerging growth company   </w:t>
      </w:r>
      <w:r>
        <w:rPr>
          <w:color w:val="000000"/>
        </w:rPr>
        <w:t>☒ </w:t>
      </w:r>
    </w:p>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ind w:left="0" w:right="0" w:firstLine="720"/>
        <w:jc w:val="both"/>
        <w:rPr/>
      </w:pPr>
      <w:r>
        <w:rPr/>
      </w:r>
    </w:p>
    <w:p>
      <w:pPr>
        <w:pStyle w:val="TextBody"/>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Item 1.01 – Entry into a Material Definitive Agreement.</w:t>
      </w:r>
    </w:p>
    <w:p>
      <w:pPr>
        <w:pStyle w:val="TextBody"/>
        <w:bidi w:val="0"/>
        <w:spacing w:before="0" w:after="2"/>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Exchange Agreement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23, 2026, Vulcan Infrastructure and Power Inc. (the “Company”) entered into a privately negotiated exchange agreement (the “Exchange Agreement”) with certain holders (each, a “Holder” and, collectively, the “Holders”) of the Company’s 8.50% Senior Notes due 2026 (the “2026 Notes”), pursuant to which the Company has agreed to issue to the Holders (i) an aggregate of $2,833,358 in principal amount of 10.00% Senior Notes due 2030 (the “2030 Notes”) and (ii) three-year warrants (the “Warrants”) to purchase an aggregate of 1,000,000 shares of the Company’s Class A common stock at an exercise price of $1.87 per share (the “Warrant Shares”), in exchange for an aggregate of $2,793,150 in principal amount of 2026 Notes and approximately $40,230 in accrued and unpaid interest thereon (the “Exchanges”).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Exchange Agreement contains customary representations, warranties and agreements by each of the parties, closing conditions and other obligations of the parties. Subject to the satisfaction or waiver of the conditions set forth in the Exchange Agreement, the Company expects the closing of the Exchanges to occur on or about October 1, 2026.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Exchange Agreement, each Holder has agreed that, for so long as such Holder holds any 2030 Notes issued in the Exchanges, such Holder, together with its affiliates and any other persons whose beneficial ownership would be aggregated with that of the Holder pursuant to Section 13(d) of the Securities Exchange Act of 1934, as amended, may not (i) acquire any additional 2026 Notes or 2030 Notes (other than the 2030 Notes issued pursuant to the Exchanges) or (ii) acquire beneficial ownership of shares of the Company’s Class A common stock or securities or rights exercisable for, convertible into or exchangeable for shares of the Company’s Class A common stock if, immediately following such acquisition, such persons would beneficially own more than 4.99% of the Company’s then-outstanding Class A common stock. In addition, for so long as a Holder or any of its affiliates owns any portion of a Warrant, such Holder has agreed not to, and to cause its affiliates and accounts over which it or its affiliates exercise investment discretion not to, directly or indirectly effect or agree to effect any short sale of the Company’s Class A common stock or otherwise establish or maintain a net short position in the Company’s Class A common stock.</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Exchange Agreement, the Company has agreed to grant the Holders certain registration rights with respect to the Warrant Shares. If the Company proposes to register shares of its Class A common stock for sale to the public, subject to certain exceptions, the Company will be required to notify the Holders and, upon a Holder’s timely request, use its reasonable best efforts to include the Holder’s Warrant Shares in such registration, subject to customary cutback provisions. In addition, if the Company maintains an effective shelf registration statement available for the resale of Warrant Shares, the Company will, upon a Holder’s request, use its reasonable best efforts to facilitate the resale of such Warrant Shares pursuant to such registration statement, including through a prospectus supplement or post-effective amendment that does not constitute a new registration statement.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Assuming the 2026 Notes and the 2030 Notes constitute securities for U.S. federal income tax purposes, the Company intends to take the position that the Exchanges, including the issuance of the Warrants, qualify as a recapitalization under the Internal Revenue Code, although the matter is not free from doubt and no assurance has or can be given that the Exchanges will so qualify.</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Terms of the Warrants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material terms and provisions of the Warrants.</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i/>
          <w:color w:val="000000"/>
          <w:sz w:val="20"/>
        </w:rPr>
        <w:t>Duration and Exercise Price</w:t>
      </w:r>
      <w:r>
        <w:rPr>
          <w:rFonts w:ascii="Times New Roman;serif" w:hAnsi="Times New Roman;serif"/>
          <w:b w:val="false"/>
          <w:color w:val="000000"/>
          <w:sz w:val="20"/>
        </w:rPr>
        <w:t>. The Warrants will have an exercise price of $1.87 per share, subject to adjustment as provided therein, and will be exercisable, in whole or in part, from and after the issuance date until the date that is three years following the issuance date. The Warrants will be exercisable only for cash.</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i/>
          <w:color w:val="000000"/>
          <w:sz w:val="20"/>
        </w:rPr>
        <w:t>Exercise Price and Warrant Share Adjustments</w:t>
      </w:r>
      <w:r>
        <w:rPr>
          <w:rFonts w:ascii="Times New Roman;serif" w:hAnsi="Times New Roman;serif"/>
          <w:b w:val="false"/>
          <w:color w:val="000000"/>
          <w:sz w:val="20"/>
        </w:rPr>
        <w:t>. The Warrants will contain customary adjustment provisions with respect to certain corporate actions affecting the Company’s Class A common stock. If the Company pays a stock dividend or distribution in Class A common stock, subdivides or combines its outstanding Class A common stock or reclassifies its Class A common stock into another class of capital stock, the exercise price will be proportionately adjusted and the number of Warrant Shares will be adjusted so that the aggregate exercise price remains unchanged. In the event of a dividend or other distribution of assets or rights to acquire assets to holders of the Company’s Class A common stock, the holder will be entitled to participate in such distribution to the same extent as if such holder had held the Warrant Shares immediately prior to the applicable record date.</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i/>
          <w:color w:val="000000"/>
          <w:sz w:val="20"/>
        </w:rPr>
        <w:t>Fundamental Transactions</w:t>
      </w:r>
      <w:r>
        <w:rPr>
          <w:rFonts w:ascii="Times New Roman;serif" w:hAnsi="Times New Roman;serif"/>
          <w:b w:val="false"/>
          <w:color w:val="000000"/>
          <w:sz w:val="20"/>
        </w:rPr>
        <w:t xml:space="preserve">. The Warrants will provide that, upon the occurrence of certain fundamental transactions, including a merger, consolidation, sale or other disposition of all or substantially all of the Company’s assets, certain tender or exchange offers, reorganizations, recapitalizations or other business combinations resulting in another person or group acquiring at least 50% of the Company’s outstanding Class A common stock or voting power, the holder will be entitled, upon any subsequent exercise of the Warrant, to receive the securities, cash or other property that the holder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would have received had the holder held the applicable number of Warrant Shares immediately prior to such transaction. For certain fundamental transactions, including all-cash transactions, Rule 13e-3 transactions and transactions involving an acquirer whose securities are not traded on a national securities exchange, the holder may require the Company or its successor to purchase the unexercised Warrant for cash at its Black-Scholes value, subject to certain exceptions. In addition, in a fundamental transaction in which the Company is not the surviving entity, any successor entity will be required to assume the Company’s obligations under the Warrants and, at the holder’s option, issue a substantially similar instrument preserving the economic value of the Warrants.</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i/>
          <w:color w:val="000000"/>
          <w:sz w:val="20"/>
        </w:rPr>
        <w:t>Rights as a Stockholder</w:t>
      </w:r>
      <w:r>
        <w:rPr>
          <w:rFonts w:ascii="Times New Roman;serif" w:hAnsi="Times New Roman;serif"/>
          <w:b w:val="false"/>
          <w:color w:val="000000"/>
          <w:sz w:val="20"/>
        </w:rPr>
        <w:t>. Except as otherwise provided in the Warrants or by virtue of a holder’s ownership of shares of the Company’s Class A common stock, the holders of the Warrants will not have the rights or privileges of holders of the Company’s Class A common stock, including voting rights, until such holders exercise their Warrants.</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i/>
          <w:color w:val="000000"/>
          <w:sz w:val="20"/>
        </w:rPr>
        <w:t>Waivers and Amendments</w:t>
      </w:r>
      <w:r>
        <w:rPr>
          <w:rFonts w:ascii="Times New Roman;serif" w:hAnsi="Times New Roman;serif"/>
          <w:b w:val="false"/>
          <w:color w:val="000000"/>
          <w:sz w:val="20"/>
        </w:rPr>
        <w:t>. The terms of each Warrant may be amended or waived only by written agreement of both the Company and the applicable holder.</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descriptions of the Exchange Agreement and the Warrants do not purport to be complete and are qualified in their entirety by reference to the full text of the applicable documents. The Exchange Agreement, including the form of Warrant attached as Exhibit A thereto, is filed as Exhibit 10.1 to this Current Report on Form 8-K and is incorporated herein by reference.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Terms of the 2030 Notes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2030 Notes to be issued in connection with the Exchanges will be issued under the Indenture, dated as of October 13, 2021, between the Company and Wilmington Savings Fund Society, FSB, as trustee, as supplemented by the Second Supplemental Indenture, dated as of July 21, 2025, copies of which were filed as Exhibits 4.1 and 4.4, respectively, to the Company’s Annual Report on Form 10-K and are incorporated herein by reference. The material terms of the 2030 Notes are described in the Company’s description of securities, filed as Exhibit 4.6 to the Company’s Annual Report on Form 10-K for the year ended December 31, 2025, which is incorporated herein by reference.</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Exchange Agreement contains customary representations, warranties and covenants by the Company which were made only for the purposes of the Exchange Agreement and as of specific dates, were solely for the benefit of the parties thereto and may be subject to limitations agreed upon by the contracting parties. Accordingly, the Exchange Agreement is incorporated herein by reference only to provide investors with information regarding the terms of the Exchange Agreement and not to provide investors with any other factual information regarding the Company or its business, and should be read in conjunction with the disclosures in the Company’s reports and other filings with the Securities and Exchange Commission.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does not constitute an offer to sell, or the solicitation of an offer to buy, nor shall there be any sale of these securities in any state or jurisdiction in which such offer, solicitation or sale would be unlawful prior to the registration or qualification under the securities laws of any such state or jurisdiction.</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set forth in Item 1.01 of this Current Report on Form 8-K regarding the Exchange Agreement and the 2030 Notes is hereby incorporated by reference into this Item 2.03.</w:t>
      </w:r>
    </w:p>
    <w:p>
      <w:pPr>
        <w:pStyle w:val="TextBody"/>
        <w:bidi w:val="0"/>
        <w:spacing w:before="0" w:after="2"/>
        <w:jc w:val="both"/>
        <w:rPr/>
      </w:pPr>
      <w:r>
        <w:rPr/>
      </w:r>
    </w:p>
    <w:p>
      <w:pPr>
        <w:pStyle w:val="TextBody"/>
        <w:bidi w:val="0"/>
        <w:spacing w:lineRule="auto" w:line="240" w:before="0" w:after="0"/>
        <w:jc w:val="both"/>
        <w:rPr/>
      </w:pPr>
      <w:r>
        <w:rPr>
          <w:rFonts w:ascii="Times New Roman;serif" w:hAnsi="Times New Roman;serif"/>
          <w:b/>
          <w:color w:val="000000"/>
          <w:sz w:val="20"/>
        </w:rPr>
        <w:t xml:space="preserve">Item 9.01 </w:t>
      </w:r>
      <w:r>
        <w:rPr>
          <w:color w:val="000000"/>
        </w:rPr>
        <w:t xml:space="preserve">– </w:t>
      </w:r>
      <w:r>
        <w:rPr>
          <w:rFonts w:ascii="Times New Roman;serif" w:hAnsi="Times New Roman;serif"/>
          <w:b/>
          <w:color w:val="000000"/>
          <w:sz w:val="20"/>
        </w:rPr>
        <w:t>Financial Statements and Exhibits.</w:t>
      </w:r>
    </w:p>
    <w:p>
      <w:pPr>
        <w:pStyle w:val="TextBody"/>
        <w:bidi w:val="0"/>
        <w:spacing w:before="120" w:after="283"/>
        <w:ind w:left="0" w:right="0" w:firstLine="720"/>
        <w:jc w:val="left"/>
        <w:rPr/>
      </w:pPr>
      <w:r>
        <w:rPr/>
      </w:r>
    </w:p>
    <w:p>
      <w:pPr>
        <w:pStyle w:val="TextBody"/>
        <w:bidi w:val="0"/>
        <w:spacing w:lineRule="auto" w:line="300" w:before="0" w:after="2"/>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
        <w:gridCol w:w="287"/>
        <w:gridCol w:w="288"/>
        <w:gridCol w:w="109"/>
        <w:gridCol w:w="109"/>
        <w:gridCol w:w="109"/>
        <w:gridCol w:w="2617"/>
        <w:gridCol w:w="2617"/>
        <w:gridCol w:w="3743"/>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3743"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changeagreementandformof.htm">
              <w:r>
                <w:rPr>
                  <w:rStyle w:val="InternetLink"/>
                  <w:rFonts w:ascii="Times New Roman;serif" w:hAnsi="Times New Roman;serif"/>
                  <w:b w:val="false"/>
                  <w:color w:val="000000"/>
                  <w:sz w:val="20"/>
                  <w:u w:val="single"/>
                </w:rPr>
                <w:t>Exchange Agreement, dated as of September 23, 2026, by and among Vulcan Infrastructure and Power Inc. and the holders party thereto (including the form of Class A Common Stock Purchase Warrant as Exhibit A thereto)</w:t>
              </w:r>
            </w:hyperlink>
            <w:r>
              <w:rPr>
                <w:rFonts w:ascii="Times New Roman;serif" w:hAnsi="Times New Roman;serif"/>
                <w:b w:val="false"/>
                <w:color w:val="000000"/>
                <w:sz w:val="20"/>
              </w:rPr>
              <w:t>.</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2"/>
        <w:jc w:val="left"/>
        <w:rPr/>
      </w:pPr>
      <w:r>
        <w:rPr/>
      </w:r>
    </w:p>
    <w:tbl>
      <w:tblPr>
        <w:tblW w:w="4223" w:type="dxa"/>
        <w:jc w:val="right"/>
        <w:tblInd w:w="0" w:type="dxa"/>
        <w:tblLayout w:type="fixed"/>
        <w:tblCellMar>
          <w:top w:w="28" w:type="dxa"/>
          <w:left w:w="28" w:type="dxa"/>
          <w:bottom w:w="28" w:type="dxa"/>
          <w:right w:w="28" w:type="dxa"/>
        </w:tblCellMar>
      </w:tblPr>
      <w:tblGrid>
        <w:gridCol w:w="575"/>
        <w:gridCol w:w="504"/>
        <w:gridCol w:w="504"/>
        <w:gridCol w:w="770"/>
        <w:gridCol w:w="770"/>
        <w:gridCol w:w="1100"/>
      </w:tblGrid>
      <w:tr>
        <w:trPr/>
        <w:tc>
          <w:tcPr>
            <w:tcW w:w="57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422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Vulcan Infrastructure and Power Inc.</w:t>
            </w:r>
          </w:p>
        </w:tc>
      </w:tr>
      <w:tr>
        <w:trPr/>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40" w:type="dxa"/>
            <w:gridSpan w:val="3"/>
            <w:tcBorders/>
            <w:tcMar>
              <w:top w:w="0" w:type="dxa"/>
              <w:left w:w="0" w:type="dxa"/>
              <w:bottom w:w="0" w:type="dxa"/>
              <w:right w:w="0" w:type="dxa"/>
            </w:tcMar>
            <w:vAlign w:val="center"/>
          </w:tcPr>
          <w:p>
            <w:pPr>
              <w:pStyle w:val="TableContents"/>
              <w:bidi w:val="0"/>
              <w:spacing w:lineRule="auto" w:line="252" w:before="0" w:after="2"/>
              <w:jc w:val="left"/>
              <w:rPr>
                <w:rFonts w:ascii="Times New Roman;serif" w:hAnsi="Times New Roman;serif"/>
                <w:b w:val="false"/>
                <w:color w:val="000000"/>
                <w:sz w:val="20"/>
              </w:rPr>
            </w:pPr>
            <w:r>
              <w:rPr>
                <w:rFonts w:ascii="Times New Roman;serif" w:hAnsi="Times New Roman;serif"/>
                <w:b w:val="false"/>
                <w:color w:val="000000"/>
                <w:sz w:val="20"/>
              </w:rPr>
              <w:t>/s/ Bachar Mahmoud</w:t>
            </w:r>
          </w:p>
        </w:tc>
      </w:tr>
      <w:tr>
        <w:trPr/>
        <w:tc>
          <w:tcPr>
            <w:tcW w:w="158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
              <w:jc w:val="left"/>
              <w:rPr>
                <w:rFonts w:ascii="Times New Roman;serif" w:hAnsi="Times New Roman;serif"/>
                <w:b w:val="false"/>
                <w:color w:val="000000"/>
                <w:sz w:val="20"/>
              </w:rPr>
            </w:pPr>
            <w:r>
              <w:rPr>
                <w:rFonts w:ascii="Times New Roman;serif" w:hAnsi="Times New Roman;serif"/>
                <w:b w:val="false"/>
                <w:color w:val="000000"/>
                <w:sz w:val="20"/>
              </w:rPr>
              <w:t>Bachar Mahmoud</w:t>
            </w:r>
          </w:p>
        </w:tc>
      </w:tr>
      <w:tr>
        <w:trPr/>
        <w:tc>
          <w:tcPr>
            <w:tcW w:w="158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640" w:type="dxa"/>
            <w:gridSpan w:val="3"/>
            <w:tcBorders/>
            <w:tcMar>
              <w:top w:w="0" w:type="dxa"/>
              <w:left w:w="0" w:type="dxa"/>
              <w:bottom w:w="0" w:type="dxa"/>
              <w:right w:w="0" w:type="dxa"/>
            </w:tcMar>
            <w:vAlign w:val="center"/>
          </w:tcPr>
          <w:p>
            <w:pPr>
              <w:pStyle w:val="TableContents"/>
              <w:bidi w:val="0"/>
              <w:spacing w:lineRule="auto" w:line="252" w:before="0" w:after="2"/>
              <w:jc w:val="left"/>
              <w:rPr>
                <w:rFonts w:ascii="Times New Roman;serif" w:hAnsi="Times New Roman;serif"/>
                <w:b w:val="false"/>
                <w:color w:val="000000"/>
                <w:sz w:val="20"/>
              </w:rPr>
            </w:pPr>
            <w:r>
              <w:rPr>
                <w:rFonts w:ascii="Times New Roman;serif" w:hAnsi="Times New Roman;serif"/>
                <w:b w:val="false"/>
                <w:color w:val="000000"/>
                <w:sz w:val="20"/>
              </w:rPr>
              <w:t>General Counsel and Secretary</w:t>
            </w:r>
          </w:p>
        </w:tc>
      </w:tr>
    </w:tbl>
    <w:p>
      <w:pPr>
        <w:pStyle w:val="TextBody"/>
        <w:bidi w:val="0"/>
        <w:spacing w:before="0" w:after="120"/>
        <w:jc w:val="right"/>
        <w:rPr/>
      </w:pPr>
      <w:r>
        <w:rPr/>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Date: September 29,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1"/>
        </w:rPr>
      </w:pPr>
      <w:r>
        <w:rPr>
          <w:rFonts w:ascii="Times New Roman;serif" w:hAnsi="Times New Roman;serif"/>
          <w:b/>
          <w:i/>
          <w:color w:val="000000"/>
          <w:sz w:val="21"/>
        </w:rPr>
        <w:t>Execution Version</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0.2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EXCHANGE AGREEMENT</w:t>
      </w:r>
    </w:p>
    <w:p>
      <w:pPr>
        <w:pStyle w:val="TextBody"/>
        <w:bidi w:val="0"/>
        <w:spacing w:before="0" w:after="0"/>
        <w:jc w:val="both"/>
        <w:rPr/>
      </w:pPr>
      <w:r>
        <w:rPr/>
      </w:r>
    </w:p>
    <w:p>
      <w:pPr>
        <w:pStyle w:val="TextBody"/>
        <w:bidi w:val="0"/>
        <w:spacing w:lineRule="auto" w:line="288" w:before="0" w:after="120"/>
        <w:ind w:left="0" w:right="0" w:firstLine="504"/>
        <w:jc w:val="both"/>
        <w:rPr/>
      </w:pPr>
      <w:r>
        <w:rPr>
          <w:rFonts w:ascii="Times New Roman;serif" w:hAnsi="Times New Roman;serif"/>
          <w:b w:val="false"/>
          <w:color w:val="000000"/>
          <w:sz w:val="22"/>
        </w:rPr>
        <w:t>This Exchange Agreement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is entered into as of the date set forth on the signature pages (the “</w:t>
      </w:r>
      <w:r>
        <w:rPr>
          <w:rFonts w:ascii="Times New Roman;serif" w:hAnsi="Times New Roman;serif"/>
          <w:b w:val="false"/>
          <w:color w:val="000000"/>
          <w:sz w:val="22"/>
          <w:u w:val="single"/>
        </w:rPr>
        <w:t>Effective Date</w:t>
      </w:r>
      <w:r>
        <w:rPr>
          <w:color w:val="000000"/>
        </w:rPr>
        <w:t>”</w:t>
      </w:r>
      <w:r>
        <w:rPr>
          <w:rFonts w:ascii="Times New Roman;serif" w:hAnsi="Times New Roman;serif"/>
          <w:b w:val="false"/>
          <w:color w:val="000000"/>
          <w:sz w:val="22"/>
        </w:rPr>
        <w:t>) by and among Vulcan Infrastructure and Power Inc. (formerly known as Greenidge Generation Holdings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and each individual or entity identified on a Holder Signature Page to this Agreement (each, a “</w:t>
      </w:r>
      <w:r>
        <w:rPr>
          <w:rFonts w:ascii="Times New Roman;serif" w:hAnsi="Times New Roman;serif"/>
          <w:b w:val="false"/>
          <w:color w:val="000000"/>
          <w:sz w:val="22"/>
          <w:u w:val="single"/>
        </w:rPr>
        <w:t>Holder</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val="false"/>
          <w:color w:val="000000"/>
          <w:sz w:val="22"/>
          <w:u w:val="single"/>
        </w:rPr>
        <w:t>Holders</w:t>
      </w:r>
      <w:r>
        <w:rPr>
          <w:color w:val="000000"/>
        </w:rPr>
        <w:t>”</w:t>
      </w:r>
      <w:r>
        <w:rPr>
          <w:rFonts w:ascii="Times New Roman;serif" w:hAnsi="Times New Roman;serif"/>
          <w:b w:val="false"/>
          <w:color w:val="000000"/>
          <w:sz w:val="22"/>
        </w:rPr>
        <w:t>).</w:t>
      </w:r>
    </w:p>
    <w:p>
      <w:pPr>
        <w:pStyle w:val="TextBody"/>
        <w:bidi w:val="0"/>
        <w:spacing w:lineRule="auto" w:line="288" w:before="200" w:after="14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lineRule="auto" w:line="288" w:before="0" w:after="140"/>
        <w:ind w:left="0" w:right="0" w:firstLine="504"/>
        <w:jc w:val="both"/>
        <w:rPr/>
      </w:pPr>
      <w:r>
        <w:rPr>
          <w:rFonts w:ascii="Times New Roman;serif" w:hAnsi="Times New Roman;serif"/>
          <w:b/>
          <w:color w:val="000000"/>
          <w:sz w:val="22"/>
        </w:rPr>
        <w:t>WHEREAS</w:t>
      </w:r>
      <w:r>
        <w:rPr>
          <w:rFonts w:ascii="Times New Roman;serif" w:hAnsi="Times New Roman;serif"/>
          <w:b w:val="false"/>
          <w:color w:val="000000"/>
          <w:sz w:val="22"/>
        </w:rPr>
        <w:t>, each Holder is the beneficial owner of the number of authorized $25 denominations of the Company’s 8.50% Senior Notes due October 31, 2026, trading under the symbol GREEL and bearing CUSIP 39531G209, and the aggregate principal amount thereof, in each case as set forth on that Holder’s Holder Signature Page (with respect to each Holder, the “</w:t>
      </w:r>
      <w:r>
        <w:rPr>
          <w:rFonts w:ascii="Times New Roman;serif" w:hAnsi="Times New Roman;serif"/>
          <w:b w:val="false"/>
          <w:color w:val="000000"/>
          <w:sz w:val="22"/>
          <w:u w:val="single"/>
        </w:rPr>
        <w:t>Holder Exchanged 2026 Notes</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val="false"/>
          <w:color w:val="000000"/>
          <w:sz w:val="22"/>
          <w:u w:val="single"/>
        </w:rPr>
        <w:t>Exchanged 2026 Notes</w:t>
      </w:r>
      <w:r>
        <w:rPr>
          <w:color w:val="000000"/>
        </w:rPr>
        <w:t>”</w:t>
      </w:r>
      <w:r>
        <w:rPr>
          <w:rFonts w:ascii="Times New Roman;serif" w:hAnsi="Times New Roman;serif"/>
          <w:b w:val="false"/>
          <w:color w:val="000000"/>
          <w:sz w:val="22"/>
        </w:rPr>
        <w:t>), issued under the Indenture dated October 13, 2021 (the “</w:t>
      </w:r>
      <w:r>
        <w:rPr>
          <w:rFonts w:ascii="Times New Roman;serif" w:hAnsi="Times New Roman;serif"/>
          <w:b w:val="false"/>
          <w:color w:val="000000"/>
          <w:sz w:val="22"/>
          <w:u w:val="single"/>
        </w:rPr>
        <w:t>Base Indenture</w:t>
      </w:r>
      <w:r>
        <w:rPr>
          <w:color w:val="000000"/>
        </w:rPr>
        <w:t>”</w:t>
      </w:r>
      <w:r>
        <w:rPr>
          <w:rFonts w:ascii="Times New Roman;serif" w:hAnsi="Times New Roman;serif"/>
          <w:b w:val="false"/>
          <w:color w:val="000000"/>
          <w:sz w:val="22"/>
        </w:rPr>
        <w:t>) between the Company and Wilmington Savings Fund Society, FSB, as trustee (the “</w:t>
      </w:r>
      <w:r>
        <w:rPr>
          <w:rFonts w:ascii="Times New Roman;serif" w:hAnsi="Times New Roman;serif"/>
          <w:b w:val="false"/>
          <w:color w:val="000000"/>
          <w:sz w:val="22"/>
          <w:u w:val="single"/>
        </w:rPr>
        <w:t>Trustee</w:t>
      </w:r>
      <w:r>
        <w:rPr>
          <w:color w:val="000000"/>
        </w:rPr>
        <w:t>”</w:t>
      </w:r>
      <w:r>
        <w:rPr>
          <w:rFonts w:ascii="Times New Roman;serif" w:hAnsi="Times New Roman;serif"/>
          <w:b w:val="false"/>
          <w:color w:val="000000"/>
          <w:sz w:val="22"/>
        </w:rPr>
        <w:t>), as supplemented by the First Supplemental Indenture dated October 13, 2021 (together with the Base Indenture, as so supplemented, the “</w:t>
      </w:r>
      <w:r>
        <w:rPr>
          <w:rFonts w:ascii="Times New Roman;serif" w:hAnsi="Times New Roman;serif"/>
          <w:b w:val="false"/>
          <w:color w:val="000000"/>
          <w:sz w:val="22"/>
          <w:u w:val="single"/>
        </w:rPr>
        <w:t>2026 Indenture</w:t>
      </w:r>
      <w:r>
        <w:rPr>
          <w:color w:val="000000"/>
        </w:rPr>
        <w:t>”</w:t>
      </w:r>
      <w:r>
        <w:rPr>
          <w:rFonts w:ascii="Times New Roman;serif" w:hAnsi="Times New Roman;serif"/>
          <w:b w:val="false"/>
          <w:color w:val="000000"/>
          <w:sz w:val="22"/>
        </w:rPr>
        <w:t>);</w:t>
      </w:r>
    </w:p>
    <w:p>
      <w:pPr>
        <w:pStyle w:val="TextBody"/>
        <w:bidi w:val="0"/>
        <w:spacing w:lineRule="auto" w:line="288" w:before="0" w:after="140"/>
        <w:ind w:left="0" w:right="0" w:firstLine="504"/>
        <w:jc w:val="both"/>
        <w:rPr/>
      </w:pPr>
      <w:r>
        <w:rPr>
          <w:rFonts w:ascii="Times New Roman;serif" w:hAnsi="Times New Roman;serif"/>
          <w:b/>
          <w:color w:val="000000"/>
          <w:sz w:val="22"/>
        </w:rPr>
        <w:t xml:space="preserve">WHEREAS, </w:t>
      </w:r>
      <w:r>
        <w:rPr>
          <w:rFonts w:ascii="Times New Roman;serif" w:hAnsi="Times New Roman;serif"/>
          <w:b w:val="false"/>
          <w:color w:val="000000"/>
          <w:sz w:val="22"/>
        </w:rPr>
        <w:t>the Company has outstanding 10.00% Senior Notes due June 30, 2030 (the “</w:t>
      </w:r>
      <w:r>
        <w:rPr>
          <w:rFonts w:ascii="Times New Roman;serif" w:hAnsi="Times New Roman;serif"/>
          <w:b w:val="false"/>
          <w:color w:val="000000"/>
          <w:sz w:val="22"/>
          <w:u w:val="single"/>
        </w:rPr>
        <w:t>2030 Notes</w:t>
      </w:r>
      <w:r>
        <w:rPr>
          <w:color w:val="000000"/>
        </w:rPr>
        <w:t>”</w:t>
      </w:r>
      <w:r>
        <w:rPr>
          <w:rFonts w:ascii="Times New Roman;serif" w:hAnsi="Times New Roman;serif"/>
          <w:b w:val="false"/>
          <w:color w:val="000000"/>
          <w:sz w:val="22"/>
        </w:rPr>
        <w:t>), issued under the Base Indenture, as supplemented by the Second Supplemental Indenture dated July 21, 2025 (together with the Base Indenture, as so supplemented and as it may be further supplemented from time to time, the “</w:t>
      </w:r>
      <w:r>
        <w:rPr>
          <w:rFonts w:ascii="Times New Roman;serif" w:hAnsi="Times New Roman;serif"/>
          <w:b w:val="false"/>
          <w:color w:val="000000"/>
          <w:sz w:val="22"/>
          <w:u w:val="single"/>
        </w:rPr>
        <w:t>2030 Indenture</w:t>
      </w:r>
      <w:r>
        <w:rPr>
          <w:color w:val="000000"/>
        </w:rPr>
        <w:t>”</w:t>
      </w:r>
      <w:r>
        <w:rPr>
          <w:rFonts w:ascii="Times New Roman;serif" w:hAnsi="Times New Roman;serif"/>
          <w:b w:val="false"/>
          <w:color w:val="000000"/>
          <w:sz w:val="22"/>
        </w:rPr>
        <w:t>), in minimum denominations of $11 and integral multiples of $11;</w:t>
      </w:r>
    </w:p>
    <w:p>
      <w:pPr>
        <w:pStyle w:val="TextBody"/>
        <w:bidi w:val="0"/>
        <w:spacing w:lineRule="auto" w:line="288" w:before="0" w:after="140"/>
        <w:ind w:left="0" w:right="0" w:firstLine="504"/>
        <w:jc w:val="both"/>
        <w:rPr/>
      </w:pPr>
      <w:r>
        <w:rPr>
          <w:rFonts w:ascii="Times New Roman;serif" w:hAnsi="Times New Roman;serif"/>
          <w:b/>
          <w:color w:val="000000"/>
          <w:sz w:val="22"/>
        </w:rPr>
        <w:t>WHEREAS</w:t>
      </w:r>
      <w:r>
        <w:rPr>
          <w:rFonts w:ascii="Times New Roman;serif" w:hAnsi="Times New Roman;serif"/>
          <w:b w:val="false"/>
          <w:color w:val="000000"/>
          <w:sz w:val="22"/>
        </w:rPr>
        <w:t>, subject to the terms of this Agreement, each Holder desires to surrender its Holder Exchanged 2026 Notes for cancellation and retirement, and the Company desires to issue to that Holder in exchange (a) the aggregate principal amount and number of authorized $11 denominations of additional 2030 Notes set forth on that Holder’s Holder Signature Page (the “</w:t>
      </w:r>
      <w:r>
        <w:rPr>
          <w:rFonts w:ascii="Times New Roman;serif" w:hAnsi="Times New Roman;serif"/>
          <w:b w:val="false"/>
          <w:color w:val="000000"/>
          <w:sz w:val="22"/>
          <w:u w:val="single"/>
        </w:rPr>
        <w:t>Holder Exchange 2030 Notes</w:t>
      </w:r>
      <w:r>
        <w:rPr>
          <w:color w:val="000000"/>
        </w:rPr>
        <w:t>”</w:t>
      </w:r>
      <w:r>
        <w:rPr>
          <w:rFonts w:ascii="Times New Roman;serif" w:hAnsi="Times New Roman;serif"/>
          <w:b w:val="false"/>
          <w:color w:val="000000"/>
          <w:sz w:val="22"/>
        </w:rPr>
        <w:t xml:space="preserve">) and (b) a Class A Common Stock Purchase Warrant, substantially in the form attached as </w:t>
      </w:r>
      <w:r>
        <w:rPr>
          <w:rFonts w:ascii="Times New Roman;serif" w:hAnsi="Times New Roman;serif"/>
          <w:b w:val="false"/>
          <w:color w:val="000000"/>
          <w:sz w:val="22"/>
          <w:u w:val="single"/>
        </w:rPr>
        <w:t>Exhibit A</w:t>
      </w:r>
      <w:r>
        <w:rPr>
          <w:rFonts w:ascii="Times New Roman;serif" w:hAnsi="Times New Roman;serif"/>
          <w:b w:val="false"/>
          <w:color w:val="000000"/>
          <w:sz w:val="22"/>
        </w:rPr>
        <w:t>, to purchase the number of shares set forth on that Holder’s Holder Signature Page (each, a “</w:t>
      </w:r>
      <w:r>
        <w:rPr>
          <w:rFonts w:ascii="Times New Roman;serif" w:hAnsi="Times New Roman;serif"/>
          <w:b w:val="false"/>
          <w:color w:val="000000"/>
          <w:sz w:val="22"/>
          <w:u w:val="single"/>
        </w:rPr>
        <w:t>Warrant</w:t>
      </w:r>
      <w:r>
        <w:rPr>
          <w:color w:val="000000"/>
        </w:rPr>
        <w:t>”</w:t>
      </w:r>
      <w:r>
        <w:rPr>
          <w:rFonts w:ascii="Times New Roman;serif" w:hAnsi="Times New Roman;serif"/>
          <w:b w:val="false"/>
          <w:color w:val="000000"/>
          <w:sz w:val="22"/>
        </w:rPr>
        <w:t>), at an exercise price of $1.87 per share, subject to adjustment as provided in the applicable Warrant; and</w:t>
      </w:r>
    </w:p>
    <w:p>
      <w:pPr>
        <w:pStyle w:val="TextBody"/>
        <w:bidi w:val="0"/>
        <w:spacing w:lineRule="auto" w:line="288" w:before="0" w:after="140"/>
        <w:ind w:left="0" w:right="0" w:firstLine="504"/>
        <w:jc w:val="both"/>
        <w:rPr/>
      </w:pPr>
      <w:r>
        <w:rPr>
          <w:rFonts w:ascii="Times New Roman;serif" w:hAnsi="Times New Roman;serif"/>
          <w:b/>
          <w:color w:val="000000"/>
          <w:sz w:val="22"/>
        </w:rPr>
        <w:t>WHEREAS</w:t>
      </w:r>
      <w:r>
        <w:rPr>
          <w:rFonts w:ascii="Times New Roman;serif" w:hAnsi="Times New Roman;serif"/>
          <w:b w:val="false"/>
          <w:color w:val="000000"/>
          <w:sz w:val="22"/>
        </w:rPr>
        <w:t>, the parties intend each exchange of a Holder’s Holder Exchanged 2026 Notes for that Holder’s Holder Exchange 2030 Notes and Warrant (each, an “</w:t>
      </w:r>
      <w:r>
        <w:rPr>
          <w:rFonts w:ascii="Times New Roman;serif" w:hAnsi="Times New Roman;serif"/>
          <w:b w:val="false"/>
          <w:color w:val="000000"/>
          <w:sz w:val="22"/>
          <w:u w:val="single"/>
        </w:rPr>
        <w:t>Exchange</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val="false"/>
          <w:color w:val="000000"/>
          <w:sz w:val="22"/>
          <w:u w:val="single"/>
        </w:rPr>
        <w:t>Exchanges</w:t>
      </w:r>
      <w:r>
        <w:rPr>
          <w:color w:val="000000"/>
        </w:rPr>
        <w:t>”</w:t>
      </w:r>
      <w:r>
        <w:rPr>
          <w:rFonts w:ascii="Times New Roman;serif" w:hAnsi="Times New Roman;serif"/>
          <w:b w:val="false"/>
          <w:color w:val="000000"/>
          <w:sz w:val="22"/>
        </w:rPr>
        <w:t>), consisting solely of the surrender and cancellation of the applicable Holder Exchanged 2026 Notes and the issuance of the applicable Holder Exchange 2030 Notes and Warrant, to qualify for the exemption from registration provided by Section 3(a)(9) of the Securities Act of 1933, as amended (the “</w:t>
      </w:r>
      <w:r>
        <w:rPr>
          <w:rFonts w:ascii="Times New Roman;serif" w:hAnsi="Times New Roman;serif"/>
          <w:b w:val="false"/>
          <w:color w:val="000000"/>
          <w:sz w:val="22"/>
          <w:u w:val="single"/>
        </w:rPr>
        <w:t>Securities Act</w:t>
      </w:r>
      <w:r>
        <w:rPr>
          <w:color w:val="000000"/>
        </w:rPr>
        <w:t>”</w:t>
      </w:r>
      <w:r>
        <w:rPr>
          <w:rFonts w:ascii="Times New Roman;serif" w:hAnsi="Times New Roman;serif"/>
          <w:b w:val="false"/>
          <w:color w:val="000000"/>
          <w:sz w:val="22"/>
        </w:rPr>
        <w:t>), and no commission or other remuneration will be paid or given, directly or indirectly, for soliciting any Exchange; and</w:t>
      </w:r>
    </w:p>
    <w:p>
      <w:pPr>
        <w:pStyle w:val="TextBody"/>
        <w:bidi w:val="0"/>
        <w:spacing w:lineRule="auto" w:line="288" w:before="0" w:after="140"/>
        <w:ind w:left="0" w:right="0" w:firstLine="504"/>
        <w:jc w:val="both"/>
        <w:rPr/>
      </w:pPr>
      <w:r>
        <w:rPr>
          <w:rFonts w:ascii="Times New Roman;serif" w:hAnsi="Times New Roman;serif"/>
          <w:b/>
          <w:color w:val="000000"/>
          <w:sz w:val="22"/>
        </w:rPr>
        <w:t>WHEREAS</w:t>
      </w:r>
      <w:r>
        <w:rPr>
          <w:rFonts w:ascii="Times New Roman;serif" w:hAnsi="Times New Roman;serif"/>
          <w:b w:val="false"/>
          <w:color w:val="000000"/>
          <w:sz w:val="22"/>
        </w:rPr>
        <w:t xml:space="preserve">, no Warrant Shares are issued in any Exchange, and the offer of the Warrant Shares represented by each Warrant and each issuance of Warrant Shares upon exercise of a Warrant are separate from the Exchanges and are intended to be made in reliance on Section 4(a)(2) of the Securities Act, based in part on the applicable Holder’s representation in </w:t>
      </w:r>
      <w:r>
        <w:rPr>
          <w:rFonts w:ascii="Times New Roman;serif" w:hAnsi="Times New Roman;serif"/>
          <w:b w:val="false"/>
          <w:color w:val="000000"/>
          <w:sz w:val="22"/>
          <w:u w:val="single"/>
        </w:rPr>
        <w:t>Section 3.10</w:t>
      </w:r>
      <w:r>
        <w:rPr>
          <w:color w:val="000000"/>
        </w:rPr>
        <w:t xml:space="preserve"> </w:t>
      </w:r>
      <w:r>
        <w:rPr>
          <w:rFonts w:ascii="Times New Roman;serif" w:hAnsi="Times New Roman;serif"/>
          <w:b w:val="false"/>
          <w:color w:val="000000"/>
          <w:sz w:val="22"/>
        </w:rPr>
        <w:t>of this Agreement.</w:t>
      </w:r>
    </w:p>
    <w:p>
      <w:pPr>
        <w:pStyle w:val="TextBody"/>
        <w:bidi w:val="0"/>
        <w:spacing w:lineRule="auto" w:line="288" w:before="80" w:after="200"/>
        <w:ind w:left="0" w:right="0" w:firstLine="504"/>
        <w:jc w:val="both"/>
        <w:rPr/>
      </w:pPr>
      <w:r>
        <w:rPr>
          <w:rFonts w:ascii="Times New Roman;serif" w:hAnsi="Times New Roman;serif"/>
          <w:b/>
          <w:color w:val="000000"/>
          <w:sz w:val="22"/>
        </w:rPr>
        <w:t>NOW, THEREFORE</w:t>
      </w:r>
      <w:r>
        <w:rPr>
          <w:rFonts w:ascii="Times New Roman;serif" w:hAnsi="Times New Roman;serif"/>
          <w:b w:val="false"/>
          <w:color w:val="000000"/>
          <w:sz w:val="22"/>
        </w:rPr>
        <w:t>, in consideration of the mutual promises and agreements in this Agreement and other good and valuable consideration, the receipt and sufficiency of which are acknowledged, the parties agree as follows:</w:t>
      </w:r>
    </w:p>
    <w:p>
      <w:pPr>
        <w:pStyle w:val="TextBody"/>
        <w:bidi w:val="0"/>
        <w:spacing w:lineRule="auto" w:line="288" w:before="0" w:after="0"/>
        <w:jc w:val="right"/>
        <w:rPr>
          <w:rFonts w:ascii="Times New Roman;serif" w:hAnsi="Times New Roman;serif"/>
          <w:b/>
          <w:i/>
          <w:color w:val="000000"/>
          <w:sz w:val="21"/>
        </w:rPr>
      </w:pPr>
      <w:r>
        <w:rPr>
          <w:rFonts w:ascii="Times New Roman;serif" w:hAnsi="Times New Roman;serif"/>
          <w:b/>
          <w:i/>
          <w:color w:val="000000"/>
          <w:sz w:val="21"/>
        </w:rPr>
        <w:t>Execution Version</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00.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1</w:t>
                      </w:r>
                    </w:p>
                  </w:txbxContent>
                </v:textbox>
                <w10:wrap type="none"/>
              </v:rect>
            </w:pict>
          </mc:Fallback>
        </mc:AlternateContent>
      </w:r>
    </w:p>
    <w:p>
      <w:pPr>
        <w:pStyle w:val="TextBody"/>
        <w:bidi w:val="0"/>
        <w:spacing w:lineRule="auto" w:line="288" w:before="200" w:after="140"/>
        <w:jc w:val="both"/>
        <w:rPr/>
      </w:pPr>
      <w:r>
        <w:rPr>
          <w:rFonts w:ascii="Times New Roman;serif" w:hAnsi="Times New Roman;serif"/>
          <w:b/>
          <w:color w:val="000000"/>
          <w:sz w:val="22"/>
        </w:rPr>
        <w:t xml:space="preserve">1. </w:t>
      </w:r>
      <w:r>
        <w:rPr>
          <w:rFonts w:ascii="Times New Roman;serif" w:hAnsi="Times New Roman;serif"/>
          <w:b/>
          <w:color w:val="000000"/>
          <w:sz w:val="22"/>
          <w:u w:val="single"/>
        </w:rPr>
        <w:t>EXCHANGE</w:t>
      </w:r>
    </w:p>
    <w:p>
      <w:pPr>
        <w:pStyle w:val="TextBody"/>
        <w:bidi w:val="0"/>
        <w:spacing w:lineRule="auto" w:line="288" w:before="80" w:after="120"/>
        <w:ind w:left="0" w:right="0" w:hanging="504"/>
        <w:jc w:val="both"/>
        <w:rPr/>
      </w:pPr>
      <w:r>
        <w:rPr>
          <w:rFonts w:ascii="Times New Roman;serif" w:hAnsi="Times New Roman;serif"/>
          <w:b/>
          <w:color w:val="000000"/>
          <w:sz w:val="22"/>
        </w:rPr>
        <w:t>1.1 Exchange.</w:t>
      </w:r>
      <w:r>
        <w:rPr>
          <w:color w:val="000000"/>
        </w:rPr>
        <w:t xml:space="preserve"> </w:t>
      </w:r>
      <w:r>
        <w:rPr>
          <w:rFonts w:ascii="Times New Roman;serif" w:hAnsi="Times New Roman;serif"/>
          <w:b w:val="false"/>
          <w:color w:val="000000"/>
          <w:sz w:val="22"/>
        </w:rPr>
        <w:t>At the Closing and subject to the terms of this Agreement, each Holder shall surrender its Holder Exchanged 2026 Notes to the Company for cancellation and retirement, and the Company shall issue and deliver to that Holder its Holder Exchange 2030 Notes and Warrant. With respect to each Holder, its Holder Exchange 2030 Notes and Warrant are referred to together as its “</w:t>
      </w:r>
      <w:r>
        <w:rPr>
          <w:rFonts w:ascii="Times New Roman;serif" w:hAnsi="Times New Roman;serif"/>
          <w:b w:val="false"/>
          <w:color w:val="000000"/>
          <w:sz w:val="22"/>
          <w:u w:val="single"/>
        </w:rPr>
        <w:t>Exchange Securities</w:t>
      </w:r>
      <w:r>
        <w:rPr>
          <w:rFonts w:ascii="Times New Roman;serif" w:hAnsi="Times New Roman;serif"/>
          <w:b w:val="false"/>
          <w:color w:val="000000"/>
          <w:sz w:val="22"/>
        </w:rPr>
        <w:t>.” No Warrant Shares are issued at the Closing, and Warrant Shares are not Exchange Securities for purposes of the Section 3(a)(9) exemption applicable to the Exchanges.</w:t>
      </w:r>
    </w:p>
    <w:p>
      <w:pPr>
        <w:pStyle w:val="TextBody"/>
        <w:bidi w:val="0"/>
        <w:spacing w:lineRule="auto" w:line="288" w:before="80" w:after="120"/>
        <w:ind w:left="0" w:right="0" w:hanging="504"/>
        <w:jc w:val="both"/>
        <w:rPr/>
      </w:pPr>
      <w:r>
        <w:rPr>
          <w:rFonts w:ascii="Times New Roman;serif" w:hAnsi="Times New Roman;serif"/>
          <w:b/>
          <w:color w:val="000000"/>
          <w:sz w:val="22"/>
        </w:rPr>
        <w:t>1.2 Holder Exchange 2030 Notes and Warrant.</w:t>
      </w:r>
      <w:r>
        <w:rPr>
          <w:color w:val="000000"/>
        </w:rPr>
        <w:t xml:space="preserve"> </w:t>
      </w:r>
      <w:r>
        <w:rPr>
          <w:rFonts w:ascii="Times New Roman;serif" w:hAnsi="Times New Roman;serif"/>
          <w:b w:val="false"/>
          <w:color w:val="000000"/>
          <w:sz w:val="22"/>
        </w:rPr>
        <w:t>For each account identified on a Holder Signature Page, the principal amount of Holder Exchange 2030 Notes will equal the principal amount of that Holder’s Holder Exchanged 2026 Notes, plus accrued and unpaid interest from July 31, 2026 through, but not including, the date of Closing, rounded down once to the nearest lower integral multiple of $11. The (i) aggregate principal amount and number of authorized $11 denominations of Holder Exchange 2030 Notes and (ii) the term, exercise price, and number of shares subject to such Holder’s Warrant, are each as set forth on such Holder’s Holder Signature Page, subject to adjustment as provided for in the 2030 Indenture and applicable Warrant.</w:t>
      </w:r>
    </w:p>
    <w:p>
      <w:pPr>
        <w:pStyle w:val="TextBody"/>
        <w:bidi w:val="0"/>
        <w:spacing w:lineRule="auto" w:line="288" w:before="80" w:after="120"/>
        <w:ind w:left="0" w:right="0" w:hanging="504"/>
        <w:jc w:val="both"/>
        <w:rPr/>
      </w:pPr>
      <w:r>
        <w:rPr>
          <w:rFonts w:ascii="Times New Roman;serif" w:hAnsi="Times New Roman;serif"/>
          <w:b/>
          <w:color w:val="000000"/>
          <w:sz w:val="22"/>
        </w:rPr>
        <w:t>1.3 Closing and Delivery.</w:t>
      </w:r>
      <w:r>
        <w:rPr>
          <w:color w:val="000000"/>
        </w:rPr>
        <w:t xml:space="preserve"> </w:t>
      </w:r>
      <w:r>
        <w:rPr>
          <w:rFonts w:ascii="Times New Roman;serif" w:hAnsi="Times New Roman;serif"/>
          <w:b w:val="false"/>
          <w:color w:val="000000"/>
          <w:sz w:val="22"/>
        </w:rPr>
        <w:t>The closing of the Exchanges (the “</w:t>
      </w:r>
      <w:r>
        <w:rPr>
          <w:rFonts w:ascii="Times New Roman;serif" w:hAnsi="Times New Roman;serif"/>
          <w:b w:val="false"/>
          <w:color w:val="000000"/>
          <w:sz w:val="22"/>
          <w:u w:val="single"/>
        </w:rPr>
        <w:t>Closing</w:t>
      </w:r>
      <w:r>
        <w:rPr>
          <w:color w:val="000000"/>
        </w:rPr>
        <w:t>”</w:t>
      </w:r>
      <w:r>
        <w:rPr>
          <w:rFonts w:ascii="Times New Roman;serif" w:hAnsi="Times New Roman;serif"/>
          <w:b w:val="false"/>
          <w:color w:val="000000"/>
          <w:sz w:val="22"/>
        </w:rPr>
        <w:t>) shall occur remotely by exchange of documents and settlement instructions on the Effective Date. No later than 4:00 p.m. New York City time on October 1, 2026, unless the Company and the applicable Holder agree otherwise in writing, the Company shall:</w:t>
      </w:r>
    </w:p>
    <w:p>
      <w:pPr>
        <w:pStyle w:val="TextBody"/>
        <w:bidi w:val="0"/>
        <w:spacing w:lineRule="auto" w:line="288" w:before="0" w:after="80"/>
        <w:ind w:left="0" w:right="0" w:hanging="432"/>
        <w:jc w:val="both"/>
        <w:rPr/>
      </w:pPr>
      <w:r>
        <w:rPr>
          <w:rFonts w:ascii="Times New Roman;serif" w:hAnsi="Times New Roman;serif"/>
          <w:b w:val="false"/>
          <w:color w:val="000000"/>
          <w:sz w:val="22"/>
        </w:rPr>
        <w:t>(a) cause the Trustee to authenticate each Holder’s Holder Exchange 2030 Notes as Additional Notes under the 2030 Indenture and credit a beneficial interest in those notes through The Depository Trust Company (“</w:t>
      </w:r>
      <w:r>
        <w:rPr>
          <w:rFonts w:ascii="Times New Roman;serif" w:hAnsi="Times New Roman;serif"/>
          <w:b w:val="false"/>
          <w:color w:val="000000"/>
          <w:sz w:val="22"/>
          <w:u w:val="single"/>
        </w:rPr>
        <w:t>DTC</w:t>
      </w:r>
      <w:r>
        <w:rPr>
          <w:color w:val="000000"/>
        </w:rPr>
        <w:t>”</w:t>
      </w:r>
      <w:r>
        <w:rPr>
          <w:rFonts w:ascii="Times New Roman;serif" w:hAnsi="Times New Roman;serif"/>
          <w:b w:val="false"/>
          <w:color w:val="000000"/>
          <w:sz w:val="22"/>
        </w:rPr>
        <w:t>) to the account specified in that Holder’s settlement instructions on its Holder Signature Page; and</w:t>
      </w:r>
    </w:p>
    <w:p>
      <w:pPr>
        <w:pStyle w:val="TextBody"/>
        <w:bidi w:val="0"/>
        <w:spacing w:lineRule="auto" w:line="288" w:before="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(b) deliver to each Holder an executed Warrant, registered in that Holder’s name and completed with the number of Warrant Shares and other Holder-specific terms stated on that Holder’s Holder Signature Page, by electronic mail in PDF form, with an original to follow upon written request.</w:t>
      </w:r>
    </w:p>
    <w:p>
      <w:pPr>
        <w:pStyle w:val="TextBody"/>
        <w:bidi w:val="0"/>
        <w:spacing w:lineRule="auto" w:line="288" w:before="0" w:after="120"/>
        <w:ind w:left="0" w:right="0" w:firstLine="504"/>
        <w:jc w:val="both"/>
        <w:rPr/>
      </w:pPr>
      <w:r>
        <w:rPr>
          <w:rFonts w:ascii="Times New Roman;serif" w:hAnsi="Times New Roman;serif"/>
          <w:b w:val="false"/>
          <w:color w:val="000000"/>
          <w:sz w:val="22"/>
        </w:rPr>
        <w:t>With respect to each Holder, the time at which both deliveries described in clauses (a) and (b) have occurred is that Holder’s “</w:t>
      </w:r>
      <w:r>
        <w:rPr>
          <w:rFonts w:ascii="Times New Roman;serif" w:hAnsi="Times New Roman;serif"/>
          <w:b w:val="false"/>
          <w:color w:val="000000"/>
          <w:sz w:val="22"/>
          <w:u w:val="single"/>
        </w:rPr>
        <w:t>Delivery Time</w:t>
      </w:r>
      <w:r>
        <w:rPr>
          <w:rFonts w:ascii="Times New Roman;serif" w:hAnsi="Times New Roman;serif"/>
          <w:b w:val="false"/>
          <w:color w:val="000000"/>
          <w:sz w:val="22"/>
        </w:rPr>
        <w:t>.”</w:t>
      </w:r>
    </w:p>
    <w:p>
      <w:pPr>
        <w:pStyle w:val="TextBody"/>
        <w:bidi w:val="0"/>
        <w:spacing w:lineRule="auto" w:line="288" w:before="80" w:after="120"/>
        <w:ind w:left="0" w:right="0" w:hanging="504"/>
        <w:jc w:val="both"/>
        <w:rPr/>
      </w:pPr>
      <w:r>
        <w:rPr>
          <w:rFonts w:ascii="Times New Roman;serif" w:hAnsi="Times New Roman;serif"/>
          <w:b/>
          <w:color w:val="000000"/>
          <w:sz w:val="22"/>
        </w:rPr>
        <w:t>1.4 Extinguishment of Exchanged 2026 Notes.</w:t>
      </w:r>
      <w:r>
        <w:rPr>
          <w:color w:val="000000"/>
        </w:rPr>
        <w:t xml:space="preserve"> </w:t>
      </w:r>
      <w:r>
        <w:rPr>
          <w:rFonts w:ascii="Times New Roman;serif" w:hAnsi="Times New Roman;serif"/>
          <w:b w:val="false"/>
          <w:color w:val="000000"/>
          <w:sz w:val="22"/>
        </w:rPr>
        <w:t>At a Holder’s Delivery Time, all of that Holder’s rights under its Holder Exchanged 2026 Notes, including rights to principal, premium and accrued or unpaid interest, shall be irrevocably extinguished, except for rights created by this Agreement. An Exchange affects only the Holder Exchanged 2026 Notes identified on the applicable Holder Signature Page and does not affect any other 2026 Notes beneficially owned by that Holder.</w:t>
      </w:r>
    </w:p>
    <w:p>
      <w:pPr>
        <w:pStyle w:val="TextBody"/>
        <w:bidi w:val="0"/>
        <w:spacing w:lineRule="auto" w:line="288" w:before="80" w:after="120"/>
        <w:ind w:left="0" w:right="0" w:hanging="504"/>
        <w:jc w:val="both"/>
        <w:rPr/>
      </w:pPr>
      <w:r>
        <w:rPr>
          <w:rFonts w:ascii="Times New Roman;serif" w:hAnsi="Times New Roman;serif"/>
          <w:b/>
          <w:color w:val="000000"/>
          <w:sz w:val="22"/>
        </w:rPr>
        <w:t>1.5 Interest on Exchange 2030 Notes.</w:t>
      </w:r>
      <w:r>
        <w:rPr>
          <w:color w:val="000000"/>
        </w:rPr>
        <w:t xml:space="preserve"> </w:t>
      </w:r>
      <w:r>
        <w:rPr>
          <w:rFonts w:ascii="Times New Roman;serif" w:hAnsi="Times New Roman;serif"/>
          <w:b w:val="false"/>
          <w:color w:val="000000"/>
          <w:sz w:val="22"/>
        </w:rPr>
        <w:t>Each Holder’s Holder Exchange 2030 Notes shall have the same terms as the outstanding 2030 Notes, except for their issue date, and shall accrue interest from the most recent interest payment date to which interest on the outstanding 2030 Notes has been paid or duly provided, in each case as determined under the 2030 Indenture.</w:t>
      </w:r>
    </w:p>
    <w:p>
      <w:pPr>
        <w:pStyle w:val="TextBody"/>
        <w:bidi w:val="0"/>
        <w:spacing w:lineRule="auto" w:line="288" w:before="80" w:after="120"/>
        <w:ind w:left="0" w:right="0" w:hanging="504"/>
        <w:jc w:val="both"/>
        <w:rPr/>
      </w:pPr>
      <w:r>
        <w:rPr>
          <w:rFonts w:ascii="Times New Roman;serif" w:hAnsi="Times New Roman;serif"/>
          <w:b/>
          <w:color w:val="000000"/>
          <w:sz w:val="22"/>
        </w:rPr>
        <w:t>1.6 Trustee Instructions.</w:t>
      </w:r>
      <w:r>
        <w:rPr>
          <w:color w:val="000000"/>
        </w:rPr>
        <w:t xml:space="preserve"> </w:t>
      </w:r>
      <w:r>
        <w:rPr>
          <w:rFonts w:ascii="Times New Roman;serif" w:hAnsi="Times New Roman;serif"/>
          <w:b w:val="false"/>
          <w:color w:val="000000"/>
          <w:sz w:val="22"/>
        </w:rPr>
        <w:t>Promptly after execution of this Agreement, the Company and each Holder shall execute and deliver to the Trustee any joint or separate irrevocable instructions reasonably required by the Trustee to evidence that Holder’s Exchange, cancel its Holder Exchanged 2026 Notes, authenticate and deliver its Holder Exchange 2030 Notes, and adjust the applicable global-note positions. The Company and each Holder shall execute any other document reasonably necessary to complete the applicable Exchange in accordance with the 2026 Indenture and the 2030 Indenture.</w:t>
      </w:r>
    </w:p>
    <w:p>
      <w:pPr>
        <w:pStyle w:val="TextBody"/>
        <w:bidi w:val="0"/>
        <w:spacing w:lineRule="auto" w:line="288" w:before="80" w:after="120"/>
        <w:ind w:left="0" w:right="0" w:hanging="504"/>
        <w:jc w:val="both"/>
        <w:rPr/>
      </w:pPr>
      <w:r>
        <w:rPr>
          <w:rFonts w:ascii="Times New Roman;serif" w:hAnsi="Times New Roman;serif"/>
          <w:b/>
          <w:color w:val="000000"/>
          <w:sz w:val="22"/>
        </w:rPr>
        <w:t>1.7 No Other Consideration.</w:t>
      </w:r>
      <w:r>
        <w:rPr>
          <w:color w:val="000000"/>
        </w:rPr>
        <w:t xml:space="preserve"> </w:t>
      </w:r>
      <w:r>
        <w:rPr>
          <w:rFonts w:ascii="Times New Roman;serif" w:hAnsi="Times New Roman;serif"/>
          <w:b w:val="false"/>
          <w:color w:val="000000"/>
          <w:sz w:val="22"/>
        </w:rPr>
        <w:t>Other than a Holder’s Exchange Securities, neither that Holder nor any person acting for that Holder shall receive any cash, fee, commission, reimbursement or other consideration from the Company in connection with its Exchange, including, without limitation, any separate payment for accrued interest on its Holder Exchanged 2026 Notes.</w:t>
      </w:r>
    </w:p>
    <w:p>
      <w:pPr>
        <w:pStyle w:val="TextBody"/>
        <w:bidi w:val="0"/>
        <w:spacing w:lineRule="auto" w:line="288" w:before="0" w:after="0"/>
        <w:jc w:val="right"/>
        <w:rPr>
          <w:rFonts w:ascii="Times New Roman;serif" w:hAnsi="Times New Roman;serif"/>
          <w:b/>
          <w:i/>
          <w:color w:val="000000"/>
          <w:sz w:val="21"/>
        </w:rPr>
      </w:pPr>
      <w:r>
        <w:rPr>
          <w:rFonts w:ascii="Times New Roman;serif" w:hAnsi="Times New Roman;serif"/>
          <w:b/>
          <w:i/>
          <w:color w:val="000000"/>
          <w:sz w:val="21"/>
        </w:rPr>
        <w:t>Execution Version</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00.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2</w:t>
                      </w:r>
                    </w:p>
                  </w:txbxContent>
                </v:textbox>
                <w10:wrap type="none"/>
              </v:rect>
            </w:pict>
          </mc:Fallback>
        </mc:AlternateContent>
      </w:r>
    </w:p>
    <w:p>
      <w:pPr>
        <w:pStyle w:val="TextBody"/>
        <w:bidi w:val="0"/>
        <w:spacing w:lineRule="auto" w:line="288" w:before="80" w:after="120"/>
        <w:ind w:left="0" w:right="0" w:hanging="504"/>
        <w:jc w:val="both"/>
        <w:rPr/>
      </w:pPr>
      <w:r>
        <w:rPr>
          <w:rFonts w:ascii="Times New Roman;serif" w:hAnsi="Times New Roman;serif"/>
          <w:b/>
          <w:color w:val="000000"/>
          <w:sz w:val="22"/>
        </w:rPr>
        <w:t>1.8 Release.</w:t>
      </w:r>
      <w:r>
        <w:rPr>
          <w:color w:val="000000"/>
        </w:rPr>
        <w:t xml:space="preserve"> </w:t>
      </w:r>
      <w:r>
        <w:rPr>
          <w:rFonts w:ascii="Times New Roman;serif" w:hAnsi="Times New Roman;serif"/>
          <w:b w:val="false"/>
          <w:color w:val="000000"/>
          <w:sz w:val="22"/>
        </w:rPr>
        <w:t>Effective at a Holder’s Delivery Time, that Holder waives any and all other rights with respect to its Holder Exchanged 2026 Notes and releases the Company and its affiliates and representatives from any claim, action, cause of action or right, whether known or unknown, contingent or matured, arising out of or relating to its Holder Exchanged 2026 Notes, other than a claim to enforce this Agreement, its Holder Exchange 2030 Notes, the 2030 Indenture or its Warrant.</w:t>
      </w:r>
    </w:p>
    <w:p>
      <w:pPr>
        <w:pStyle w:val="TextBody"/>
        <w:bidi w:val="0"/>
        <w:spacing w:lineRule="auto" w:line="288" w:before="200" w:after="140"/>
        <w:jc w:val="both"/>
        <w:rPr/>
      </w:pPr>
      <w:r>
        <w:rPr>
          <w:rFonts w:ascii="Times New Roman;serif" w:hAnsi="Times New Roman;serif"/>
          <w:b/>
          <w:color w:val="000000"/>
          <w:sz w:val="22"/>
        </w:rPr>
        <w:t xml:space="preserve">2. </w:t>
      </w:r>
      <w:r>
        <w:rPr>
          <w:rFonts w:ascii="Times New Roman;serif" w:hAnsi="Times New Roman;serif"/>
          <w:b/>
          <w:color w:val="000000"/>
          <w:sz w:val="22"/>
          <w:u w:val="single"/>
        </w:rPr>
        <w:t>REPRESENTATIONS WARRANTIES AND COVENANTS OF THE COMPANY</w:t>
      </w:r>
    </w:p>
    <w:p>
      <w:pPr>
        <w:pStyle w:val="TextBody"/>
        <w:bidi w:val="0"/>
        <w:spacing w:lineRule="auto" w:line="288" w:before="80" w:after="120"/>
        <w:ind w:left="0" w:right="0" w:hanging="504"/>
        <w:jc w:val="both"/>
        <w:rPr/>
      </w:pPr>
      <w:r>
        <w:rPr>
          <w:rFonts w:ascii="Times New Roman;serif" w:hAnsi="Times New Roman;serif"/>
          <w:b/>
          <w:color w:val="000000"/>
          <w:sz w:val="22"/>
        </w:rPr>
        <w:t>2.1 Organization and Standing.</w:t>
      </w:r>
      <w:r>
        <w:rPr>
          <w:color w:val="000000"/>
        </w:rPr>
        <w:t xml:space="preserve"> </w:t>
      </w:r>
      <w:r>
        <w:rPr>
          <w:rFonts w:ascii="Times New Roman;serif" w:hAnsi="Times New Roman;serif"/>
          <w:b w:val="false"/>
          <w:color w:val="000000"/>
          <w:sz w:val="22"/>
        </w:rPr>
        <w:t>The Company is validly existing as a corporation in good standing under the laws of the State of Delaware and has full corporate power and authority to own or lease its properties, conduct its business, and enter into and perform this Agreement and the Warrants.</w:t>
      </w:r>
    </w:p>
    <w:p>
      <w:pPr>
        <w:pStyle w:val="TextBody"/>
        <w:bidi w:val="0"/>
        <w:spacing w:lineRule="auto" w:line="288" w:before="80" w:after="120"/>
        <w:ind w:left="0" w:right="0" w:hanging="504"/>
        <w:jc w:val="both"/>
        <w:rPr/>
      </w:pPr>
      <w:r>
        <w:rPr>
          <w:rFonts w:ascii="Times New Roman;serif" w:hAnsi="Times New Roman;serif"/>
          <w:b/>
          <w:color w:val="000000"/>
          <w:sz w:val="22"/>
        </w:rPr>
        <w:t>2.2 Authorization and Enforceability.</w:t>
      </w:r>
      <w:r>
        <w:rPr>
          <w:color w:val="000000"/>
        </w:rPr>
        <w:t xml:space="preserve"> </w:t>
      </w:r>
      <w:r>
        <w:rPr>
          <w:rFonts w:ascii="Times New Roman;serif" w:hAnsi="Times New Roman;serif"/>
          <w:b w:val="false"/>
          <w:color w:val="000000"/>
          <w:sz w:val="22"/>
        </w:rPr>
        <w:t>The Company has duly authorized, executed and delivered this Agreement. This Agreement constitutes, and each Warrant when executed and delivered will constitute, a valid and binding obligation of the Company, enforceable against the Company in accordance with its terms, subject to applicable bankruptcy, insolvency, reorganization, moratorium, fraudulent-transfer and similar laws affecting creditors’ rights generally and to general principles of equity.</w:t>
      </w:r>
    </w:p>
    <w:p>
      <w:pPr>
        <w:pStyle w:val="TextBody"/>
        <w:bidi w:val="0"/>
        <w:spacing w:lineRule="auto" w:line="288" w:before="80" w:after="120"/>
        <w:ind w:left="0" w:right="0" w:hanging="504"/>
        <w:jc w:val="both"/>
        <w:rPr/>
      </w:pPr>
      <w:r>
        <w:rPr>
          <w:rFonts w:ascii="Times New Roman;serif" w:hAnsi="Times New Roman;serif"/>
          <w:b/>
          <w:color w:val="000000"/>
          <w:sz w:val="22"/>
        </w:rPr>
        <w:t>2.3 Exchange 2030 Notes.</w:t>
      </w:r>
      <w:r>
        <w:rPr>
          <w:color w:val="000000"/>
        </w:rPr>
        <w:t xml:space="preserve"> </w:t>
      </w:r>
      <w:r>
        <w:rPr>
          <w:rFonts w:ascii="Times New Roman;serif" w:hAnsi="Times New Roman;serif"/>
          <w:b w:val="false"/>
          <w:color w:val="000000"/>
          <w:sz w:val="22"/>
        </w:rPr>
        <w:t xml:space="preserve">The Holder Exchange 2030 Notes have been duly authorized and, when authenticated by the Trustee and delivered in accordance with this Agreement and the 2030 Indenture, will constitute valid and binding senior obligations of the Company, entitled to the benefits of the 2030 Indenture and enforceable in accordance with their terms, subject to the limitations described in </w:t>
      </w:r>
      <w:r>
        <w:rPr>
          <w:rFonts w:ascii="Times New Roman;serif" w:hAnsi="Times New Roman;serif"/>
          <w:b w:val="false"/>
          <w:color w:val="000000"/>
          <w:sz w:val="22"/>
          <w:u w:val="single"/>
        </w:rPr>
        <w:t>Section 2.2</w:t>
      </w:r>
      <w:r>
        <w:rPr>
          <w:rFonts w:ascii="Times New Roman;serif" w:hAnsi="Times New Roman;serif"/>
          <w:b w:val="false"/>
          <w:color w:val="000000"/>
          <w:sz w:val="22"/>
        </w:rPr>
        <w:t>. The Holder Exchange 2030 Notes will be issued free of any lien or encumbrance created by the Company, other than transfer restrictions arising under applicable securities laws or the 2030 Indenture.</w:t>
      </w:r>
    </w:p>
    <w:p>
      <w:pPr>
        <w:pStyle w:val="TextBody"/>
        <w:bidi w:val="0"/>
        <w:spacing w:lineRule="auto" w:line="288" w:before="80" w:after="120"/>
        <w:ind w:left="0" w:right="0" w:hanging="504"/>
        <w:jc w:val="both"/>
        <w:rPr/>
      </w:pPr>
      <w:r>
        <w:rPr>
          <w:rFonts w:ascii="Times New Roman;serif" w:hAnsi="Times New Roman;serif"/>
          <w:b/>
          <w:color w:val="000000"/>
          <w:sz w:val="22"/>
        </w:rPr>
        <w:t>2.4 Warrants and Warrant Shares.</w:t>
      </w:r>
      <w:r>
        <w:rPr>
          <w:color w:val="000000"/>
        </w:rPr>
        <w:t xml:space="preserve"> </w:t>
      </w:r>
      <w:r>
        <w:rPr>
          <w:rFonts w:ascii="Times New Roman;serif" w:hAnsi="Times New Roman;serif"/>
          <w:b w:val="false"/>
          <w:color w:val="000000"/>
          <w:sz w:val="22"/>
        </w:rPr>
        <w:t xml:space="preserve">Each Warrant has been duly authorized and, when executed and delivered as an Exchange Security in accordance with this Agreement, will constitute a valid and binding obligation of the Company, subject to the limitations described in </w:t>
      </w:r>
      <w:r>
        <w:rPr>
          <w:rFonts w:ascii="Times New Roman;serif" w:hAnsi="Times New Roman;serif"/>
          <w:b w:val="false"/>
          <w:color w:val="000000"/>
          <w:sz w:val="22"/>
          <w:u w:val="single"/>
        </w:rPr>
        <w:t>Section 2.2</w:t>
      </w:r>
      <w:r>
        <w:rPr>
          <w:rFonts w:ascii="Times New Roman;serif" w:hAnsi="Times New Roman;serif"/>
          <w:b w:val="false"/>
          <w:color w:val="000000"/>
          <w:sz w:val="22"/>
        </w:rPr>
        <w:t>. The Company has duly authorized a sufficient number of shares of Class A Common Stock for issuance upon exercise of all Warrants. When issued upon a valid exercise of a Warrant, receipt by the Company of the full Exercise Price in cash, and satisfaction of the securities-law conditions in this Agreement and the applicable Warrant, the Warrant Shares will be duly authorized, validly issued, fully paid and nonassessable, and free of any lien or encumbrance created by the Company, other than transfer restrictions arising under applicable securities laws. The Company intends to issue the Warrant Shares in reliance on Section 4(a)(2) of the Securities Act.</w:t>
      </w:r>
    </w:p>
    <w:p>
      <w:pPr>
        <w:pStyle w:val="TextBody"/>
        <w:bidi w:val="0"/>
        <w:spacing w:lineRule="auto" w:line="288" w:before="80" w:after="120"/>
        <w:ind w:left="0" w:right="0" w:hanging="504"/>
        <w:jc w:val="both"/>
        <w:rPr/>
      </w:pPr>
      <w:r>
        <w:rPr>
          <w:rFonts w:ascii="Times New Roman;serif" w:hAnsi="Times New Roman;serif"/>
          <w:b/>
          <w:color w:val="000000"/>
          <w:sz w:val="22"/>
        </w:rPr>
        <w:t>2.5 Consents.</w:t>
      </w:r>
      <w:r>
        <w:rPr>
          <w:color w:val="000000"/>
        </w:rPr>
        <w:t xml:space="preserve"> </w:t>
      </w:r>
      <w:r>
        <w:rPr>
          <w:rFonts w:ascii="Times New Roman;serif" w:hAnsi="Times New Roman;serif"/>
          <w:b w:val="false"/>
          <w:color w:val="000000"/>
          <w:sz w:val="22"/>
        </w:rPr>
        <w:t>No consent, waiver, approval, authorization, designation, declaration or filing with any governmental authority or other person is required on the part of the Company for the valid execution and delivery of this Agreement or the consummation of the Exchanges, except for (a) filings required under applicable federal or state securities laws or the rules of the applicable Trading Market, (b) actions and documents required under the 2026 Indenture or the 2030 Indenture, and (c) consents or approvals already obtained or that may be obtained after the Effective Date without materially impairing the Company’s ability to complete the Exchanges.</w:t>
      </w:r>
    </w:p>
    <w:p>
      <w:pPr>
        <w:pStyle w:val="TextBody"/>
        <w:bidi w:val="0"/>
        <w:spacing w:lineRule="auto" w:line="288" w:before="80" w:after="120"/>
        <w:ind w:left="0" w:right="0" w:hanging="504"/>
        <w:jc w:val="both"/>
        <w:rPr/>
      </w:pPr>
      <w:r>
        <w:rPr>
          <w:rFonts w:ascii="Times New Roman;serif" w:hAnsi="Times New Roman;serif"/>
          <w:b/>
          <w:color w:val="000000"/>
          <w:sz w:val="22"/>
        </w:rPr>
        <w:t>2.6 No Conflict.</w:t>
      </w:r>
      <w:r>
        <w:rPr>
          <w:color w:val="000000"/>
        </w:rPr>
        <w:t xml:space="preserve"> </w:t>
      </w:r>
      <w:r>
        <w:rPr>
          <w:rFonts w:ascii="Times New Roman;serif" w:hAnsi="Times New Roman;serif"/>
          <w:b w:val="false"/>
          <w:color w:val="000000"/>
          <w:sz w:val="22"/>
        </w:rPr>
        <w:t>The execution and delivery of this Agreement and the Warrants and the performance of the transactions contemplated by them will not (a) violate the Company’s certificate of incorporation or bylaws, (b) result in a material breach or default under any material agreement binding on the Company, including the 2026 Indenture or the 2030 Indenture, or (c) violate any applicable law, judgment or order, except in the case of clauses (b) and (c) for a breach, default or violation that would not reasonably be expected to have a material adverse effect on the Company’s ability to perform its obligations under this Agreement.</w:t>
      </w:r>
    </w:p>
    <w:p>
      <w:pPr>
        <w:pStyle w:val="TextBody"/>
        <w:bidi w:val="0"/>
        <w:spacing w:lineRule="auto" w:line="288" w:before="0" w:after="0"/>
        <w:jc w:val="right"/>
        <w:rPr>
          <w:rFonts w:ascii="Times New Roman;serif" w:hAnsi="Times New Roman;serif"/>
          <w:b/>
          <w:i/>
          <w:color w:val="000000"/>
          <w:sz w:val="21"/>
        </w:rPr>
      </w:pPr>
      <w:r>
        <w:rPr>
          <w:rFonts w:ascii="Times New Roman;serif" w:hAnsi="Times New Roman;serif"/>
          <w:b/>
          <w:i/>
          <w:color w:val="000000"/>
          <w:sz w:val="21"/>
        </w:rPr>
        <w:t>Execution Version</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00.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3</w:t>
                      </w:r>
                    </w:p>
                  </w:txbxContent>
                </v:textbox>
                <w10:wrap type="none"/>
              </v:rect>
            </w:pict>
          </mc:Fallback>
        </mc:AlternateContent>
      </w:r>
    </w:p>
    <w:p>
      <w:pPr>
        <w:pStyle w:val="TextBody"/>
        <w:bidi w:val="0"/>
        <w:spacing w:lineRule="auto" w:line="288" w:before="80" w:after="120"/>
        <w:ind w:left="0" w:right="0" w:hanging="504"/>
        <w:jc w:val="both"/>
        <w:rPr/>
      </w:pPr>
      <w:r>
        <w:rPr>
          <w:rFonts w:ascii="Times New Roman;serif" w:hAnsi="Times New Roman;serif"/>
          <w:b/>
          <w:color w:val="000000"/>
          <w:sz w:val="22"/>
        </w:rPr>
        <w:t>2.7 Section 3(a)(9) Exchanges and No Remuneration.</w:t>
      </w:r>
      <w:r>
        <w:rPr>
          <w:color w:val="000000"/>
        </w:rPr>
        <w:t xml:space="preserve"> </w:t>
      </w:r>
      <w:r>
        <w:rPr>
          <w:rFonts w:ascii="Times New Roman;serif" w:hAnsi="Times New Roman;serif"/>
          <w:b w:val="false"/>
          <w:color w:val="000000"/>
          <w:sz w:val="22"/>
        </w:rPr>
        <w:t>The Company intends that the offer and issuance of each Holder’s Holder Exchange 2030 Notes and Warrant in exchange for its Holder Exchanged 2026 Notes will be exempt from registration under Section 3(a)(9) of the Securities Act and applicable state securities laws. Neither the Company nor any person acting on its behalf has paid or will pay any commission or other remuneration, directly or indirectly, for soliciting any Exchange, and the Company will not knowingly take any action that would cause the loss of the claimed exemption. The Company is not relying on Section 3(a)(9) for an issuance of Warrant Shares upon exercise of a Warrant.</w:t>
      </w:r>
    </w:p>
    <w:p>
      <w:pPr>
        <w:pStyle w:val="TextBody"/>
        <w:bidi w:val="0"/>
        <w:spacing w:lineRule="auto" w:line="288" w:before="80" w:after="120"/>
        <w:ind w:left="0" w:right="0" w:hanging="504"/>
        <w:jc w:val="both"/>
        <w:rPr/>
      </w:pPr>
      <w:r>
        <w:rPr>
          <w:rFonts w:ascii="Times New Roman;serif" w:hAnsi="Times New Roman;serif"/>
          <w:b/>
          <w:color w:val="000000"/>
          <w:sz w:val="22"/>
        </w:rPr>
        <w:t>2.8 No General Solicitation.</w:t>
      </w:r>
      <w:r>
        <w:rPr>
          <w:color w:val="000000"/>
        </w:rPr>
        <w:t xml:space="preserve"> </w:t>
      </w:r>
      <w:r>
        <w:rPr>
          <w:rFonts w:ascii="Times New Roman;serif" w:hAnsi="Times New Roman;serif"/>
          <w:b w:val="false"/>
          <w:color w:val="000000"/>
          <w:sz w:val="22"/>
        </w:rPr>
        <w:t>Neither the Company nor any person acting on its behalf has used or will use general solicitation or general advertising in connection with any Exchange or the offer or sale of Warrant Shares represented by any Warrant. The Company has offered the Warrants and Warrant Shares only through direct communications with the Holders arising from each Holder’s existing relationship with the Company as a holder of Holder Exchanged 2026 Notes.</w:t>
      </w:r>
    </w:p>
    <w:p>
      <w:pPr>
        <w:pStyle w:val="TextBody"/>
        <w:bidi w:val="0"/>
        <w:spacing w:lineRule="auto" w:line="288" w:before="80" w:after="120"/>
        <w:ind w:left="0" w:right="0" w:hanging="504"/>
        <w:jc w:val="both"/>
        <w:rPr/>
      </w:pPr>
      <w:r>
        <w:rPr>
          <w:rFonts w:ascii="Times New Roman;serif" w:hAnsi="Times New Roman;serif"/>
          <w:b/>
          <w:color w:val="000000"/>
          <w:sz w:val="22"/>
        </w:rPr>
        <w:t>2.9 Litigation.</w:t>
      </w:r>
      <w:r>
        <w:rPr>
          <w:color w:val="000000"/>
        </w:rPr>
        <w:t xml:space="preserve"> </w:t>
      </w:r>
      <w:r>
        <w:rPr>
          <w:rFonts w:ascii="Times New Roman;serif" w:hAnsi="Times New Roman;serif"/>
          <w:b w:val="false"/>
          <w:color w:val="000000"/>
          <w:sz w:val="22"/>
        </w:rPr>
        <w:t>Except as disclosed in the reports, schedules, forms, statements and other documents filed by the Company with the Securities and Exchange Commission (the “</w:t>
      </w:r>
      <w:r>
        <w:rPr>
          <w:rFonts w:ascii="Times New Roman;serif" w:hAnsi="Times New Roman;serif"/>
          <w:b w:val="false"/>
          <w:color w:val="000000"/>
          <w:sz w:val="22"/>
          <w:u w:val="single"/>
        </w:rPr>
        <w:t>SEC</w:t>
      </w:r>
      <w:r>
        <w:rPr>
          <w:color w:val="000000"/>
        </w:rPr>
        <w:t>”</w:t>
      </w:r>
      <w:r>
        <w:rPr>
          <w:rFonts w:ascii="Times New Roman;serif" w:hAnsi="Times New Roman;serif"/>
          <w:b w:val="false"/>
          <w:color w:val="000000"/>
          <w:sz w:val="22"/>
        </w:rPr>
        <w:t>) under the Securities Exchange Act of 1934, as amended (the “</w:t>
      </w:r>
      <w:r>
        <w:rPr>
          <w:rFonts w:ascii="Times New Roman;serif" w:hAnsi="Times New Roman;serif"/>
          <w:b w:val="false"/>
          <w:color w:val="000000"/>
          <w:sz w:val="22"/>
          <w:u w:val="single"/>
        </w:rPr>
        <w:t>Exchange Act</w:t>
      </w:r>
      <w:r>
        <w:rPr>
          <w:color w:val="000000"/>
        </w:rPr>
        <w:t>”</w:t>
      </w:r>
      <w:r>
        <w:rPr>
          <w:rFonts w:ascii="Times New Roman;serif" w:hAnsi="Times New Roman;serif"/>
          <w:b w:val="false"/>
          <w:color w:val="000000"/>
          <w:sz w:val="22"/>
        </w:rPr>
        <w:t>), there is no action, suit, proceeding, inquiry or investigation pending or, to the Company’s knowledge, threatened against the Company that would reasonably be expected to prevent or materially delay any Exchange.</w:t>
      </w:r>
    </w:p>
    <w:p>
      <w:pPr>
        <w:pStyle w:val="TextBody"/>
        <w:bidi w:val="0"/>
        <w:spacing w:lineRule="auto" w:line="288" w:before="80" w:after="120"/>
        <w:ind w:left="0" w:right="0" w:hanging="504"/>
        <w:jc w:val="both"/>
        <w:rPr/>
      </w:pPr>
      <w:r>
        <w:rPr>
          <w:rFonts w:ascii="Times New Roman;serif" w:hAnsi="Times New Roman;serif"/>
          <w:b/>
          <w:color w:val="000000"/>
          <w:sz w:val="22"/>
        </w:rPr>
        <w:t>2.10 Public Disclosure and Information.</w:t>
      </w:r>
      <w:r>
        <w:rPr>
          <w:color w:val="000000"/>
        </w:rPr>
        <w:t xml:space="preserve"> </w:t>
      </w:r>
      <w:r>
        <w:rPr>
          <w:rFonts w:ascii="Times New Roman;serif" w:hAnsi="Times New Roman;serif"/>
          <w:b w:val="false"/>
          <w:color w:val="000000"/>
          <w:sz w:val="22"/>
        </w:rPr>
        <w:t xml:space="preserve">Other than the existence and terms of the Exchanges before public disclosure, the Company has not knowingly provided any Holder with material nonpublic information regarding the Company. Notwithstanding the foregoing, the Company may provide a Holder with notices and information reasonably necessary to administer </w:t>
      </w:r>
      <w:r>
        <w:rPr>
          <w:rFonts w:ascii="Times New Roman;serif" w:hAnsi="Times New Roman;serif"/>
          <w:b w:val="false"/>
          <w:color w:val="000000"/>
          <w:sz w:val="22"/>
          <w:u w:val="single"/>
        </w:rPr>
        <w:t>Section 2.12</w:t>
      </w:r>
      <w:r>
        <w:rPr>
          <w:rFonts w:ascii="Times New Roman;serif" w:hAnsi="Times New Roman;serif"/>
          <w:b w:val="false"/>
          <w:color w:val="000000"/>
          <w:sz w:val="22"/>
        </w:rPr>
        <w:t xml:space="preserve">. Each Holder shall keep confidential any nonpublic notice or information received under </w:t>
      </w:r>
      <w:r>
        <w:rPr>
          <w:rFonts w:ascii="Times New Roman;serif" w:hAnsi="Times New Roman;serif"/>
          <w:b w:val="false"/>
          <w:color w:val="000000"/>
          <w:sz w:val="22"/>
          <w:u w:val="single"/>
        </w:rPr>
        <w:t>Section 2.12</w:t>
      </w:r>
      <w:r>
        <w:rPr>
          <w:rFonts w:ascii="Times New Roman;serif" w:hAnsi="Times New Roman;serif"/>
          <w:b w:val="false"/>
          <w:color w:val="000000"/>
          <w:sz w:val="22"/>
        </w:rPr>
        <w:t xml:space="preserve">, use it solely to evaluate or effect its participation in the applicable registration or offering, and comply with applicable securities laws and any lawful suspension notice until the information has been publicly disclosed by the Company or the Company has notified the Holder that the information is no longer material nonpublic information. The Company shall publicly disclose the material terms of the Exchanges within the time required by applicable law. The Company shall not disclose a Holder’s name except as required by law, regulation, court order, the rules of a Trading Market or an SEC filing obligation, or as reasonably necessary to include that Holder’s Registrable Warrant Shares in a registration or offering pursuant to </w:t>
      </w:r>
      <w:r>
        <w:rPr>
          <w:rFonts w:ascii="Times New Roman;serif" w:hAnsi="Times New Roman;serif"/>
          <w:b w:val="false"/>
          <w:color w:val="000000"/>
          <w:sz w:val="22"/>
          <w:u w:val="single"/>
        </w:rPr>
        <w:t>Section 2.12</w:t>
      </w:r>
      <w:r>
        <w:rPr>
          <w:rFonts w:ascii="Times New Roman;serif" w:hAnsi="Times New Roman;serif"/>
          <w:b w:val="false"/>
          <w:color w:val="000000"/>
          <w:sz w:val="22"/>
        </w:rPr>
        <w:t>.</w:t>
      </w:r>
    </w:p>
    <w:p>
      <w:pPr>
        <w:pStyle w:val="TextBody"/>
        <w:bidi w:val="0"/>
        <w:spacing w:lineRule="auto" w:line="288" w:before="80" w:after="120"/>
        <w:ind w:left="0" w:right="0" w:hanging="504"/>
        <w:jc w:val="both"/>
        <w:rPr/>
      </w:pPr>
      <w:r>
        <w:rPr>
          <w:rFonts w:ascii="Times New Roman;serif" w:hAnsi="Times New Roman;serif"/>
          <w:b/>
          <w:color w:val="000000"/>
          <w:sz w:val="22"/>
        </w:rPr>
        <w:t>2.11 Private Offering of Warrant Shares.</w:t>
      </w:r>
      <w:r>
        <w:rPr>
          <w:color w:val="000000"/>
        </w:rPr>
        <w:t xml:space="preserve"> </w:t>
      </w:r>
      <w:r>
        <w:rPr>
          <w:rFonts w:ascii="Times New Roman;serif" w:hAnsi="Times New Roman;serif"/>
          <w:b w:val="false"/>
          <w:color w:val="000000"/>
          <w:sz w:val="22"/>
        </w:rPr>
        <w:t>The offer of Warrant Shares represented by each Warrant and each issuance of Warrant Shares upon exercise of a Warrant are separate from the Exchanges. The Company intends to offer and issue the Warrant Shares in reliance on Section 4(a)(2) of the Securities Act.</w:t>
      </w:r>
    </w:p>
    <w:p>
      <w:pPr>
        <w:pStyle w:val="TextBody"/>
        <w:bidi w:val="0"/>
        <w:spacing w:lineRule="auto" w:line="288" w:before="80" w:after="120"/>
        <w:jc w:val="both"/>
        <w:rPr/>
      </w:pPr>
      <w:r>
        <w:rPr>
          <w:rFonts w:ascii="Times New Roman;serif" w:hAnsi="Times New Roman;serif"/>
          <w:b/>
          <w:color w:val="000000"/>
          <w:sz w:val="22"/>
        </w:rPr>
        <w:t>2.12 Piggyback Registration Rights.</w:t>
      </w:r>
      <w:r>
        <w:rPr>
          <w:color w:val="000000"/>
        </w:rPr>
        <w:t xml:space="preserve"> </w:t>
      </w:r>
      <w:r>
        <w:rPr>
          <w:rFonts w:ascii="Times New Roman;serif" w:hAnsi="Times New Roman;serif"/>
          <w:b w:val="false"/>
          <w:color w:val="000000"/>
          <w:sz w:val="22"/>
        </w:rPr>
        <w:t>If the Company proposes to register under the Securities Act any shares of Class A Common Stock for sale to the public, whether for its own account or for the account of another securityholder, the Company shall promptly notify each Holder and, upon the Holder’s written request delivered within five (5) Business Days after receipt of such notice (or such shorter period as the Company may reasonably specify for an overnight or similarly expedited offering), use its reasonable best efforts to include in the registration the shares of Class A Common Stock then held by the Holder or issuable upon exercise of the Holder’s Warrant that the Holder requests be included (the “</w:t>
      </w:r>
      <w:r>
        <w:rPr>
          <w:rFonts w:ascii="Times New Roman;serif" w:hAnsi="Times New Roman;serif"/>
          <w:b w:val="false"/>
          <w:color w:val="000000"/>
          <w:sz w:val="22"/>
          <w:u w:val="single"/>
        </w:rPr>
        <w:t>Registrable Warrant Shares</w:t>
      </w:r>
      <w:r>
        <w:rPr>
          <w:color w:val="000000"/>
        </w:rPr>
        <w:t>”</w:t>
      </w:r>
      <w:r>
        <w:rPr>
          <w:rFonts w:ascii="Times New Roman;serif" w:hAnsi="Times New Roman;serif"/>
          <w:b w:val="false"/>
          <w:color w:val="000000"/>
          <w:sz w:val="22"/>
        </w:rPr>
        <w:t xml:space="preserve">). This Section shall not apply to a registration on Form S-4 or Form S-8, a registration relating to a transaction described in Rule 145(a) under the Securities Act or a registration in which the only shares of Class A Common Stock being registered are issuable upon conversion of debt securities that are also being registered. If the managing underwriter or, in a non-underwritten offering, the Company reasonably determines in good faith that the number of securities requested to be included must be limited, then, subject to any priority accorded to securities offered by the Company for its own account, the Registrable Warrant Shares shall be reduced pro rata with the securities requested to be included by MIG REF II INFR, LLC and </w:t>
      </w:r>
    </w:p>
    <w:p>
      <w:pPr>
        <w:pStyle w:val="TextBody"/>
        <w:bidi w:val="0"/>
        <w:spacing w:lineRule="auto" w:line="288" w:before="0" w:after="0"/>
        <w:jc w:val="right"/>
        <w:rPr>
          <w:rFonts w:ascii="Times New Roman;serif" w:hAnsi="Times New Roman;serif"/>
          <w:b/>
          <w:i/>
          <w:color w:val="000000"/>
          <w:sz w:val="21"/>
        </w:rPr>
      </w:pPr>
      <w:r>
        <w:rPr>
          <w:rFonts w:ascii="Times New Roman;serif" w:hAnsi="Times New Roman;serif"/>
          <w:b/>
          <w:i/>
          <w:color w:val="000000"/>
          <w:sz w:val="21"/>
        </w:rPr>
        <w:t>Execution Version</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00.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4</w:t>
                      </w:r>
                    </w:p>
                  </w:txbxContent>
                </v:textbox>
                <w10:wrap type="none"/>
              </v:rect>
            </w:pict>
          </mc:Fallback>
        </mc:AlternateContent>
      </w:r>
    </w:p>
    <w:p>
      <w:pPr>
        <w:pStyle w:val="TextBody"/>
        <w:bidi w:val="0"/>
        <w:spacing w:lineRule="auto" w:line="288" w:before="80" w:after="120"/>
        <w:jc w:val="both"/>
        <w:rPr/>
      </w:pPr>
      <w:r>
        <w:rPr>
          <w:rFonts w:ascii="Times New Roman;serif" w:hAnsi="Times New Roman;serif"/>
          <w:b w:val="false"/>
          <w:color w:val="000000"/>
          <w:sz w:val="22"/>
        </w:rPr>
        <w:t>the other holders of Registrable Securities under the Investor Rights Agreement, dated September 10, 2026, between the Company and MIG REF II INFR, LLC (the “</w:t>
      </w:r>
      <w:r>
        <w:rPr>
          <w:rFonts w:ascii="Times New Roman;serif" w:hAnsi="Times New Roman;serif"/>
          <w:b w:val="false"/>
          <w:color w:val="000000"/>
          <w:sz w:val="22"/>
          <w:u w:val="single"/>
        </w:rPr>
        <w:t>MIG Rights Agreement</w:t>
      </w:r>
      <w:r>
        <w:rPr>
          <w:color w:val="000000"/>
        </w:rPr>
        <w:t>”</w:t>
      </w:r>
      <w:r>
        <w:rPr>
          <w:rFonts w:ascii="Times New Roman;serif" w:hAnsi="Times New Roman;serif"/>
          <w:b w:val="false"/>
          <w:color w:val="000000"/>
          <w:sz w:val="22"/>
        </w:rPr>
        <w:t>), and by any other selling securityholders participating in the registration, based on the respective numbers of securities requested to be included; provided that no holder under the MIG Rights Agreement shall be treated less favorably than a Holder with respect to any such reduction. No Holder shall have any right under this Section to require the Company to file a registration statement or initiate an offering; provided, however, that if the Company maintains an effective shelf registration statement that may lawfully be used for the resale of Registrable Warrant Shares, the Company shall, upon a Holder’s written request, use its reasonable best efforts to permit the Holder to sell its Registrable Warrant Shares pursuant to that registration statement, including by filing a reasonably necessary prospectus supplement or post-effective amendment that does not constitute a new registration statement. The Company may postpone, withdraw or abandon any registration or offering without liability to a Holder, and each Holder’s participation shall be subject to its timely provision of customary selling-securityholder information and its compliance with the applicable registration statement, prospectus, underwriting arrangements and lawful suspension notices. The Company shall bear the registration and filing expenses associated with the inclusion of the Registrable Warrant Shares, other than underwriting discounts, selling commissions and the fees and expenses of the Holder’s separate counsel. The rights provided by this Section shall survive the Closing and any exercise or expiration of the Warrants and shall terminate, with respect to any Registrable Warrant Shares, when those shares have been sold or may be sold under Rule 144 without volume or manner-of-sale limitations or any requirement that the Company satisfy the current-public-information requirements of Rule 144.</w:t>
      </w:r>
    </w:p>
    <w:p>
      <w:pPr>
        <w:pStyle w:val="TextBody"/>
        <w:bidi w:val="0"/>
        <w:spacing w:lineRule="auto" w:line="288" w:before="200" w:after="140"/>
        <w:jc w:val="both"/>
        <w:rPr/>
      </w:pPr>
      <w:r>
        <w:rPr>
          <w:rFonts w:ascii="Times New Roman;serif" w:hAnsi="Times New Roman;serif"/>
          <w:b/>
          <w:color w:val="000000"/>
          <w:sz w:val="22"/>
        </w:rPr>
        <w:t xml:space="preserve">3. </w:t>
      </w:r>
      <w:r>
        <w:rPr>
          <w:rFonts w:ascii="Times New Roman;serif" w:hAnsi="Times New Roman;serif"/>
          <w:b/>
          <w:color w:val="000000"/>
          <w:sz w:val="22"/>
          <w:u w:val="single"/>
        </w:rPr>
        <w:t>REPRESENTATIONS WARRANTIES AND COVENANTS OF EACH HOLDER</w:t>
      </w:r>
    </w:p>
    <w:p>
      <w:pPr>
        <w:pStyle w:val="TextBody"/>
        <w:bidi w:val="0"/>
        <w:spacing w:lineRule="auto" w:line="288" w:before="80" w:after="120"/>
        <w:ind w:left="0" w:right="0" w:hanging="504"/>
        <w:jc w:val="both"/>
        <w:rPr/>
      </w:pPr>
      <w:r>
        <w:rPr>
          <w:rFonts w:ascii="Times New Roman;serif" w:hAnsi="Times New Roman;serif"/>
          <w:b/>
          <w:color w:val="000000"/>
          <w:sz w:val="22"/>
        </w:rPr>
        <w:t>3.1 Status and Residence or Jurisdiction.</w:t>
      </w:r>
      <w:r>
        <w:rPr>
          <w:color w:val="000000"/>
        </w:rPr>
        <w:t xml:space="preserve"> </w:t>
      </w:r>
      <w:r>
        <w:rPr>
          <w:rFonts w:ascii="Times New Roman;serif" w:hAnsi="Times New Roman;serif"/>
          <w:b w:val="false"/>
          <w:color w:val="000000"/>
          <w:sz w:val="22"/>
        </w:rPr>
        <w:t>If a Holder is an individual, that Holder is a natural person and resides in the state or province identified on its Holder Signature Page. If a Holder is an entity, that Holder is duly organized, validly existing and, if applicable, in good standing under the laws of the jurisdiction identified on its Holder Signature Page.</w:t>
      </w:r>
    </w:p>
    <w:p>
      <w:pPr>
        <w:pStyle w:val="TextBody"/>
        <w:bidi w:val="0"/>
        <w:spacing w:lineRule="auto" w:line="288" w:before="80" w:after="120"/>
        <w:ind w:left="0" w:right="0" w:hanging="504"/>
        <w:jc w:val="both"/>
        <w:rPr/>
      </w:pPr>
      <w:r>
        <w:rPr>
          <w:rFonts w:ascii="Times New Roman;serif" w:hAnsi="Times New Roman;serif"/>
          <w:b/>
          <w:color w:val="000000"/>
          <w:sz w:val="22"/>
        </w:rPr>
        <w:t>3.2 Authority Capacity and Enforceability.</w:t>
      </w:r>
      <w:r>
        <w:rPr>
          <w:color w:val="000000"/>
        </w:rPr>
        <w:t xml:space="preserve"> </w:t>
      </w:r>
      <w:r>
        <w:rPr>
          <w:rFonts w:ascii="Times New Roman;serif" w:hAnsi="Times New Roman;serif"/>
          <w:b w:val="false"/>
          <w:color w:val="000000"/>
          <w:sz w:val="22"/>
        </w:rPr>
        <w:t>Each Holder has full legal right, power, authority and capacity to enter into this Agreement and perform its obligations. If a Holder is an entity, it has duly authorized the execution, delivery and performance of this Agreement, and the person signing on its behalf is duly authorized to do so. This Agreement constitutes a valid and binding obligation of each Holder, enforceable against that Holder in accordance with its terms, subject to applicable bankruptcy, insolvency, reorganization, moratorium and similar laws affecting creditors’ rights generally and to general principles of equity.</w:t>
      </w:r>
    </w:p>
    <w:p>
      <w:pPr>
        <w:pStyle w:val="TextBody"/>
        <w:bidi w:val="0"/>
        <w:spacing w:lineRule="auto" w:line="288" w:before="80" w:after="120"/>
        <w:ind w:left="0" w:right="0" w:hanging="504"/>
        <w:jc w:val="both"/>
        <w:rPr/>
      </w:pPr>
      <w:r>
        <w:rPr>
          <w:rFonts w:ascii="Times New Roman;serif" w:hAnsi="Times New Roman;serif"/>
          <w:b/>
          <w:color w:val="000000"/>
          <w:sz w:val="22"/>
        </w:rPr>
        <w:t>3.3 Ownership and Title.</w:t>
      </w:r>
      <w:r>
        <w:rPr>
          <w:color w:val="000000"/>
        </w:rPr>
        <w:t xml:space="preserve"> </w:t>
      </w:r>
      <w:r>
        <w:rPr>
          <w:rFonts w:ascii="Times New Roman;serif" w:hAnsi="Times New Roman;serif"/>
          <w:b w:val="false"/>
          <w:color w:val="000000"/>
          <w:sz w:val="22"/>
        </w:rPr>
        <w:t>Each Holder is the beneficial owner of the Holder Exchanged 2026 Notes identified on its Holder Signature Page and owns the entire beneficial interest in those notes free and clear of all liens, pledges, claims, security interests and other encumbrances. Each Holder has full power to surrender and transfer its Holder Exchanged 2026 Notes to the Company, and no agreement, restriction, vote, plan, proposal or right of another person prevents that Holder from completing its Exchange.</w:t>
      </w:r>
    </w:p>
    <w:p>
      <w:pPr>
        <w:pStyle w:val="TextBody"/>
        <w:bidi w:val="0"/>
        <w:spacing w:lineRule="auto" w:line="288" w:before="80" w:after="120"/>
        <w:ind w:left="0" w:right="0" w:hanging="504"/>
        <w:jc w:val="both"/>
        <w:rPr/>
      </w:pPr>
      <w:r>
        <w:rPr>
          <w:rFonts w:ascii="Times New Roman;serif" w:hAnsi="Times New Roman;serif"/>
          <w:b/>
          <w:color w:val="000000"/>
          <w:sz w:val="22"/>
        </w:rPr>
        <w:t>3.4 Securities Law Matters.</w:t>
      </w:r>
      <w:r>
        <w:rPr>
          <w:color w:val="000000"/>
        </w:rPr>
        <w:t xml:space="preserve"> </w:t>
      </w:r>
      <w:r>
        <w:rPr>
          <w:rFonts w:ascii="Times New Roman;serif" w:hAnsi="Times New Roman;serif"/>
          <w:b w:val="false"/>
          <w:color w:val="000000"/>
          <w:sz w:val="22"/>
        </w:rPr>
        <w:t>Each Holder understands that its Exchange Securities are being issued in an exchange intended to be exempt under Section 3(a)(9), but that the offer and issuance of Warrant Shares upon exercise of its Warrant are separate from the Exchanges and are intended to be made in reliance on Section 4(a)(2) of the Securities Act.</w:t>
      </w:r>
    </w:p>
    <w:p>
      <w:pPr>
        <w:pStyle w:val="TextBody"/>
        <w:bidi w:val="0"/>
        <w:spacing w:lineRule="auto" w:line="288" w:before="80" w:after="120"/>
        <w:ind w:left="0" w:right="0" w:hanging="504"/>
        <w:jc w:val="both"/>
        <w:rPr/>
      </w:pPr>
      <w:r>
        <w:rPr>
          <w:rFonts w:ascii="Times New Roman;serif" w:hAnsi="Times New Roman;serif"/>
          <w:b/>
          <w:color w:val="000000"/>
          <w:sz w:val="22"/>
        </w:rPr>
        <w:t>3.5 Non Affiliate and No Group.</w:t>
      </w:r>
      <w:r>
        <w:rPr>
          <w:color w:val="000000"/>
        </w:rPr>
        <w:t xml:space="preserve"> </w:t>
      </w:r>
      <w:r>
        <w:rPr>
          <w:rFonts w:ascii="Times New Roman;serif" w:hAnsi="Times New Roman;serif"/>
          <w:b w:val="false"/>
          <w:color w:val="000000"/>
          <w:sz w:val="22"/>
        </w:rPr>
        <w:t>No Holder is an Affiliate of the Company or has been an Affiliate of the Company during the three months preceding the Effective Date. Each Holder is acting independently in connection with its Exchange and is not acting as part of a group with any other Holder or person within the meaning of Section 13(d) of the Exchange Act. For purposes of this Agreement, “</w:t>
      </w:r>
      <w:r>
        <w:rPr>
          <w:rFonts w:ascii="Times New Roman;serif" w:hAnsi="Times New Roman;serif"/>
          <w:b w:val="false"/>
          <w:color w:val="000000"/>
          <w:sz w:val="22"/>
          <w:u w:val="single"/>
        </w:rPr>
        <w:t>Affiliate</w:t>
      </w:r>
      <w:r>
        <w:rPr>
          <w:color w:val="000000"/>
        </w:rPr>
        <w:t xml:space="preserve">” </w:t>
      </w:r>
      <w:r>
        <w:rPr>
          <w:rFonts w:ascii="Times New Roman;serif" w:hAnsi="Times New Roman;serif"/>
          <w:b w:val="false"/>
          <w:color w:val="000000"/>
          <w:sz w:val="22"/>
        </w:rPr>
        <w:t>has the meaning set forth in Rule 12b-2 under the Exchange Act.</w:t>
      </w:r>
    </w:p>
    <w:p>
      <w:pPr>
        <w:pStyle w:val="TextBody"/>
        <w:bidi w:val="0"/>
        <w:spacing w:lineRule="auto" w:line="288" w:before="0" w:after="0"/>
        <w:jc w:val="right"/>
        <w:rPr>
          <w:rFonts w:ascii="Times New Roman;serif" w:hAnsi="Times New Roman;serif"/>
          <w:b/>
          <w:i/>
          <w:color w:val="000000"/>
          <w:sz w:val="21"/>
        </w:rPr>
      </w:pPr>
      <w:r>
        <w:rPr>
          <w:rFonts w:ascii="Times New Roman;serif" w:hAnsi="Times New Roman;serif"/>
          <w:b/>
          <w:i/>
          <w:color w:val="000000"/>
          <w:sz w:val="21"/>
        </w:rPr>
        <w:t>Execution Version</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00.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5</w:t>
                      </w:r>
                    </w:p>
                  </w:txbxContent>
                </v:textbox>
                <w10:wrap type="none"/>
              </v:rect>
            </w:pict>
          </mc:Fallback>
        </mc:AlternateContent>
      </w:r>
    </w:p>
    <w:p>
      <w:pPr>
        <w:pStyle w:val="TextBody"/>
        <w:bidi w:val="0"/>
        <w:spacing w:lineRule="auto" w:line="288" w:before="80" w:after="120"/>
        <w:ind w:left="0" w:right="0" w:hanging="504"/>
        <w:jc w:val="both"/>
        <w:rPr/>
      </w:pPr>
      <w:r>
        <w:rPr>
          <w:rFonts w:ascii="Times New Roman;serif" w:hAnsi="Times New Roman;serif"/>
          <w:b/>
          <w:color w:val="000000"/>
          <w:sz w:val="22"/>
        </w:rPr>
        <w:t>3.6 Information and Advisers.</w:t>
      </w:r>
      <w:r>
        <w:rPr>
          <w:color w:val="000000"/>
        </w:rPr>
        <w:t xml:space="preserve"> </w:t>
      </w:r>
      <w:r>
        <w:rPr>
          <w:rFonts w:ascii="Times New Roman;serif" w:hAnsi="Times New Roman;serif"/>
          <w:b w:val="false"/>
          <w:color w:val="000000"/>
          <w:sz w:val="22"/>
        </w:rPr>
        <w:t>In deciding to enter into its Exchange, each Holder has relied on the Company’s SEC filings, the terms of the 2026 Notes, the 2030 Notes, the 2026 Indenture, the 2030 Indenture and the representations of the Company in this Agreement. Each Holder understands that neither this Agreement nor any related material constitutes legal, tax or investment advice, has consulted such advisers as it considers appropriate, and is responsible for its own tax consequences arising from its Exchange.</w:t>
      </w:r>
    </w:p>
    <w:p>
      <w:pPr>
        <w:pStyle w:val="TextBody"/>
        <w:bidi w:val="0"/>
        <w:spacing w:lineRule="auto" w:line="288" w:before="80" w:after="120"/>
        <w:ind w:left="0" w:right="0" w:hanging="504"/>
        <w:jc w:val="both"/>
        <w:rPr/>
      </w:pPr>
      <w:r>
        <w:rPr>
          <w:rFonts w:ascii="Times New Roman;serif" w:hAnsi="Times New Roman;serif"/>
          <w:b/>
          <w:color w:val="000000"/>
          <w:sz w:val="22"/>
        </w:rPr>
        <w:t>3.7 No Broker or Solicitor.</w:t>
      </w:r>
      <w:r>
        <w:rPr>
          <w:color w:val="000000"/>
        </w:rPr>
        <w:t xml:space="preserve"> </w:t>
      </w:r>
      <w:r>
        <w:rPr>
          <w:rFonts w:ascii="Times New Roman;serif" w:hAnsi="Times New Roman;serif"/>
          <w:b w:val="false"/>
          <w:color w:val="000000"/>
          <w:sz w:val="22"/>
        </w:rPr>
        <w:t>No Holder has engaged or authorized any broker, dealer, finder, investment banker or other person to solicit an Exchange or receive any commission or remuneration from the Company in connection with an Exchange.</w:t>
      </w:r>
    </w:p>
    <w:p>
      <w:pPr>
        <w:pStyle w:val="TextBody"/>
        <w:bidi w:val="0"/>
        <w:spacing w:lineRule="auto" w:line="288" w:before="80" w:after="120"/>
        <w:ind w:left="0" w:right="0" w:hanging="504"/>
        <w:jc w:val="both"/>
        <w:rPr/>
      </w:pPr>
      <w:r>
        <w:rPr>
          <w:rFonts w:ascii="Times New Roman;serif" w:hAnsi="Times New Roman;serif"/>
          <w:b/>
          <w:color w:val="000000"/>
          <w:sz w:val="22"/>
        </w:rPr>
        <w:t>3.8 Settlement Instructions.</w:t>
      </w:r>
      <w:r>
        <w:rPr>
          <w:color w:val="000000"/>
        </w:rPr>
        <w:t xml:space="preserve"> </w:t>
      </w:r>
      <w:r>
        <w:rPr>
          <w:rFonts w:ascii="Times New Roman;serif" w:hAnsi="Times New Roman;serif"/>
          <w:b w:val="false"/>
          <w:color w:val="000000"/>
          <w:sz w:val="22"/>
        </w:rPr>
        <w:t>The DTC or DWAC instructions supplied by each Holder are complete and accurate. Each Holder shall promptly provide any additional information or documentation reasonably requested by the Company or the Trustee to complete its Exchange.</w:t>
      </w:r>
    </w:p>
    <w:p>
      <w:pPr>
        <w:pStyle w:val="TextBody"/>
        <w:bidi w:val="0"/>
        <w:spacing w:lineRule="auto" w:line="288" w:before="80" w:after="120"/>
        <w:ind w:left="0" w:right="0" w:hanging="504"/>
        <w:jc w:val="both"/>
        <w:rPr/>
      </w:pPr>
      <w:r>
        <w:rPr>
          <w:rFonts w:ascii="Times New Roman;serif" w:hAnsi="Times New Roman;serif"/>
          <w:b/>
          <w:color w:val="000000"/>
          <w:sz w:val="22"/>
        </w:rPr>
        <w:t>3.9 Non Acquisition Covenant.</w:t>
      </w:r>
      <w:r>
        <w:rPr>
          <w:color w:val="000000"/>
        </w:rPr>
        <w:t xml:space="preserve"> </w:t>
      </w:r>
      <w:r>
        <w:rPr>
          <w:rFonts w:ascii="Times New Roman;serif" w:hAnsi="Times New Roman;serif"/>
          <w:b w:val="false"/>
          <w:color w:val="000000"/>
          <w:sz w:val="22"/>
        </w:rPr>
        <w:t>(a) From and after the Effective Date and for so long as any Holder Exchange 2030 Notes held by a Holder remain outstanding, that Holder shall not, directly or indirectly, alone or together with any of its Affiliates or any other person whose beneficial ownership would be aggregated with that Holder’s beneficial ownership under Section 13(d) of the Exchange Act and the rules promulgated thereunder: (i) acquire any additional 2026 Notes or 2030 Notes, other than the Exchange 2030 Notes issued to that Holder pursuant to this Agreement; or (ii) acquire beneficial ownership of any shares of Class A Common Stock, or any securities or rights exercisable for, convertible into or exchangeable for shares of Class A Common Stock, if, immediately after giving effect to that acquisition, that Holder and those other persons would beneficially own more than 4.99% of the outstanding Class A Common Stock. Beneficial ownership shall be determined in accordance with Section 13(d) of the Exchange Act and Rules 13d-3 and 13d-5 thereunder. A Holder shall not be deemed to violate clause (a)(ii) solely because of a reduction in the number of outstanding shares of Class A Common Stock not caused by an acquisition by that Holder; provided that the Holder shall not make any additional acquisition described in clause (a)(ii) while its beneficial ownership exceeds 4.99%. (b) For so long as a Holder or any of its Affiliates owns any portion of a Warrant, that Holder shall not, and shall cause its Affiliates and each account over which it or any of its Affiliates exercises investment discretion not to, directly or indirectly effect or agree to effect any Short Sale of the Class A Common Stock or otherwise establish or maintain a net short position in the Class A Common Stock. “</w:t>
      </w:r>
      <w:r>
        <w:rPr>
          <w:rFonts w:ascii="Times New Roman;serif" w:hAnsi="Times New Roman;serif"/>
          <w:b w:val="false"/>
          <w:color w:val="000000"/>
          <w:sz w:val="22"/>
          <w:u w:val="single"/>
        </w:rPr>
        <w:t>Short Sale</w:t>
      </w:r>
      <w:r>
        <w:rPr>
          <w:color w:val="000000"/>
        </w:rPr>
        <w:t xml:space="preserve">” </w:t>
      </w:r>
      <w:r>
        <w:rPr>
          <w:rFonts w:ascii="Times New Roman;serif" w:hAnsi="Times New Roman;serif"/>
          <w:b w:val="false"/>
          <w:color w:val="000000"/>
          <w:sz w:val="22"/>
        </w:rPr>
        <w:t xml:space="preserve">means a “short sale” as defined in Rule 200(a) of Regulation SHO under the Exchange Act. Nothing in this </w:t>
      </w:r>
      <w:r>
        <w:rPr>
          <w:rFonts w:ascii="Times New Roman;serif" w:hAnsi="Times New Roman;serif"/>
          <w:b w:val="false"/>
          <w:color w:val="000000"/>
          <w:sz w:val="22"/>
          <w:u w:val="single"/>
        </w:rPr>
        <w:t>Section 3.9</w:t>
      </w:r>
      <w:r>
        <w:rPr>
          <w:color w:val="000000"/>
        </w:rPr>
        <w:t xml:space="preserve"> </w:t>
      </w:r>
      <w:r>
        <w:rPr>
          <w:rFonts w:ascii="Times New Roman;serif" w:hAnsi="Times New Roman;serif"/>
          <w:b w:val="false"/>
          <w:color w:val="000000"/>
          <w:sz w:val="22"/>
        </w:rPr>
        <w:t>prohibits a Holder from selling shares of Class A Common Stock that the Holder owns and can deliver in accordance with applicable law by the applicable settlement date.</w:t>
      </w:r>
    </w:p>
    <w:p>
      <w:pPr>
        <w:pStyle w:val="TextBody"/>
        <w:bidi w:val="0"/>
        <w:spacing w:lineRule="auto" w:line="288" w:before="80" w:after="120"/>
        <w:ind w:left="0" w:right="0" w:hanging="504"/>
        <w:jc w:val="both"/>
        <w:rPr/>
      </w:pPr>
      <w:r>
        <w:rPr>
          <w:rFonts w:ascii="Times New Roman;serif" w:hAnsi="Times New Roman;serif"/>
          <w:b/>
          <w:color w:val="000000"/>
          <w:sz w:val="22"/>
        </w:rPr>
        <w:t>3.10 Private Placement Representations.</w:t>
      </w:r>
      <w:r>
        <w:rPr>
          <w:color w:val="000000"/>
        </w:rPr>
        <w:t xml:space="preserve"> </w:t>
      </w:r>
      <w:r>
        <w:rPr>
          <w:rFonts w:ascii="Times New Roman;serif" w:hAnsi="Times New Roman;serif"/>
          <w:b w:val="false"/>
          <w:color w:val="000000"/>
          <w:sz w:val="22"/>
        </w:rPr>
        <w:t xml:space="preserve">Each Holder represents and warrants that it is an accredited investor within the meaning of Rule 501(a) of Regulation D; is acquiring its Warrant and will acquire any Warrant Shares upon exercise for its own account and not with a present view to an unregistered public distribution in violation of the Securities Act or applicable state securities laws; alone or through its representatives has sufficient knowledge and experience in financial and business matters to evaluate the merits and risks of the investment and can bear the economic risk and complete loss; has had access to information concerning the Company and the securities and an opportunity to ask questions of the Company; was not offered its Warrant or Warrant Shares through general solicitation or general advertising; and understands that the Warrant Shares have not been registered, will be restricted securities, and may be transferred only pursuant to an effective registration statement or an available exemption. Nothing in this </w:t>
      </w:r>
      <w:r>
        <w:rPr>
          <w:rFonts w:ascii="Times New Roman;serif" w:hAnsi="Times New Roman;serif"/>
          <w:b w:val="false"/>
          <w:color w:val="000000"/>
          <w:sz w:val="22"/>
          <w:u w:val="single"/>
        </w:rPr>
        <w:t>Section 3.10</w:t>
      </w:r>
      <w:r>
        <w:rPr>
          <w:color w:val="000000"/>
        </w:rPr>
        <w:t xml:space="preserve"> </w:t>
      </w:r>
      <w:r>
        <w:rPr>
          <w:rFonts w:ascii="Times New Roman;serif" w:hAnsi="Times New Roman;serif"/>
          <w:b w:val="false"/>
          <w:color w:val="000000"/>
          <w:sz w:val="22"/>
        </w:rPr>
        <w:t xml:space="preserve">limits a Holder’s rights under </w:t>
      </w:r>
      <w:r>
        <w:rPr>
          <w:rFonts w:ascii="Times New Roman;serif" w:hAnsi="Times New Roman;serif"/>
          <w:b w:val="false"/>
          <w:color w:val="000000"/>
          <w:sz w:val="22"/>
          <w:u w:val="single"/>
        </w:rPr>
        <w:t>Section 2.12</w:t>
      </w:r>
      <w:r>
        <w:rPr>
          <w:color w:val="000000"/>
        </w:rPr>
        <w:t xml:space="preserve"> </w:t>
      </w:r>
      <w:r>
        <w:rPr>
          <w:rFonts w:ascii="Times New Roman;serif" w:hAnsi="Times New Roman;serif"/>
          <w:b w:val="false"/>
          <w:color w:val="000000"/>
          <w:sz w:val="22"/>
        </w:rPr>
        <w:t xml:space="preserve">or prohibits a Holder from reselling Warrant Shares pursuant to an effective registration statement or an available exemption from registration. This </w:t>
      </w:r>
      <w:r>
        <w:rPr>
          <w:rFonts w:ascii="Times New Roman;serif" w:hAnsi="Times New Roman;serif"/>
          <w:b w:val="false"/>
          <w:color w:val="000000"/>
          <w:sz w:val="22"/>
          <w:u w:val="single"/>
        </w:rPr>
        <w:t>Section 3.10</w:t>
      </w:r>
      <w:r>
        <w:rPr>
          <w:color w:val="000000"/>
        </w:rPr>
        <w:t xml:space="preserve"> </w:t>
      </w:r>
      <w:r>
        <w:rPr>
          <w:rFonts w:ascii="Times New Roman;serif" w:hAnsi="Times New Roman;serif"/>
          <w:b w:val="false"/>
          <w:color w:val="000000"/>
          <w:sz w:val="22"/>
        </w:rPr>
        <w:t>is true with respect to each Holder on the Effective Date, shall be deemed repeated by the applicable Holder on each exercise date and each issuance date, and each Holder shall promptly notify the Company if any statement ceases to be true.</w:t>
      </w:r>
    </w:p>
    <w:p>
      <w:pPr>
        <w:pStyle w:val="TextBody"/>
        <w:bidi w:val="0"/>
        <w:spacing w:lineRule="auto" w:line="288" w:before="0" w:after="0"/>
        <w:jc w:val="right"/>
        <w:rPr>
          <w:rFonts w:ascii="Times New Roman;serif" w:hAnsi="Times New Roman;serif"/>
          <w:b/>
          <w:i/>
          <w:color w:val="000000"/>
          <w:sz w:val="21"/>
        </w:rPr>
      </w:pPr>
      <w:r>
        <w:rPr>
          <w:rFonts w:ascii="Times New Roman;serif" w:hAnsi="Times New Roman;serif"/>
          <w:b/>
          <w:i/>
          <w:color w:val="000000"/>
          <w:sz w:val="21"/>
        </w:rPr>
        <w:t>Execution Version</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00.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6</w:t>
                      </w:r>
                    </w:p>
                  </w:txbxContent>
                </v:textbox>
                <w10:wrap type="none"/>
              </v:rect>
            </w:pict>
          </mc:Fallback>
        </mc:AlternateContent>
      </w:r>
    </w:p>
    <w:p>
      <w:pPr>
        <w:pStyle w:val="TextBody"/>
        <w:bidi w:val="0"/>
        <w:spacing w:lineRule="auto" w:line="288" w:before="200" w:after="140"/>
        <w:jc w:val="both"/>
        <w:rPr/>
      </w:pPr>
      <w:r>
        <w:rPr>
          <w:rFonts w:ascii="Times New Roman;serif" w:hAnsi="Times New Roman;serif"/>
          <w:b/>
          <w:color w:val="000000"/>
          <w:sz w:val="22"/>
        </w:rPr>
        <w:t xml:space="preserve">4. </w:t>
      </w:r>
      <w:r>
        <w:rPr>
          <w:rFonts w:ascii="Times New Roman;serif" w:hAnsi="Times New Roman;serif"/>
          <w:b/>
          <w:color w:val="000000"/>
          <w:sz w:val="22"/>
          <w:u w:val="single"/>
        </w:rPr>
        <w:t>CONDITIONS TO CLOSING</w:t>
      </w:r>
    </w:p>
    <w:p>
      <w:pPr>
        <w:pStyle w:val="TextBody"/>
        <w:bidi w:val="0"/>
        <w:spacing w:lineRule="auto" w:line="288" w:before="80" w:after="120"/>
        <w:ind w:left="0" w:right="0" w:hanging="504"/>
        <w:jc w:val="both"/>
        <w:rPr/>
      </w:pPr>
      <w:r>
        <w:rPr>
          <w:rFonts w:ascii="Times New Roman;serif" w:hAnsi="Times New Roman;serif"/>
          <w:b/>
          <w:color w:val="000000"/>
          <w:sz w:val="22"/>
        </w:rPr>
        <w:t>4.1 Mutual Conditions.</w:t>
      </w:r>
      <w:r>
        <w:rPr>
          <w:color w:val="000000"/>
        </w:rPr>
        <w:t xml:space="preserve"> </w:t>
      </w:r>
      <w:r>
        <w:rPr>
          <w:rFonts w:ascii="Times New Roman;serif" w:hAnsi="Times New Roman;serif"/>
          <w:b w:val="false"/>
          <w:color w:val="000000"/>
          <w:sz w:val="22"/>
        </w:rPr>
        <w:t>The Company’s and each Holder’s respective obligation to complete that Holder’s Exchange is subject to the following conditions at the Closing: (a) no law, order or injunction prohibits the applicable Exchange; (b) the representations and warranties of the Company and that Holder are true and correct in all material respects as of the Effective Date; and (c) the Company and that Holder have performed in all material respects the obligations required to be performed at or before the Closing.</w:t>
      </w:r>
    </w:p>
    <w:p>
      <w:pPr>
        <w:pStyle w:val="TextBody"/>
        <w:bidi w:val="0"/>
        <w:spacing w:lineRule="auto" w:line="288" w:before="80" w:after="120"/>
        <w:ind w:left="0" w:right="0" w:hanging="504"/>
        <w:jc w:val="both"/>
        <w:rPr/>
      </w:pPr>
      <w:r>
        <w:rPr>
          <w:rFonts w:ascii="Times New Roman;serif" w:hAnsi="Times New Roman;serif"/>
          <w:b/>
          <w:color w:val="000000"/>
          <w:sz w:val="22"/>
        </w:rPr>
        <w:t>4.2 Conditions for the Company.</w:t>
      </w:r>
      <w:r>
        <w:rPr>
          <w:color w:val="000000"/>
        </w:rPr>
        <w:t xml:space="preserve"> </w:t>
      </w:r>
      <w:r>
        <w:rPr>
          <w:rFonts w:ascii="Times New Roman;serif" w:hAnsi="Times New Roman;serif"/>
          <w:b w:val="false"/>
          <w:color w:val="000000"/>
          <w:sz w:val="22"/>
        </w:rPr>
        <w:t>The Company’s obligation to issue Exchange Securities to a Holder is subject to its receipt of evidence reasonably satisfactory to it and the Trustee that the entire beneficial interest in that Holder’s Holder Exchanged 2026 Notes has been validly surrendered for cancellation and is free of encumbrances.</w:t>
      </w:r>
    </w:p>
    <w:p>
      <w:pPr>
        <w:pStyle w:val="TextBody"/>
        <w:bidi w:val="0"/>
        <w:spacing w:lineRule="auto" w:line="288" w:before="80" w:after="120"/>
        <w:ind w:left="0" w:right="0" w:hanging="504"/>
        <w:jc w:val="both"/>
        <w:rPr/>
      </w:pPr>
      <w:r>
        <w:rPr>
          <w:rFonts w:ascii="Times New Roman;serif" w:hAnsi="Times New Roman;serif"/>
          <w:b/>
          <w:color w:val="000000"/>
          <w:sz w:val="22"/>
        </w:rPr>
        <w:t>4.3 Conditions for Each Holder.</w:t>
      </w:r>
      <w:r>
        <w:rPr>
          <w:color w:val="000000"/>
        </w:rPr>
        <w:t xml:space="preserve"> </w:t>
      </w:r>
      <w:r>
        <w:rPr>
          <w:rFonts w:ascii="Times New Roman;serif" w:hAnsi="Times New Roman;serif"/>
          <w:b w:val="false"/>
          <w:color w:val="000000"/>
          <w:sz w:val="22"/>
        </w:rPr>
        <w:t>Each Holder’s obligation to surrender its Holder Exchanged 2026 Notes is subject to (a) the Trustee’s authentication and delivery of that Holder’s Holder Exchange 2030 Notes, and (b) the Company’s execution and delivery of that Holder’s Warrant.</w:t>
      </w:r>
    </w:p>
    <w:p>
      <w:pPr>
        <w:pStyle w:val="TextBody"/>
        <w:bidi w:val="0"/>
        <w:spacing w:lineRule="auto" w:line="288" w:before="200" w:after="140"/>
        <w:jc w:val="both"/>
        <w:rPr/>
      </w:pPr>
      <w:r>
        <w:rPr>
          <w:rFonts w:ascii="Times New Roman;serif" w:hAnsi="Times New Roman;serif"/>
          <w:b/>
          <w:color w:val="000000"/>
          <w:sz w:val="22"/>
        </w:rPr>
        <w:t xml:space="preserve">5. </w:t>
      </w:r>
      <w:r>
        <w:rPr>
          <w:rFonts w:ascii="Times New Roman;serif" w:hAnsi="Times New Roman;serif"/>
          <w:b/>
          <w:color w:val="000000"/>
          <w:sz w:val="22"/>
          <w:u w:val="single"/>
        </w:rPr>
        <w:t>NOTICES</w:t>
      </w:r>
    </w:p>
    <w:p>
      <w:pPr>
        <w:pStyle w:val="TextBody"/>
        <w:bidi w:val="0"/>
        <w:spacing w:lineRule="auto" w:line="288" w:before="20" w:after="120"/>
        <w:ind w:left="0" w:right="0" w:hanging="504"/>
        <w:jc w:val="both"/>
        <w:rPr/>
      </w:pPr>
      <w:r>
        <w:rPr>
          <w:rFonts w:ascii="Times New Roman;serif" w:hAnsi="Times New Roman;serif"/>
          <w:b/>
          <w:color w:val="000000"/>
          <w:sz w:val="22"/>
        </w:rPr>
        <w:t xml:space="preserve">5.1 Method of Notice. </w:t>
      </w:r>
      <w:r>
        <w:rPr>
          <w:rFonts w:ascii="Times New Roman;serif" w:hAnsi="Times New Roman;serif"/>
          <w:b w:val="false"/>
          <w:color w:val="000000"/>
          <w:sz w:val="22"/>
        </w:rPr>
        <w:t>Every notice, request, consent, and other communication under this Agreement must be in writing and delivered personally, sent by confirmed electronic mail, or sent by a nationally recognized overnight courier. A notice is effective (a) when delivered personally, (b) when transmitted by electronic mail before 5:30 p.m. New York City time on a Business Day, otherwise on the next Business Day, or (c) on receipt if sent by overnight courier. “</w:t>
      </w:r>
      <w:r>
        <w:rPr>
          <w:rFonts w:ascii="Times New Roman;serif" w:hAnsi="Times New Roman;serif"/>
          <w:b w:val="false"/>
          <w:color w:val="000000"/>
          <w:sz w:val="22"/>
          <w:u w:val="single"/>
        </w:rPr>
        <w:t>Business Day</w:t>
      </w:r>
      <w:r>
        <w:rPr>
          <w:color w:val="000000"/>
        </w:rPr>
        <w:t xml:space="preserve">” </w:t>
      </w:r>
      <w:r>
        <w:rPr>
          <w:rFonts w:ascii="Times New Roman;serif" w:hAnsi="Times New Roman;serif"/>
          <w:b w:val="false"/>
          <w:color w:val="000000"/>
          <w:sz w:val="22"/>
        </w:rPr>
        <w:t>means any day other than Saturday, Sunday, or a day on which banking institutions in New York, New York or Wilmington, Delaware are authorized or required by law to close.</w:t>
      </w:r>
    </w:p>
    <w:p>
      <w:pPr>
        <w:pStyle w:val="TextBody"/>
        <w:bidi w:val="0"/>
        <w:spacing w:lineRule="auto" w:line="288" w:before="20" w:after="120"/>
        <w:ind w:left="0" w:right="0" w:hanging="504"/>
        <w:jc w:val="both"/>
        <w:rPr/>
      </w:pPr>
      <w:r>
        <w:rPr>
          <w:rFonts w:ascii="Times New Roman;serif" w:hAnsi="Times New Roman;serif"/>
          <w:b/>
          <w:color w:val="000000"/>
          <w:sz w:val="22"/>
        </w:rPr>
        <w:t xml:space="preserve">5.2 Company Notices. </w:t>
      </w:r>
      <w:r>
        <w:rPr>
          <w:rFonts w:ascii="Times New Roman;serif" w:hAnsi="Times New Roman;serif"/>
          <w:b w:val="false"/>
          <w:color w:val="000000"/>
          <w:sz w:val="22"/>
        </w:rPr>
        <w:t>Notices to the Company must be addressed to Vulcan Infrastructure and Power Inc., 1159 Pittsford-Victor Road, Suite 240, Pittsford, New York 14534, Attention: Chief Executive Officer, email: jkovler@greenidge.com, with a copy for informational purposes only to Olshan Frome Wolosky LLP, 1325 Avenue of the Americas, 15th Floor, New York, New York 10019, Attention: Kenneth M. Silverman, email: ksilverman@olshanlaw.com.</w:t>
      </w:r>
    </w:p>
    <w:p>
      <w:pPr>
        <w:pStyle w:val="TextBody"/>
        <w:bidi w:val="0"/>
        <w:spacing w:lineRule="auto" w:line="288" w:before="20" w:after="120"/>
        <w:ind w:left="0" w:right="0" w:hanging="504"/>
        <w:jc w:val="both"/>
        <w:rPr/>
      </w:pPr>
      <w:r>
        <w:rPr>
          <w:rFonts w:ascii="Times New Roman;serif" w:hAnsi="Times New Roman;serif"/>
          <w:b/>
          <w:color w:val="000000"/>
          <w:sz w:val="22"/>
        </w:rPr>
        <w:t>5.3 Holder Notices.</w:t>
      </w:r>
      <w:r>
        <w:rPr>
          <w:color w:val="000000"/>
        </w:rPr>
        <w:t xml:space="preserve"> </w:t>
      </w:r>
      <w:r>
        <w:rPr>
          <w:rFonts w:ascii="Times New Roman;serif" w:hAnsi="Times New Roman;serif"/>
          <w:b w:val="false"/>
          <w:color w:val="000000"/>
          <w:sz w:val="22"/>
        </w:rPr>
        <w:t xml:space="preserve">Notices to a Holder must be sent to the mailing address and email address set forth on that Holder’s Holder Signature Page, or to another address provided by that Holder in accordance with this </w:t>
      </w:r>
      <w:r>
        <w:rPr>
          <w:rFonts w:ascii="Times New Roman;serif" w:hAnsi="Times New Roman;serif"/>
          <w:b w:val="false"/>
          <w:color w:val="000000"/>
          <w:sz w:val="22"/>
          <w:u w:val="single"/>
        </w:rPr>
        <w:t>Section 5</w:t>
      </w:r>
      <w:r>
        <w:rPr>
          <w:rFonts w:ascii="Times New Roman;serif" w:hAnsi="Times New Roman;serif"/>
          <w:b w:val="false"/>
          <w:color w:val="000000"/>
          <w:sz w:val="22"/>
        </w:rPr>
        <w:t>.</w:t>
      </w:r>
    </w:p>
    <w:p>
      <w:pPr>
        <w:pStyle w:val="TextBody"/>
        <w:bidi w:val="0"/>
        <w:spacing w:lineRule="auto" w:line="288" w:before="200" w:after="140"/>
        <w:jc w:val="both"/>
        <w:rPr/>
      </w:pPr>
      <w:r>
        <w:rPr>
          <w:rFonts w:ascii="Times New Roman;serif" w:hAnsi="Times New Roman;serif"/>
          <w:b/>
          <w:color w:val="000000"/>
          <w:sz w:val="22"/>
        </w:rPr>
        <w:t xml:space="preserve">6. </w:t>
      </w:r>
      <w:r>
        <w:rPr>
          <w:rFonts w:ascii="Times New Roman;serif" w:hAnsi="Times New Roman;serif"/>
          <w:b/>
          <w:color w:val="000000"/>
          <w:sz w:val="22"/>
          <w:u w:val="single"/>
        </w:rPr>
        <w:t>MISCELLANEOUS</w:t>
      </w:r>
    </w:p>
    <w:p>
      <w:pPr>
        <w:pStyle w:val="TextBody"/>
        <w:bidi w:val="0"/>
        <w:spacing w:lineRule="auto" w:line="288" w:before="80" w:after="120"/>
        <w:ind w:left="0" w:right="0" w:hanging="504"/>
        <w:jc w:val="both"/>
        <w:rPr/>
      </w:pPr>
      <w:r>
        <w:rPr>
          <w:rFonts w:ascii="Times New Roman;serif" w:hAnsi="Times New Roman;serif"/>
          <w:b/>
          <w:color w:val="000000"/>
          <w:sz w:val="22"/>
        </w:rPr>
        <w:t xml:space="preserve">6.1 Governing Law and Forum. </w:t>
      </w:r>
      <w:r>
        <w:rPr>
          <w:rFonts w:ascii="Times New Roman;serif" w:hAnsi="Times New Roman;serif"/>
          <w:b w:val="false"/>
          <w:color w:val="000000"/>
          <w:sz w:val="22"/>
        </w:rPr>
        <w:t>This Agreement and any claim arising from or relating to it shall be governed by the laws of the State of Delaware, without regard to conflict-of-law principles that would require application of another jurisdiction’s law. Each party irrevocably submits to the exclusive jurisdiction of the state and federal courts located in Wilmington, Delaware, waives any objection based on venue or inconvenient forum, and consents to service of process in any manner permitted by law.</w:t>
      </w:r>
    </w:p>
    <w:p>
      <w:pPr>
        <w:pStyle w:val="TextBody"/>
        <w:bidi w:val="0"/>
        <w:spacing w:lineRule="auto" w:line="288" w:before="80" w:after="120"/>
        <w:ind w:left="0" w:right="0" w:hanging="504"/>
        <w:jc w:val="both"/>
        <w:rPr/>
      </w:pPr>
      <w:r>
        <w:rPr>
          <w:rFonts w:ascii="Times New Roman;serif" w:hAnsi="Times New Roman;serif"/>
          <w:b/>
          <w:color w:val="000000"/>
          <w:sz w:val="22"/>
        </w:rPr>
        <w:t>6.2 Waiver of Jury Trial.</w:t>
      </w:r>
      <w:r>
        <w:rPr>
          <w:color w:val="000000"/>
        </w:rPr>
        <w:t xml:space="preserve"> </w:t>
      </w:r>
      <w:r>
        <w:rPr>
          <w:rFonts w:ascii="Times New Roman;serif" w:hAnsi="Times New Roman;serif"/>
          <w:b w:val="false"/>
          <w:color w:val="000000"/>
          <w:sz w:val="22"/>
        </w:rPr>
        <w:t>THE COMPANY AND EACH HOLDER IRREVOCABLY WAIVE ANY RIGHT TO A JURY TRIAL IN ANY ACTION OR PROCEEDING ARISING OUT OF OR RELATING TO THIS AGREEMENT, ANY EXCHANGE OR ANY TRANSACTION CONTEMPLATED BY THIS AGREEMENT.</w:t>
      </w:r>
    </w:p>
    <w:p>
      <w:pPr>
        <w:pStyle w:val="TextBody"/>
        <w:bidi w:val="0"/>
        <w:spacing w:lineRule="auto" w:line="288" w:before="80" w:after="120"/>
        <w:ind w:left="0" w:right="0" w:hanging="504"/>
        <w:jc w:val="both"/>
        <w:rPr/>
      </w:pPr>
      <w:r>
        <w:rPr>
          <w:rFonts w:ascii="Times New Roman;serif" w:hAnsi="Times New Roman;serif"/>
          <w:b/>
          <w:color w:val="000000"/>
          <w:sz w:val="22"/>
        </w:rPr>
        <w:t>6.3 Counterparts and Electronic Signatures.</w:t>
      </w:r>
      <w:r>
        <w:rPr>
          <w:color w:val="000000"/>
        </w:rPr>
        <w:t xml:space="preserve"> </w:t>
      </w:r>
      <w:r>
        <w:rPr>
          <w:rFonts w:ascii="Times New Roman;serif" w:hAnsi="Times New Roman;serif"/>
          <w:b w:val="false"/>
          <w:color w:val="000000"/>
          <w:sz w:val="22"/>
        </w:rPr>
        <w:t>This Agreement may be executed in counterparts, including a separate Holder Signature Page executed by each Holder, each of which is an original and all of which together constitute one instrument. A signature delivered by electronic mail in PDF form or by another electronic-signature method agreed by the Company and the applicable Holder has the same effect as an original signature.</w:t>
      </w:r>
    </w:p>
    <w:p>
      <w:pPr>
        <w:pStyle w:val="TextBody"/>
        <w:bidi w:val="0"/>
        <w:spacing w:lineRule="auto" w:line="288" w:before="0" w:after="0"/>
        <w:jc w:val="right"/>
        <w:rPr>
          <w:rFonts w:ascii="Times New Roman;serif" w:hAnsi="Times New Roman;serif"/>
          <w:b/>
          <w:i/>
          <w:color w:val="000000"/>
          <w:sz w:val="21"/>
        </w:rPr>
      </w:pPr>
      <w:r>
        <w:rPr>
          <w:rFonts w:ascii="Times New Roman;serif" w:hAnsi="Times New Roman;serif"/>
          <w:b/>
          <w:i/>
          <w:color w:val="000000"/>
          <w:sz w:val="21"/>
        </w:rPr>
        <w:t>Execution Version</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00.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7</w:t>
                      </w:r>
                    </w:p>
                  </w:txbxContent>
                </v:textbox>
                <w10:wrap type="none"/>
              </v:rect>
            </w:pict>
          </mc:Fallback>
        </mc:AlternateContent>
      </w:r>
    </w:p>
    <w:p>
      <w:pPr>
        <w:pStyle w:val="TextBody"/>
        <w:bidi w:val="0"/>
        <w:spacing w:lineRule="auto" w:line="288" w:before="80" w:after="120"/>
        <w:ind w:left="0" w:right="0" w:hanging="504"/>
        <w:jc w:val="both"/>
        <w:rPr/>
      </w:pPr>
      <w:r>
        <w:rPr>
          <w:rFonts w:ascii="Times New Roman;serif" w:hAnsi="Times New Roman;serif"/>
          <w:b/>
          <w:color w:val="000000"/>
          <w:sz w:val="22"/>
        </w:rPr>
        <w:t>6.4 Fees and Expenses.</w:t>
      </w:r>
      <w:r>
        <w:rPr>
          <w:color w:val="000000"/>
        </w:rPr>
        <w:t xml:space="preserve"> </w:t>
      </w:r>
      <w:r>
        <w:rPr>
          <w:rFonts w:ascii="Times New Roman;serif" w:hAnsi="Times New Roman;serif"/>
          <w:b w:val="false"/>
          <w:color w:val="000000"/>
          <w:sz w:val="22"/>
        </w:rPr>
        <w:t>The Company and each Holder shall bear their respective fees and expenses incurred in negotiating, executing and performing this Agreement and the applicable Exchange.</w:t>
      </w:r>
    </w:p>
    <w:p>
      <w:pPr>
        <w:pStyle w:val="TextBody"/>
        <w:bidi w:val="0"/>
        <w:spacing w:lineRule="auto" w:line="288" w:before="80" w:after="120"/>
        <w:ind w:left="0" w:right="0" w:hanging="504"/>
        <w:jc w:val="both"/>
        <w:rPr/>
      </w:pPr>
      <w:r>
        <w:rPr>
          <w:rFonts w:ascii="Times New Roman;serif" w:hAnsi="Times New Roman;serif"/>
          <w:b/>
          <w:color w:val="000000"/>
          <w:sz w:val="22"/>
        </w:rPr>
        <w:t>6.5 Successors and Assigns.</w:t>
      </w:r>
      <w:r>
        <w:rPr>
          <w:color w:val="000000"/>
        </w:rPr>
        <w:t xml:space="preserve"> </w:t>
      </w:r>
      <w:r>
        <w:rPr>
          <w:rFonts w:ascii="Times New Roman;serif" w:hAnsi="Times New Roman;serif"/>
          <w:b w:val="false"/>
          <w:color w:val="000000"/>
          <w:sz w:val="22"/>
        </w:rPr>
        <w:t xml:space="preserve">Subject to the transfer restrictions in each Warrant, this Agreement binds and benefits the Company, each Holder and their respective successors and permitted assigns and, in the case of an individual Holder, that Holder’s heirs, executors and administrators. No Holder may assign this Agreement before its Closing without the Company’s prior written consent. After its Closing, a Holder may assign its rights under </w:t>
      </w:r>
      <w:r>
        <w:rPr>
          <w:rFonts w:ascii="Times New Roman;serif" w:hAnsi="Times New Roman;serif"/>
          <w:b w:val="false"/>
          <w:color w:val="000000"/>
          <w:sz w:val="22"/>
          <w:u w:val="single"/>
        </w:rPr>
        <w:t>Section 2.12</w:t>
      </w:r>
      <w:r>
        <w:rPr>
          <w:color w:val="000000"/>
        </w:rPr>
        <w:t xml:space="preserve"> </w:t>
      </w:r>
      <w:r>
        <w:rPr>
          <w:rFonts w:ascii="Times New Roman;serif" w:hAnsi="Times New Roman;serif"/>
          <w:b w:val="false"/>
          <w:color w:val="000000"/>
          <w:sz w:val="22"/>
        </w:rPr>
        <w:t xml:space="preserve">only in connection with a permitted transfer of the related Warrant or Registrable Warrant Shares and only with the Company’s express prior written consent. The Company’s consent to the transfer of a Warrant or Registrable Warrant Shares does not, by itself, constitute consent to an assignment of rights under </w:t>
      </w:r>
      <w:r>
        <w:rPr>
          <w:rFonts w:ascii="Times New Roman;serif" w:hAnsi="Times New Roman;serif"/>
          <w:b w:val="false"/>
          <w:color w:val="000000"/>
          <w:sz w:val="22"/>
          <w:u w:val="single"/>
        </w:rPr>
        <w:t>Section 2.12</w:t>
      </w:r>
      <w:r>
        <w:rPr>
          <w:rFonts w:ascii="Times New Roman;serif" w:hAnsi="Times New Roman;serif"/>
          <w:b w:val="false"/>
          <w:color w:val="000000"/>
          <w:sz w:val="22"/>
        </w:rPr>
        <w:t>. The Company may assign this Agreement only to a successor that assumes all of the Company’s obligations in writing. No transfer of a Warrant is effective unless it complies with that Warrant and is accepted and recorded by the Company.</w:t>
      </w:r>
    </w:p>
    <w:p>
      <w:pPr>
        <w:pStyle w:val="TextBody"/>
        <w:bidi w:val="0"/>
        <w:spacing w:lineRule="auto" w:line="288" w:before="80" w:after="120"/>
        <w:ind w:left="0" w:right="0" w:hanging="504"/>
        <w:jc w:val="both"/>
        <w:rPr/>
      </w:pPr>
      <w:r>
        <w:rPr>
          <w:rFonts w:ascii="Times New Roman;serif" w:hAnsi="Times New Roman;serif"/>
          <w:b/>
          <w:color w:val="000000"/>
          <w:sz w:val="22"/>
        </w:rPr>
        <w:t>6.6 Entire Agreement Amendment and Waiver.</w:t>
      </w:r>
      <w:r>
        <w:rPr>
          <w:color w:val="000000"/>
        </w:rPr>
        <w:t xml:space="preserve"> </w:t>
      </w:r>
      <w:r>
        <w:rPr>
          <w:rFonts w:ascii="Times New Roman;serif" w:hAnsi="Times New Roman;serif"/>
          <w:b w:val="false"/>
          <w:color w:val="000000"/>
          <w:sz w:val="22"/>
        </w:rPr>
        <w:t xml:space="preserve">This Agreement, including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and each Holder Signature Page, and the documents delivered under it constitute the entire agreement of the Company and each Holder concerning that Holder’s Exchange and supersede prior understandings concerning that subject. As to a particular Holder, an amendment or waiver must be in a writing signed by the Company and that Holder and will not amend, waive or otherwise affect the rights or obligations of any other Holder without that other Holder’s written consent. A delay in exercising a right is not a waiver, and a waiver of one right or breach is not a waiver of another right or breach.</w:t>
      </w:r>
    </w:p>
    <w:p>
      <w:pPr>
        <w:pStyle w:val="TextBody"/>
        <w:bidi w:val="0"/>
        <w:spacing w:lineRule="auto" w:line="288" w:before="80" w:after="120"/>
        <w:ind w:left="0" w:right="0" w:hanging="504"/>
        <w:jc w:val="both"/>
        <w:rPr/>
      </w:pPr>
      <w:r>
        <w:rPr>
          <w:rFonts w:ascii="Times New Roman;serif" w:hAnsi="Times New Roman;serif"/>
          <w:b/>
          <w:color w:val="000000"/>
          <w:sz w:val="22"/>
        </w:rPr>
        <w:t xml:space="preserve">6.7 Severability. </w:t>
      </w:r>
      <w:r>
        <w:rPr>
          <w:rFonts w:ascii="Times New Roman;serif" w:hAnsi="Times New Roman;serif"/>
          <w:b w:val="false"/>
          <w:color w:val="000000"/>
          <w:sz w:val="22"/>
        </w:rPr>
        <w:t>If any provision of this Agreement is held invalid, illegal, or unenforceable, that provision shall be enforced to the maximum extent permitted and the remaining provisions shall remain in effect.</w:t>
      </w:r>
    </w:p>
    <w:p>
      <w:pPr>
        <w:pStyle w:val="TextBody"/>
        <w:bidi w:val="0"/>
        <w:spacing w:lineRule="auto" w:line="288" w:before="80" w:after="120"/>
        <w:ind w:left="0" w:right="0" w:hanging="504"/>
        <w:jc w:val="both"/>
        <w:rPr/>
      </w:pPr>
      <w:r>
        <w:rPr>
          <w:rFonts w:ascii="Times New Roman;serif" w:hAnsi="Times New Roman;serif"/>
          <w:b/>
          <w:color w:val="000000"/>
          <w:sz w:val="22"/>
        </w:rPr>
        <w:t>6.8 Further Assurances.</w:t>
      </w:r>
      <w:r>
        <w:rPr>
          <w:color w:val="000000"/>
        </w:rPr>
        <w:t xml:space="preserve"> </w:t>
      </w:r>
      <w:r>
        <w:rPr>
          <w:rFonts w:ascii="Times New Roman;serif" w:hAnsi="Times New Roman;serif"/>
          <w:b w:val="false"/>
          <w:color w:val="000000"/>
          <w:sz w:val="22"/>
        </w:rPr>
        <w:t>The Company and each Holder shall execute and deliver further documents and take further actions reasonably requested by the other to carry out the intent of this Agreement and complete the applicable Exchange.</w:t>
      </w:r>
    </w:p>
    <w:p>
      <w:pPr>
        <w:pStyle w:val="TextBody"/>
        <w:bidi w:val="0"/>
        <w:spacing w:lineRule="auto" w:line="288" w:before="0" w:after="120"/>
        <w:jc w:val="both"/>
        <w:rPr/>
      </w:pPr>
      <w:r>
        <w:rPr>
          <w:rFonts w:ascii="Times New Roman;serif" w:hAnsi="Times New Roman;serif"/>
          <w:b/>
          <w:color w:val="000000"/>
          <w:sz w:val="22"/>
        </w:rPr>
        <w:t>6.9 No Third Party Beneficiaries.</w:t>
      </w:r>
      <w:r>
        <w:rPr>
          <w:color w:val="000000"/>
        </w:rPr>
        <w:t xml:space="preserve"> </w:t>
      </w:r>
      <w:r>
        <w:rPr>
          <w:rFonts w:ascii="Times New Roman;serif" w:hAnsi="Times New Roman;serif"/>
          <w:b w:val="false"/>
          <w:color w:val="000000"/>
          <w:sz w:val="22"/>
        </w:rPr>
        <w:t>This Agreement is for the sole benefit of the Company, each Holder and their permitted successors and assigns, and no other person has any right under it.</w:t>
      </w:r>
    </w:p>
    <w:p>
      <w:pPr>
        <w:pStyle w:val="TextBody"/>
        <w:bidi w:val="0"/>
        <w:spacing w:lineRule="auto" w:line="288" w:before="0" w:after="0"/>
        <w:jc w:val="right"/>
        <w:rPr>
          <w:rFonts w:ascii="Times New Roman;serif" w:hAnsi="Times New Roman;serif"/>
          <w:b/>
          <w:i/>
          <w:color w:val="000000"/>
          <w:sz w:val="21"/>
        </w:rPr>
      </w:pPr>
      <w:r>
        <w:rPr>
          <w:rFonts w:ascii="Times New Roman;serif" w:hAnsi="Times New Roman;serif"/>
          <w:b/>
          <w:i/>
          <w:color w:val="000000"/>
          <w:sz w:val="21"/>
        </w:rPr>
        <w:t>Execution Version</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00.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8</w:t>
                      </w:r>
                    </w:p>
                  </w:txbxContent>
                </v:textbox>
                <w10:wrap type="none"/>
              </v:rect>
            </w:pict>
          </mc:Fallback>
        </mc:AlternateConten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60"/>
        <w:jc w:val="center"/>
        <w:rPr>
          <w:rFonts w:ascii="Times New Roman;serif" w:hAnsi="Times New Roman;serif"/>
          <w:b/>
          <w:color w:val="000000"/>
          <w:sz w:val="22"/>
        </w:rPr>
      </w:pPr>
      <w:r>
        <w:rPr>
          <w:rFonts w:ascii="Times New Roman;serif" w:hAnsi="Times New Roman;serif"/>
          <w:b/>
          <w:color w:val="000000"/>
          <w:sz w:val="22"/>
        </w:rPr>
        <w:t>COMPANY SIGNATURE PAGE</w:t>
      </w:r>
    </w:p>
    <w:p>
      <w:pPr>
        <w:pStyle w:val="TextBody"/>
        <w:bidi w:val="0"/>
        <w:spacing w:lineRule="auto" w:line="288" w:before="0" w:after="360"/>
        <w:ind w:left="0" w:right="0" w:firstLine="504"/>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Company has caused this Agreement to be executed by its duly authorized officer as of the Effective Date.</w:t>
      </w:r>
    </w:p>
    <w:p>
      <w:pPr>
        <w:pStyle w:val="TextBody"/>
        <w:bidi w:val="0"/>
        <w:spacing w:lineRule="auto" w:line="288" w:before="0" w:after="100"/>
        <w:jc w:val="both"/>
        <w:rPr>
          <w:rFonts w:ascii="Times New Roman;serif" w:hAnsi="Times New Roman;serif"/>
          <w:b w:val="false"/>
          <w:color w:val="000000"/>
          <w:sz w:val="22"/>
        </w:rPr>
      </w:pPr>
      <w:r>
        <w:rPr>
          <w:rFonts w:ascii="Times New Roman;serif" w:hAnsi="Times New Roman;serif"/>
          <w:b w:val="false"/>
          <w:color w:val="000000"/>
          <w:sz w:val="22"/>
        </w:rPr>
        <w:t>Effective Date: September 23, 2026</w:t>
      </w:r>
    </w:p>
    <w:p>
      <w:pPr>
        <w:pStyle w:val="TextBody"/>
        <w:bidi w:val="0"/>
        <w:spacing w:before="0" w:after="120"/>
        <w:jc w:val="both"/>
        <w:rPr/>
      </w:pPr>
      <w:r>
        <w:rPr/>
      </w:r>
    </w:p>
    <w:p>
      <w:pPr>
        <w:pStyle w:val="TextBody"/>
        <w:bidi w:val="0"/>
        <w:spacing w:lineRule="auto" w:line="288" w:before="0" w:after="280"/>
        <w:jc w:val="both"/>
        <w:rPr>
          <w:rFonts w:ascii="Times New Roman;serif" w:hAnsi="Times New Roman;serif"/>
          <w:b/>
          <w:color w:val="000000"/>
          <w:sz w:val="22"/>
        </w:rPr>
      </w:pPr>
      <w:r>
        <w:rPr>
          <w:rFonts w:ascii="Times New Roman;serif" w:hAnsi="Times New Roman;serif"/>
          <w:b/>
          <w:color w:val="000000"/>
          <w:sz w:val="22"/>
        </w:rPr>
        <w:t>VULCAN INFRASTRUCTURE AND POWER INC.</w:t>
      </w:r>
    </w:p>
    <w:p>
      <w:pPr>
        <w:pStyle w:val="TextBody"/>
        <w:bidi w:val="0"/>
        <w:spacing w:lineRule="auto" w:line="288" w:before="0" w:after="10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Jordan Kovler        </w:t>
      </w:r>
    </w:p>
    <w:p>
      <w:pPr>
        <w:pStyle w:val="TextBody"/>
        <w:bidi w:val="0"/>
        <w:spacing w:lineRule="auto" w:line="288" w:before="0" w:after="80"/>
        <w:jc w:val="both"/>
        <w:rPr>
          <w:rFonts w:ascii="Times New Roman;serif" w:hAnsi="Times New Roman;serif"/>
          <w:b w:val="false"/>
          <w:color w:val="000000"/>
          <w:sz w:val="22"/>
        </w:rPr>
      </w:pPr>
      <w:r>
        <w:rPr>
          <w:rFonts w:ascii="Times New Roman;serif" w:hAnsi="Times New Roman;serif"/>
          <w:b w:val="false"/>
          <w:color w:val="000000"/>
          <w:sz w:val="22"/>
        </w:rPr>
        <w:t>Name: Jordan Kovler</w:t>
      </w:r>
    </w:p>
    <w:p>
      <w:pPr>
        <w:pStyle w:val="TextBody"/>
        <w:bidi w:val="0"/>
        <w:spacing w:lineRule="auto" w:line="288" w:before="0" w:after="80"/>
        <w:jc w:val="both"/>
        <w:rPr>
          <w:rFonts w:ascii="Times New Roman;serif" w:hAnsi="Times New Roman;serif"/>
          <w:b w:val="false"/>
          <w:color w:val="000000"/>
          <w:sz w:val="22"/>
        </w:rPr>
      </w:pPr>
      <w:r>
        <w:rPr>
          <w:rFonts w:ascii="Times New Roman;serif" w:hAnsi="Times New Roman;serif"/>
          <w:b w:val="false"/>
          <w:color w:val="000000"/>
          <w:sz w:val="22"/>
        </w:rPr>
        <w:t>Title: Chief Executive Officer</w:t>
      </w:r>
    </w:p>
    <w:p>
      <w:pPr>
        <w:pStyle w:val="TextBody"/>
        <w:bidi w:val="0"/>
        <w:spacing w:before="8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9</w:t>
                      </w:r>
                    </w:p>
                  </w:txbxContent>
                </v:textbox>
                <w10:wrap type="none"/>
              </v:rect>
            </w:pict>
          </mc:Fallback>
        </mc:AlternateContent>
      </w:r>
    </w:p>
    <w:p>
      <w:pPr>
        <w:pStyle w:val="TextBody"/>
        <w:bidi w:val="0"/>
        <w:spacing w:lineRule="auto" w:line="288" w:before="240" w:after="40"/>
        <w:jc w:val="center"/>
        <w:rPr>
          <w:rFonts w:ascii="Times New Roman;serif" w:hAnsi="Times New Roman;serif"/>
          <w:b/>
          <w:color w:val="000000"/>
          <w:sz w:val="22"/>
        </w:rPr>
      </w:pPr>
      <w:r>
        <w:rPr>
          <w:rFonts w:ascii="Times New Roman;serif" w:hAnsi="Times New Roman;serif"/>
          <w:b/>
          <w:color w:val="000000"/>
          <w:sz w:val="22"/>
        </w:rPr>
        <w:t>HOLDER SIGNATURE PAGE</w:t>
      </w:r>
    </w:p>
    <w:p>
      <w:pPr>
        <w:pStyle w:val="TextBody"/>
        <w:bidi w:val="0"/>
        <w:spacing w:before="0" w:after="120"/>
        <w:jc w:val="both"/>
        <w:rPr/>
      </w:pPr>
      <w:r>
        <w:rPr/>
      </w:r>
    </w:p>
    <w:p>
      <w:pPr>
        <w:pStyle w:val="TextBody"/>
        <w:bidi w:val="0"/>
        <w:spacing w:lineRule="auto" w:line="288" w:before="0" w:after="40"/>
        <w:ind w:left="0" w:right="0" w:firstLine="504"/>
        <w:jc w:val="both"/>
        <w:rPr/>
      </w:pPr>
      <w:r>
        <w:rPr>
          <w:rFonts w:ascii="Times New Roman;serif" w:hAnsi="Times New Roman;serif"/>
          <w:b/>
          <w:color w:val="000000"/>
          <w:sz w:val="22"/>
        </w:rPr>
        <w:t>IN WITNESS WHEREOF</w:t>
      </w:r>
      <w:r>
        <w:rPr>
          <w:rFonts w:ascii="Times New Roman;serif" w:hAnsi="Times New Roman;serif"/>
          <w:b w:val="false"/>
          <w:color w:val="000000"/>
          <w:sz w:val="22"/>
        </w:rPr>
        <w:t xml:space="preserve">, the undersigned Holder has executed this Agreement as of the Effective Date. </w:t>
      </w:r>
    </w:p>
    <w:p>
      <w:pPr>
        <w:pStyle w:val="TextBody"/>
        <w:bidi w:val="0"/>
        <w:spacing w:before="0" w:after="40"/>
        <w:ind w:left="0" w:right="0" w:firstLine="504"/>
        <w:jc w:val="both"/>
        <w:rPr/>
      </w:pPr>
      <w:r>
        <w:rPr/>
      </w:r>
    </w:p>
    <w:p>
      <w:pPr>
        <w:pStyle w:val="TextBody"/>
        <w:bidi w:val="0"/>
        <w:spacing w:lineRule="auto" w:line="288" w:before="0" w:after="40"/>
        <w:jc w:val="both"/>
        <w:rPr>
          <w:rFonts w:ascii="Times New Roman;serif" w:hAnsi="Times New Roman;serif"/>
          <w:b w:val="false"/>
          <w:color w:val="000000"/>
          <w:sz w:val="22"/>
        </w:rPr>
      </w:pPr>
      <w:r>
        <w:rPr>
          <w:rFonts w:ascii="Times New Roman;serif" w:hAnsi="Times New Roman;serif"/>
          <w:b w:val="false"/>
          <w:color w:val="000000"/>
          <w:sz w:val="22"/>
        </w:rPr>
        <w:t>Effective Date: September 23, 2026</w:t>
      </w:r>
    </w:p>
    <w:p>
      <w:pPr>
        <w:pStyle w:val="TextBody"/>
        <w:bidi w:val="0"/>
        <w:spacing w:before="0" w:after="40"/>
        <w:jc w:val="both"/>
        <w:rPr/>
      </w:pPr>
      <w:r>
        <w:rPr/>
      </w:r>
    </w:p>
    <w:p>
      <w:pPr>
        <w:pStyle w:val="TextBody"/>
        <w:bidi w:val="0"/>
        <w:spacing w:lineRule="auto" w:line="288" w:before="0" w:after="40"/>
        <w:jc w:val="both"/>
        <w:rPr>
          <w:rFonts w:ascii="Times New Roman;serif" w:hAnsi="Times New Roman;serif"/>
          <w:b/>
          <w:color w:val="000000"/>
          <w:sz w:val="22"/>
        </w:rPr>
      </w:pPr>
      <w:r>
        <w:rPr>
          <w:rFonts w:ascii="Times New Roman;serif" w:hAnsi="Times New Roman;serif"/>
          <w:b/>
          <w:color w:val="000000"/>
          <w:sz w:val="22"/>
        </w:rPr>
        <w:t>HOLDER:</w:t>
      </w:r>
    </w:p>
    <w:p>
      <w:pPr>
        <w:pStyle w:val="TextBody"/>
        <w:bidi w:val="0"/>
        <w:spacing w:before="0" w:after="40"/>
        <w:jc w:val="both"/>
        <w:rPr/>
      </w:pPr>
      <w:r>
        <w:rPr/>
      </w:r>
    </w:p>
    <w:p>
      <w:pPr>
        <w:pStyle w:val="TextBody"/>
        <w:bidi w:val="0"/>
        <w:spacing w:lineRule="auto" w:line="288" w:before="0" w:after="40"/>
        <w:jc w:val="both"/>
        <w:rPr>
          <w:rFonts w:ascii="Times New Roman;serif" w:hAnsi="Times New Roman;serif"/>
          <w:b/>
          <w:color w:val="000000"/>
          <w:sz w:val="22"/>
        </w:rPr>
      </w:pPr>
      <w:r>
        <w:rPr>
          <w:rFonts w:ascii="Times New Roman;serif" w:hAnsi="Times New Roman;serif"/>
          <w:b/>
          <w:color w:val="000000"/>
          <w:sz w:val="22"/>
        </w:rPr>
        <w:t>[________________________________________]</w:t>
      </w:r>
    </w:p>
    <w:p>
      <w:pPr>
        <w:pStyle w:val="TextBody"/>
        <w:bidi w:val="0"/>
        <w:spacing w:before="0" w:after="40"/>
        <w:jc w:val="both"/>
        <w:rPr/>
      </w:pPr>
      <w:r>
        <w:rPr/>
      </w:r>
    </w:p>
    <w:p>
      <w:pPr>
        <w:pStyle w:val="TextBody"/>
        <w:bidi w:val="0"/>
        <w:spacing w:lineRule="auto" w:line="288" w:before="0" w:after="40"/>
        <w:jc w:val="both"/>
        <w:rPr>
          <w:rFonts w:ascii="Times New Roman;serif" w:hAnsi="Times New Roman;serif"/>
          <w:b w:val="false"/>
          <w:color w:val="000000"/>
          <w:sz w:val="22"/>
        </w:rPr>
      </w:pPr>
      <w:r>
        <w:rPr>
          <w:rFonts w:ascii="Times New Roman;serif" w:hAnsi="Times New Roman;serif"/>
          <w:b w:val="false"/>
          <w:color w:val="000000"/>
          <w:sz w:val="22"/>
        </w:rPr>
        <w:t>By: [_______________]</w:t>
      </w:r>
    </w:p>
    <w:p>
      <w:pPr>
        <w:pStyle w:val="TextBody"/>
        <w:bidi w:val="0"/>
        <w:spacing w:before="0" w:after="40"/>
        <w:jc w:val="both"/>
        <w:rPr/>
      </w:pPr>
      <w:r>
        <w:rPr/>
      </w:r>
    </w:p>
    <w:p>
      <w:pPr>
        <w:pStyle w:val="TextBody"/>
        <w:bidi w:val="0"/>
        <w:spacing w:lineRule="auto" w:line="288" w:before="0" w:after="40"/>
        <w:jc w:val="both"/>
        <w:rPr>
          <w:rFonts w:ascii="Times New Roman;serif" w:hAnsi="Times New Roman;serif"/>
          <w:b w:val="false"/>
          <w:color w:val="000000"/>
          <w:sz w:val="22"/>
        </w:rPr>
      </w:pPr>
      <w:r>
        <w:rPr>
          <w:rFonts w:ascii="Times New Roman;serif" w:hAnsi="Times New Roman;serif"/>
          <w:b w:val="false"/>
          <w:color w:val="000000"/>
          <w:sz w:val="22"/>
        </w:rPr>
        <w:t>Signature: ____________________________________________________</w:t>
      </w:r>
    </w:p>
    <w:p>
      <w:pPr>
        <w:pStyle w:val="TextBody"/>
        <w:bidi w:val="0"/>
        <w:spacing w:lineRule="auto" w:line="288" w:before="0" w:after="40"/>
        <w:jc w:val="both"/>
        <w:rPr>
          <w:rFonts w:ascii="Times New Roman;serif" w:hAnsi="Times New Roman;serif"/>
          <w:b w:val="false"/>
          <w:color w:val="000000"/>
          <w:sz w:val="22"/>
        </w:rPr>
      </w:pPr>
      <w:r>
        <w:rPr>
          <w:rFonts w:ascii="Times New Roman;serif" w:hAnsi="Times New Roman;serif"/>
          <w:b w:val="false"/>
          <w:color w:val="000000"/>
          <w:sz w:val="22"/>
        </w:rPr>
        <w:t>Name: [_______________]</w:t>
      </w:r>
    </w:p>
    <w:p>
      <w:pPr>
        <w:pStyle w:val="TextBody"/>
        <w:bidi w:val="0"/>
        <w:spacing w:lineRule="auto" w:line="288" w:before="0" w:after="40"/>
        <w:jc w:val="both"/>
        <w:rPr>
          <w:rFonts w:ascii="Times New Roman;serif" w:hAnsi="Times New Roman;serif"/>
          <w:b w:val="false"/>
          <w:color w:val="000000"/>
          <w:sz w:val="22"/>
        </w:rPr>
      </w:pPr>
      <w:r>
        <w:rPr>
          <w:rFonts w:ascii="Times New Roman;serif" w:hAnsi="Times New Roman;serif"/>
          <w:b w:val="false"/>
          <w:color w:val="000000"/>
          <w:sz w:val="22"/>
        </w:rPr>
        <w:t>Title: [_______________]</w:t>
      </w:r>
    </w:p>
    <w:p>
      <w:pPr>
        <w:pStyle w:val="TextBody"/>
        <w:bidi w:val="0"/>
        <w:spacing w:before="0" w:after="40"/>
        <w:jc w:val="both"/>
        <w:rPr/>
      </w:pPr>
      <w:r>
        <w:rPr/>
      </w:r>
    </w:p>
    <w:p>
      <w:pPr>
        <w:pStyle w:val="TextBody"/>
        <w:bidi w:val="0"/>
        <w:spacing w:before="0" w:after="40"/>
        <w:jc w:val="both"/>
        <w:rPr/>
      </w:pPr>
      <w:r>
        <w:rPr/>
      </w:r>
    </w:p>
    <w:p>
      <w:pPr>
        <w:pStyle w:val="TextBody"/>
        <w:bidi w:val="0"/>
        <w:spacing w:before="0" w:after="40"/>
        <w:jc w:val="both"/>
        <w:rPr/>
      </w:pPr>
      <w:r>
        <w:rPr/>
      </w:r>
    </w:p>
    <w:p>
      <w:pPr>
        <w:pStyle w:val="TextBody"/>
        <w:bidi w:val="0"/>
        <w:spacing w:before="0" w:after="40"/>
        <w:jc w:val="both"/>
        <w:rPr/>
      </w:pPr>
      <w:r>
        <w:rPr/>
      </w:r>
    </w:p>
    <w:p>
      <w:pPr>
        <w:pStyle w:val="TextBody"/>
        <w:bidi w:val="0"/>
        <w:spacing w:lineRule="auto" w:line="288" w:before="0" w:after="40"/>
        <w:jc w:val="center"/>
        <w:rPr>
          <w:rFonts w:ascii="Times New Roman;serif" w:hAnsi="Times New Roman;serif"/>
          <w:b/>
          <w:color w:val="000000"/>
          <w:sz w:val="22"/>
        </w:rPr>
      </w:pPr>
      <w:r>
        <w:rPr>
          <w:rFonts w:ascii="Times New Roman;serif" w:hAnsi="Times New Roman;serif"/>
          <w:b/>
          <w:color w:val="000000"/>
          <w:sz w:val="22"/>
        </w:rPr>
        <w:t>HOLDER SPECIFIC EXCHANGE TERMS</w:t>
      </w:r>
    </w:p>
    <w:p>
      <w:pPr>
        <w:pStyle w:val="TextBody"/>
        <w:bidi w:val="0"/>
        <w:spacing w:lineRule="auto" w:line="288" w:before="0" w:after="40"/>
        <w:jc w:val="both"/>
        <w:rPr>
          <w:rFonts w:ascii="Times New Roman;serif" w:hAnsi="Times New Roman;serif"/>
          <w:b w:val="false"/>
          <w:color w:val="000000"/>
          <w:sz w:val="22"/>
        </w:rPr>
      </w:pPr>
      <w:r>
        <w:rPr>
          <w:rFonts w:ascii="Times New Roman;serif" w:hAnsi="Times New Roman;serif"/>
          <w:b w:val="false"/>
          <w:color w:val="000000"/>
          <w:sz w:val="22"/>
        </w:rPr>
        <w:t>Holder Exchanged 2026 Notes: [________] authorized $25 denominations; $[________] aggregate principal amount; GREEL; CUSIP 39531G209</w:t>
      </w:r>
    </w:p>
    <w:p>
      <w:pPr>
        <w:pStyle w:val="TextBody"/>
        <w:bidi w:val="0"/>
        <w:spacing w:lineRule="auto" w:line="288" w:before="0" w:after="40"/>
        <w:jc w:val="both"/>
        <w:rPr>
          <w:rFonts w:ascii="Times New Roman;serif" w:hAnsi="Times New Roman;serif"/>
          <w:b w:val="false"/>
          <w:color w:val="000000"/>
          <w:sz w:val="22"/>
        </w:rPr>
      </w:pPr>
      <w:r>
        <w:rPr>
          <w:rFonts w:ascii="Times New Roman;serif" w:hAnsi="Times New Roman;serif"/>
          <w:b w:val="false"/>
          <w:color w:val="000000"/>
          <w:sz w:val="22"/>
        </w:rPr>
        <w:t>Holder Exchange 2030 Notes: [________] authorized $11 denominations; $[________] aggregate principal amount; CUSIP 39531G407</w:t>
      </w:r>
    </w:p>
    <w:p>
      <w:pPr>
        <w:pStyle w:val="TextBody"/>
        <w:bidi w:val="0"/>
        <w:spacing w:lineRule="auto" w:line="288" w:before="0" w:after="40"/>
        <w:jc w:val="both"/>
        <w:rPr>
          <w:rFonts w:ascii="Times New Roman;serif" w:hAnsi="Times New Roman;serif"/>
          <w:b w:val="false"/>
          <w:color w:val="000000"/>
          <w:sz w:val="22"/>
        </w:rPr>
      </w:pPr>
      <w:r>
        <w:rPr>
          <w:rFonts w:ascii="Times New Roman;serif" w:hAnsi="Times New Roman;serif"/>
          <w:b w:val="false"/>
          <w:color w:val="000000"/>
          <w:sz w:val="22"/>
        </w:rPr>
        <w:t>Warrant Shares: [________]</w:t>
      </w:r>
    </w:p>
    <w:p>
      <w:pPr>
        <w:pStyle w:val="TextBody"/>
        <w:bidi w:val="0"/>
        <w:spacing w:lineRule="auto" w:line="288" w:before="0" w:after="40"/>
        <w:jc w:val="both"/>
        <w:rPr>
          <w:rFonts w:ascii="Times New Roman;serif" w:hAnsi="Times New Roman;serif"/>
          <w:b w:val="false"/>
          <w:color w:val="000000"/>
          <w:sz w:val="22"/>
        </w:rPr>
      </w:pPr>
      <w:r>
        <w:rPr>
          <w:rFonts w:ascii="Times New Roman;serif" w:hAnsi="Times New Roman;serif"/>
          <w:b w:val="false"/>
          <w:color w:val="000000"/>
          <w:sz w:val="22"/>
        </w:rPr>
        <w:t>Exercise Price: $1.87 per Warrant Share</w:t>
      </w:r>
    </w:p>
    <w:p>
      <w:pPr>
        <w:pStyle w:val="TextBody"/>
        <w:bidi w:val="0"/>
        <w:spacing w:lineRule="auto" w:line="288" w:before="0" w:after="40"/>
        <w:jc w:val="both"/>
        <w:rPr>
          <w:rFonts w:ascii="Times New Roman;serif" w:hAnsi="Times New Roman;serif"/>
          <w:b w:val="false"/>
          <w:color w:val="000000"/>
          <w:sz w:val="22"/>
        </w:rPr>
      </w:pPr>
      <w:r>
        <w:rPr>
          <w:rFonts w:ascii="Times New Roman;serif" w:hAnsi="Times New Roman;serif"/>
          <w:b w:val="false"/>
          <w:color w:val="000000"/>
          <w:sz w:val="22"/>
        </w:rPr>
        <w:t>Warrant Term: Three (3) years from Issue Date</w:t>
      </w:r>
    </w:p>
    <w:p>
      <w:pPr>
        <w:pStyle w:val="TextBody"/>
        <w:bidi w:val="0"/>
        <w:spacing w:before="0" w:after="40"/>
        <w:jc w:val="both"/>
        <w:rPr/>
      </w:pPr>
      <w:r>
        <w:rPr/>
      </w:r>
    </w:p>
    <w:p>
      <w:pPr>
        <w:pStyle w:val="TextBody"/>
        <w:bidi w:val="0"/>
        <w:spacing w:lineRule="auto" w:line="288" w:before="0" w:after="40"/>
        <w:jc w:val="center"/>
        <w:rPr>
          <w:rFonts w:ascii="Times New Roman;serif" w:hAnsi="Times New Roman;serif"/>
          <w:b/>
          <w:color w:val="000000"/>
          <w:sz w:val="22"/>
        </w:rPr>
      </w:pPr>
      <w:r>
        <w:rPr>
          <w:rFonts w:ascii="Times New Roman;serif" w:hAnsi="Times New Roman;serif"/>
          <w:b/>
          <w:color w:val="000000"/>
          <w:sz w:val="22"/>
        </w:rPr>
        <w:t>ADDRESS FOR NOTICES</w:t>
      </w:r>
    </w:p>
    <w:p>
      <w:pPr>
        <w:pStyle w:val="TextBody"/>
        <w:bidi w:val="0"/>
        <w:spacing w:lineRule="auto" w:line="288" w:before="0" w:after="40"/>
        <w:jc w:val="both"/>
        <w:rPr>
          <w:rFonts w:ascii="Times New Roman;serif" w:hAnsi="Times New Roman;serif"/>
          <w:b w:val="false"/>
          <w:color w:val="000000"/>
          <w:sz w:val="22"/>
        </w:rPr>
      </w:pPr>
      <w:r>
        <w:rPr>
          <w:rFonts w:ascii="Times New Roman;serif" w:hAnsi="Times New Roman;serif"/>
          <w:b w:val="false"/>
          <w:color w:val="000000"/>
          <w:sz w:val="22"/>
        </w:rPr>
        <w:t>Address: [_______________]</w:t>
      </w:r>
    </w:p>
    <w:p>
      <w:pPr>
        <w:pStyle w:val="TextBody"/>
        <w:bidi w:val="0"/>
        <w:spacing w:lineRule="auto" w:line="288" w:before="0" w:after="40"/>
        <w:jc w:val="both"/>
        <w:rPr>
          <w:rFonts w:ascii="Times New Roman;serif" w:hAnsi="Times New Roman;serif"/>
          <w:b w:val="false"/>
          <w:color w:val="000000"/>
          <w:sz w:val="22"/>
        </w:rPr>
      </w:pPr>
      <w:r>
        <w:rPr>
          <w:rFonts w:ascii="Times New Roman;serif" w:hAnsi="Times New Roman;serif"/>
          <w:b w:val="false"/>
          <w:color w:val="000000"/>
          <w:sz w:val="22"/>
        </w:rPr>
        <w:t>Email: [_______________]</w:t>
      </w:r>
    </w:p>
    <w:p>
      <w:pPr>
        <w:pStyle w:val="TextBody"/>
        <w:bidi w:val="0"/>
        <w:spacing w:lineRule="auto" w:line="288" w:before="0" w:after="40"/>
        <w:jc w:val="both"/>
        <w:rPr>
          <w:rFonts w:ascii="Times New Roman;serif" w:hAnsi="Times New Roman;serif"/>
          <w:b w:val="false"/>
          <w:color w:val="000000"/>
          <w:sz w:val="22"/>
        </w:rPr>
      </w:pPr>
      <w:r>
        <w:rPr>
          <w:rFonts w:ascii="Times New Roman;serif" w:hAnsi="Times New Roman;serif"/>
          <w:b w:val="false"/>
          <w:color w:val="000000"/>
          <w:sz w:val="22"/>
        </w:rPr>
        <w:t>Telephone: [_______________]</w:t>
      </w:r>
    </w:p>
    <w:p>
      <w:pPr>
        <w:pStyle w:val="TextBody"/>
        <w:bidi w:val="0"/>
        <w:spacing w:before="0" w:after="40"/>
        <w:jc w:val="both"/>
        <w:rPr/>
      </w:pPr>
      <w:r>
        <w:rPr/>
      </w:r>
    </w:p>
    <w:p>
      <w:pPr>
        <w:pStyle w:val="TextBody"/>
        <w:bidi w:val="0"/>
        <w:spacing w:lineRule="auto" w:line="288" w:before="0" w:after="40"/>
        <w:jc w:val="center"/>
        <w:rPr>
          <w:rFonts w:ascii="Times New Roman;serif" w:hAnsi="Times New Roman;serif"/>
          <w:b/>
          <w:color w:val="000000"/>
          <w:sz w:val="22"/>
        </w:rPr>
      </w:pPr>
      <w:r>
        <w:rPr>
          <w:rFonts w:ascii="Times New Roman;serif" w:hAnsi="Times New Roman;serif"/>
          <w:b/>
          <w:color w:val="000000"/>
          <w:sz w:val="22"/>
        </w:rPr>
        <w:t>DTC SETTLEMENT INSTRUCTIONS FOR EXCHANGE 2030 NOTES</w:t>
      </w:r>
    </w:p>
    <w:p>
      <w:pPr>
        <w:pStyle w:val="TextBody"/>
        <w:bidi w:val="0"/>
        <w:spacing w:lineRule="auto" w:line="288" w:before="0" w:after="40"/>
        <w:jc w:val="both"/>
        <w:rPr>
          <w:rFonts w:ascii="Times New Roman;serif" w:hAnsi="Times New Roman;serif"/>
          <w:b w:val="false"/>
          <w:color w:val="000000"/>
          <w:sz w:val="22"/>
        </w:rPr>
      </w:pPr>
      <w:r>
        <w:rPr>
          <w:rFonts w:ascii="Times New Roman;serif" w:hAnsi="Times New Roman;serif"/>
          <w:b w:val="false"/>
          <w:color w:val="000000"/>
          <w:sz w:val="22"/>
        </w:rPr>
        <w:t>Broker or Participant Name: [_______________]</w:t>
      </w:r>
    </w:p>
    <w:p>
      <w:pPr>
        <w:pStyle w:val="TextBody"/>
        <w:bidi w:val="0"/>
        <w:spacing w:lineRule="auto" w:line="288" w:before="0" w:after="40"/>
        <w:jc w:val="both"/>
        <w:rPr>
          <w:rFonts w:ascii="Times New Roman;serif" w:hAnsi="Times New Roman;serif"/>
          <w:b w:val="false"/>
          <w:color w:val="000000"/>
          <w:sz w:val="22"/>
        </w:rPr>
      </w:pPr>
      <w:r>
        <w:rPr>
          <w:rFonts w:ascii="Times New Roman;serif" w:hAnsi="Times New Roman;serif"/>
          <w:b w:val="false"/>
          <w:color w:val="000000"/>
          <w:sz w:val="22"/>
        </w:rPr>
        <w:t>DTC Participant Number: [_______________]</w:t>
      </w:r>
    </w:p>
    <w:p>
      <w:pPr>
        <w:pStyle w:val="TextBody"/>
        <w:bidi w:val="0"/>
        <w:spacing w:lineRule="auto" w:line="288" w:before="0" w:after="40"/>
        <w:jc w:val="both"/>
        <w:rPr>
          <w:rFonts w:ascii="Times New Roman;serif" w:hAnsi="Times New Roman;serif"/>
          <w:b w:val="false"/>
          <w:color w:val="000000"/>
          <w:sz w:val="22"/>
        </w:rPr>
      </w:pPr>
      <w:r>
        <w:rPr>
          <w:rFonts w:ascii="Times New Roman;serif" w:hAnsi="Times New Roman;serif"/>
          <w:b w:val="false"/>
          <w:color w:val="000000"/>
          <w:sz w:val="22"/>
        </w:rPr>
        <w:t>Account Name: [_______________]</w:t>
      </w:r>
    </w:p>
    <w:p>
      <w:pPr>
        <w:pStyle w:val="TextBody"/>
        <w:bidi w:val="0"/>
        <w:spacing w:lineRule="auto" w:line="288" w:before="0" w:after="40"/>
        <w:jc w:val="both"/>
        <w:rPr>
          <w:rFonts w:ascii="Times New Roman;serif" w:hAnsi="Times New Roman;serif"/>
          <w:b w:val="false"/>
          <w:color w:val="000000"/>
          <w:sz w:val="22"/>
        </w:rPr>
      </w:pPr>
      <w:r>
        <w:rPr>
          <w:rFonts w:ascii="Times New Roman;serif" w:hAnsi="Times New Roman;serif"/>
          <w:b w:val="false"/>
          <w:color w:val="000000"/>
          <w:sz w:val="22"/>
        </w:rPr>
        <w:t>Account Number: [_______________]</w:t>
      </w:r>
    </w:p>
    <w:p>
      <w:pPr>
        <w:pStyle w:val="TextBody"/>
        <w:bidi w:val="0"/>
        <w:spacing w:before="0" w:after="40"/>
        <w:jc w:val="both"/>
        <w:rPr/>
      </w:pPr>
      <w:r>
        <w:rPr/>
      </w:r>
    </w:p>
    <w:p>
      <w:pPr>
        <w:pStyle w:val="TextBody"/>
        <w:bidi w:val="0"/>
        <w:spacing w:before="0" w:after="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0"/>
        <w:jc w:val="both"/>
        <w:rPr/>
      </w:pPr>
      <w:r>
        <w:rPr/>
      </w:r>
    </w:p>
    <w:p>
      <w:pPr>
        <w:pStyle w:val="TextBody"/>
        <w:bidi w:val="0"/>
        <w:spacing w:before="0" w:after="40"/>
        <w:jc w:val="both"/>
        <w:rPr/>
      </w:pPr>
      <w:r>
        <w:rPr/>
      </w:r>
    </w:p>
    <w:p>
      <w:pPr>
        <w:pStyle w:val="TextBody"/>
        <w:bidi w:val="0"/>
        <w:spacing w:before="0" w:after="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1"/>
        </w:rPr>
      </w:pPr>
      <w:r>
        <w:rPr>
          <w:rFonts w:ascii="Times New Roman;serif" w:hAnsi="Times New Roman;serif"/>
          <w:b/>
          <w:i/>
          <w:color w:val="000000"/>
          <w:sz w:val="21"/>
        </w:rPr>
        <w:t>Execution Version</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[Signature Page to Exchange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00.2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[Signature Page to Exchange Agreement]</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FORM OF CLASS A COMMON STOCK PURCHASE WARRANT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THIS WARRANT IS BEING ISSUED IN AN EXCHANGE INTENDED TO BE EXEMPT FROM REGISTRATION UNDER SECTION 3(a)(9) OF THE SECURITIES ACT OF 1933, AS AMENDED. NEITHER THIS WARRANT NOR THE WARRANT SHARES HAVE BEEN REGISTERED WITH THE SECURITIES AND EXCHANGE COMMISSION OR ANY STATE SECURITIES COMMISSION. WARRANT SHARES ISSUED UPON EXERCISE OF THIS WARRANT ARE INTENDED TO BE OFFERED AND SOLD IN RELIANCE ON SECTION 4(a)(2) OF THE SECURITIES ACT AND WILL BE RESTRICTED SECURITIES. THIS WARRANT AND THE WARRANT SHARES MAY NOT BE OFFERED, SOLD, PLEDGED, OR OTHERWISE TRANSFERRED EXCEPT PURSUANT TO AN EFFECTIVE REGISTRATION STATEMENT OR AN AVAILABLE EXEMPTION FROM REGISTRATION AND IN ACCORDANCE WITH APPLICABLE STATE SECURITIES LAWS.</w:t>
      </w:r>
    </w:p>
    <w:p>
      <w:pPr>
        <w:pStyle w:val="TextBody"/>
        <w:bidi w:val="0"/>
        <w:spacing w:lineRule="auto" w:line="288" w:before="40" w:after="160"/>
        <w:jc w:val="center"/>
        <w:rPr>
          <w:rFonts w:ascii="Times New Roman;serif" w:hAnsi="Times New Roman;serif"/>
          <w:b/>
          <w:color w:val="000000"/>
          <w:sz w:val="22"/>
        </w:rPr>
      </w:pPr>
      <w:r>
        <w:rPr>
          <w:rFonts w:ascii="Times New Roman;serif" w:hAnsi="Times New Roman;serif"/>
          <w:b/>
          <w:color w:val="000000"/>
          <w:sz w:val="22"/>
        </w:rPr>
        <w:t>VULCAN INFRASTRUCTURE AND POWER INC</w:t>
      </w:r>
    </w:p>
    <w:p>
      <w:pPr>
        <w:pStyle w:val="TextBody"/>
        <w:bidi w:val="0"/>
        <w:spacing w:lineRule="auto" w:line="288" w:before="0" w:after="120"/>
        <w:ind w:left="0" w:right="0" w:firstLine="504"/>
        <w:jc w:val="both"/>
        <w:rPr/>
      </w:pPr>
      <w:r>
        <w:rPr>
          <w:rFonts w:ascii="Times New Roman;serif" w:hAnsi="Times New Roman;serif"/>
          <w:b w:val="false"/>
          <w:color w:val="000000"/>
          <w:sz w:val="22"/>
        </w:rPr>
        <w:t>THIS CLASS A COMMON STOCK PURCHASE WARRANT (this “</w:t>
      </w:r>
      <w:r>
        <w:rPr>
          <w:rFonts w:ascii="Times New Roman;serif" w:hAnsi="Times New Roman;serif"/>
          <w:b w:val="false"/>
          <w:color w:val="000000"/>
          <w:sz w:val="22"/>
          <w:u w:val="single"/>
        </w:rPr>
        <w:t>Warrant</w:t>
      </w:r>
      <w:r>
        <w:rPr>
          <w:color w:val="000000"/>
        </w:rPr>
        <w:t>”</w:t>
      </w:r>
      <w:r>
        <w:rPr>
          <w:rFonts w:ascii="Times New Roman;serif" w:hAnsi="Times New Roman;serif"/>
          <w:b w:val="false"/>
          <w:color w:val="000000"/>
          <w:sz w:val="22"/>
        </w:rPr>
        <w:t>) certifies that [HOLDER LEGAL NAME], or a permitted assignee (the “</w:t>
      </w:r>
      <w:r>
        <w:rPr>
          <w:rFonts w:ascii="Times New Roman;serif" w:hAnsi="Times New Roman;serif"/>
          <w:b w:val="false"/>
          <w:color w:val="000000"/>
          <w:sz w:val="22"/>
          <w:u w:val="single"/>
        </w:rPr>
        <w:t>Holder</w:t>
      </w:r>
      <w:r>
        <w:rPr>
          <w:color w:val="000000"/>
        </w:rPr>
        <w:t>”</w:t>
      </w:r>
      <w:r>
        <w:rPr>
          <w:rFonts w:ascii="Times New Roman;serif" w:hAnsi="Times New Roman;serif"/>
          <w:b w:val="false"/>
          <w:color w:val="000000"/>
          <w:sz w:val="22"/>
        </w:rPr>
        <w:t>), may purchase from Vulcan Infrastructure and Power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subject to this Warrant, up to [●] shares (the “</w:t>
      </w:r>
      <w:r>
        <w:rPr>
          <w:rFonts w:ascii="Times New Roman;serif" w:hAnsi="Times New Roman;serif"/>
          <w:b w:val="false"/>
          <w:color w:val="000000"/>
          <w:sz w:val="22"/>
          <w:u w:val="single"/>
        </w:rPr>
        <w:t>Warrant Shares</w:t>
      </w:r>
      <w:r>
        <w:rPr>
          <w:color w:val="000000"/>
        </w:rPr>
        <w:t>”</w:t>
      </w:r>
      <w:r>
        <w:rPr>
          <w:rFonts w:ascii="Times New Roman;serif" w:hAnsi="Times New Roman;serif"/>
          <w:b w:val="false"/>
          <w:color w:val="000000"/>
          <w:sz w:val="22"/>
        </w:rPr>
        <w:t>) of the Company’s Class A common stock, par value $0.0001 per share (the “</w:t>
      </w:r>
      <w:r>
        <w:rPr>
          <w:rFonts w:ascii="Times New Roman;serif" w:hAnsi="Times New Roman;serif"/>
          <w:b w:val="false"/>
          <w:color w:val="000000"/>
          <w:sz w:val="22"/>
          <w:u w:val="single"/>
        </w:rPr>
        <w:t>Class A Common Stock</w:t>
      </w:r>
      <w:r>
        <w:rPr>
          <w:color w:val="000000"/>
        </w:rPr>
        <w:t>”</w:t>
      </w:r>
      <w:r>
        <w:rPr>
          <w:rFonts w:ascii="Times New Roman;serif" w:hAnsi="Times New Roman;serif"/>
          <w:b w:val="false"/>
          <w:color w:val="000000"/>
          <w:sz w:val="22"/>
        </w:rPr>
        <w:t>), at $1.87 per Warrant Share, as adjusted (the “</w:t>
      </w:r>
      <w:r>
        <w:rPr>
          <w:rFonts w:ascii="Times New Roman;serif" w:hAnsi="Times New Roman;serif"/>
          <w:b w:val="false"/>
          <w:color w:val="000000"/>
          <w:sz w:val="22"/>
          <w:u w:val="single"/>
        </w:rPr>
        <w:t>Exercise Price</w:t>
      </w:r>
      <w:r>
        <w:rPr>
          <w:color w:val="000000"/>
        </w:rPr>
        <w:t>”</w:t>
      </w:r>
      <w:r>
        <w:rPr>
          <w:rFonts w:ascii="Times New Roman;serif" w:hAnsi="Times New Roman;serif"/>
          <w:b w:val="false"/>
          <w:color w:val="000000"/>
          <w:sz w:val="22"/>
        </w:rPr>
        <w:t>), at any time on or after the Effective Date of the Exchange Agreement (the “</w:t>
      </w:r>
      <w:r>
        <w:rPr>
          <w:rFonts w:ascii="Times New Roman;serif" w:hAnsi="Times New Roman;serif"/>
          <w:b w:val="false"/>
          <w:color w:val="000000"/>
          <w:sz w:val="22"/>
          <w:u w:val="single"/>
        </w:rPr>
        <w:t>Issue Date</w:t>
      </w:r>
      <w:r>
        <w:rPr>
          <w:color w:val="000000"/>
        </w:rPr>
        <w:t xml:space="preserve">” </w:t>
      </w:r>
      <w:r>
        <w:rPr>
          <w:rFonts w:ascii="Times New Roman;serif" w:hAnsi="Times New Roman;serif"/>
          <w:b w:val="false"/>
          <w:color w:val="000000"/>
          <w:sz w:val="22"/>
        </w:rPr>
        <w:t>and the “</w:t>
      </w:r>
      <w:r>
        <w:rPr>
          <w:rFonts w:ascii="Times New Roman;serif" w:hAnsi="Times New Roman;serif"/>
          <w:b w:val="false"/>
          <w:color w:val="000000"/>
          <w:sz w:val="22"/>
          <w:u w:val="single"/>
        </w:rPr>
        <w:t>Initial Exercise Date</w:t>
      </w:r>
      <w:r>
        <w:rPr>
          <w:color w:val="000000"/>
        </w:rPr>
        <w:t>”</w:t>
      </w:r>
      <w:r>
        <w:rPr>
          <w:rFonts w:ascii="Times New Roman;serif" w:hAnsi="Times New Roman;serif"/>
          <w:b w:val="false"/>
          <w:color w:val="000000"/>
          <w:sz w:val="22"/>
        </w:rPr>
        <w:t>) through 5:00 p.m. New York City time on the third anniversary of the Issue Date (the “</w:t>
      </w:r>
      <w:r>
        <w:rPr>
          <w:rFonts w:ascii="Times New Roman;serif" w:hAnsi="Times New Roman;serif"/>
          <w:b w:val="false"/>
          <w:color w:val="000000"/>
          <w:sz w:val="22"/>
          <w:u w:val="single"/>
        </w:rPr>
        <w:t>Termination Date</w:t>
      </w:r>
      <w:r>
        <w:rPr>
          <w:color w:val="000000"/>
        </w:rPr>
        <w:t>”</w:t>
      </w:r>
      <w:r>
        <w:rPr>
          <w:rFonts w:ascii="Times New Roman;serif" w:hAnsi="Times New Roman;serif"/>
          <w:b w:val="false"/>
          <w:color w:val="000000"/>
          <w:sz w:val="22"/>
        </w:rPr>
        <w:t>).</w:t>
      </w:r>
    </w:p>
    <w:p>
      <w:pPr>
        <w:pStyle w:val="TextBody"/>
        <w:bidi w:val="0"/>
        <w:spacing w:lineRule="auto" w:line="288" w:before="200" w:after="140"/>
        <w:jc w:val="both"/>
        <w:rPr/>
      </w:pPr>
      <w:r>
        <w:rPr>
          <w:rFonts w:ascii="Times New Roman;serif" w:hAnsi="Times New Roman;serif"/>
          <w:b/>
          <w:color w:val="000000"/>
          <w:sz w:val="22"/>
        </w:rPr>
        <w:t xml:space="preserve">1. </w:t>
      </w:r>
      <w:r>
        <w:rPr>
          <w:rFonts w:ascii="Times New Roman;serif" w:hAnsi="Times New Roman;serif"/>
          <w:b/>
          <w:color w:val="000000"/>
          <w:sz w:val="22"/>
          <w:u w:val="single"/>
        </w:rPr>
        <w:t>DEFINITIONS</w:t>
      </w:r>
    </w:p>
    <w:p>
      <w:pPr>
        <w:pStyle w:val="TextBody"/>
        <w:bidi w:val="0"/>
        <w:spacing w:lineRule="auto" w:line="288" w:before="80" w:after="120"/>
        <w:ind w:left="0" w:right="0" w:hanging="504"/>
        <w:jc w:val="both"/>
        <w:rPr/>
      </w:pPr>
      <w:r>
        <w:rPr>
          <w:rFonts w:ascii="Times New Roman;serif" w:hAnsi="Times New Roman;serif"/>
          <w:b/>
          <w:color w:val="000000"/>
          <w:sz w:val="22"/>
        </w:rPr>
        <w:t>1.1 Defined Terms.</w:t>
      </w:r>
      <w:r>
        <w:rPr>
          <w:color w:val="000000"/>
        </w:rPr>
        <w:t xml:space="preserve"> </w:t>
      </w:r>
      <w:r>
        <w:rPr>
          <w:rFonts w:ascii="Times New Roman;serif" w:hAnsi="Times New Roman;serif"/>
          <w:b w:val="false"/>
          <w:color w:val="000000"/>
          <w:sz w:val="22"/>
        </w:rPr>
        <w:t>Capitalized terms used but not otherwise defined in this Warrant have the meanings set forth in the Exchange Agreement dated as of the Issue Date between the Company, the Holder and the other holders party thereto (the “</w:t>
      </w:r>
      <w:r>
        <w:rPr>
          <w:rFonts w:ascii="Times New Roman;serif" w:hAnsi="Times New Roman;serif"/>
          <w:b w:val="false"/>
          <w:color w:val="000000"/>
          <w:sz w:val="22"/>
          <w:u w:val="single"/>
        </w:rPr>
        <w:t>Exchange Agreement</w:t>
      </w:r>
      <w:r>
        <w:rPr>
          <w:color w:val="000000"/>
        </w:rPr>
        <w:t>”</w:t>
      </w:r>
      <w:r>
        <w:rPr>
          <w:rFonts w:ascii="Times New Roman;serif" w:hAnsi="Times New Roman;serif"/>
          <w:b w:val="false"/>
          <w:color w:val="000000"/>
          <w:sz w:val="22"/>
        </w:rPr>
        <w:t>). In addition:</w:t>
      </w:r>
    </w:p>
    <w:p>
      <w:pPr>
        <w:pStyle w:val="TextBody"/>
        <w:bidi w:val="0"/>
        <w:spacing w:lineRule="auto" w:line="288" w:before="0" w:after="80"/>
        <w:ind w:left="0" w:right="0" w:hanging="432"/>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Affiliate</w:t>
      </w:r>
      <w:r>
        <w:rPr>
          <w:color w:val="000000"/>
        </w:rPr>
        <w:t xml:space="preserve">” </w:t>
      </w:r>
      <w:r>
        <w:rPr>
          <w:rFonts w:ascii="Times New Roman;serif" w:hAnsi="Times New Roman;serif"/>
          <w:b w:val="false"/>
          <w:color w:val="000000"/>
          <w:sz w:val="22"/>
        </w:rPr>
        <w:t>has the meaning set forth in Rule 12b-2 under the Exchange Act.</w:t>
      </w:r>
    </w:p>
    <w:p>
      <w:pPr>
        <w:pStyle w:val="TextBody"/>
        <w:bidi w:val="0"/>
        <w:spacing w:lineRule="auto" w:line="288" w:before="0" w:after="80"/>
        <w:ind w:left="0" w:right="0" w:hanging="432"/>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Business Day</w:t>
      </w:r>
      <w:r>
        <w:rPr>
          <w:color w:val="000000"/>
        </w:rPr>
        <w:t xml:space="preserve">” </w:t>
      </w:r>
      <w:r>
        <w:rPr>
          <w:rFonts w:ascii="Times New Roman;serif" w:hAnsi="Times New Roman;serif"/>
          <w:b w:val="false"/>
          <w:color w:val="000000"/>
          <w:sz w:val="22"/>
        </w:rPr>
        <w:t>means any day other than Saturday, Sunday, or a day on which banking institutions in New York, New York are authorized or required by law to close.</w:t>
      </w:r>
    </w:p>
    <w:p>
      <w:pPr>
        <w:pStyle w:val="TextBody"/>
        <w:bidi w:val="0"/>
        <w:spacing w:lineRule="auto" w:line="288" w:before="0" w:after="80"/>
        <w:ind w:left="0" w:right="0" w:hanging="432"/>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Class A Common Stock Equivalents</w:t>
      </w:r>
      <w:r>
        <w:rPr>
          <w:color w:val="000000"/>
        </w:rPr>
        <w:t xml:space="preserve">” </w:t>
      </w:r>
      <w:r>
        <w:rPr>
          <w:rFonts w:ascii="Times New Roman;serif" w:hAnsi="Times New Roman;serif"/>
          <w:b w:val="false"/>
          <w:color w:val="000000"/>
          <w:sz w:val="22"/>
        </w:rPr>
        <w:t>means any security or right that entitles its holder to acquire shares of Class A Common Stock, including any debt, preferred stock, option, warrant, or other instrument convertible into, exercisable for, or exchangeable for Class A Common Stock.</w:t>
      </w:r>
    </w:p>
    <w:p>
      <w:pPr>
        <w:pStyle w:val="TextBody"/>
        <w:bidi w:val="0"/>
        <w:spacing w:lineRule="auto" w:line="288" w:before="0" w:after="80"/>
        <w:ind w:left="0" w:right="0" w:hanging="432"/>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Issue Date</w:t>
      </w:r>
      <w:r>
        <w:rPr>
          <w:color w:val="000000"/>
        </w:rPr>
        <w:t xml:space="preserve">” </w:t>
      </w:r>
      <w:r>
        <w:rPr>
          <w:rFonts w:ascii="Times New Roman;serif" w:hAnsi="Times New Roman;serif"/>
          <w:b w:val="false"/>
          <w:color w:val="000000"/>
          <w:sz w:val="22"/>
        </w:rPr>
        <w:t>means the Effective Date of the Exchange Agreement.</w:t>
      </w:r>
    </w:p>
    <w:p>
      <w:pPr>
        <w:pStyle w:val="TextBody"/>
        <w:bidi w:val="0"/>
        <w:spacing w:lineRule="auto" w:line="288" w:before="0" w:after="80"/>
        <w:ind w:left="0" w:right="0" w:hanging="432"/>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Trading Day</w:t>
      </w:r>
      <w:r>
        <w:rPr>
          <w:color w:val="000000"/>
        </w:rPr>
        <w:t xml:space="preserve">” </w:t>
      </w:r>
      <w:r>
        <w:rPr>
          <w:rFonts w:ascii="Times New Roman;serif" w:hAnsi="Times New Roman;serif"/>
          <w:b w:val="false"/>
          <w:color w:val="000000"/>
          <w:sz w:val="22"/>
        </w:rPr>
        <w:t>means a day on which the Class A Common Stock is traded on a Trading Market.</w:t>
      </w:r>
    </w:p>
    <w:p>
      <w:pPr>
        <w:pStyle w:val="TextBody"/>
        <w:bidi w:val="0"/>
        <w:spacing w:lineRule="auto" w:line="288" w:before="0" w:after="80"/>
        <w:ind w:left="0" w:right="0" w:hanging="432"/>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Trading Market</w:t>
      </w:r>
      <w:r>
        <w:rPr>
          <w:color w:val="000000"/>
        </w:rPr>
        <w:t xml:space="preserve">” </w:t>
      </w:r>
      <w:r>
        <w:rPr>
          <w:rFonts w:ascii="Times New Roman;serif" w:hAnsi="Times New Roman;serif"/>
          <w:b w:val="false"/>
          <w:color w:val="000000"/>
          <w:sz w:val="22"/>
        </w:rPr>
        <w:t>means the NYSE American, Nasdaq Capital Market, Nasdaq Global Market, Nasdaq Global Select Market, New York Stock Exchange, or another national securities exchange on which the Class A Common Stock is then listed or quoted.</w:t>
      </w:r>
    </w:p>
    <w:p>
      <w:pPr>
        <w:pStyle w:val="TextBody"/>
        <w:bidi w:val="0"/>
        <w:spacing w:lineRule="auto" w:line="288" w:before="0" w:after="80"/>
        <w:ind w:left="0" w:right="0" w:hanging="432"/>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Transfer Agent</w:t>
      </w:r>
      <w:r>
        <w:rPr>
          <w:color w:val="000000"/>
        </w:rPr>
        <w:t xml:space="preserve">” </w:t>
      </w:r>
      <w:r>
        <w:rPr>
          <w:rFonts w:ascii="Times New Roman;serif" w:hAnsi="Times New Roman;serif"/>
          <w:b w:val="false"/>
          <w:color w:val="000000"/>
          <w:sz w:val="22"/>
        </w:rPr>
        <w:t>means Computershare Trust Company, N.A., or any successor transfer agent for the Class A Common Stock.</w:t>
      </w:r>
    </w:p>
    <w:p>
      <w:pPr>
        <w:pStyle w:val="TextBody"/>
        <w:bidi w:val="0"/>
        <w:spacing w:lineRule="auto" w:line="288" w:before="0" w:after="80"/>
        <w:ind w:left="0" w:right="0" w:hanging="432"/>
        <w:jc w:val="both"/>
        <w:rPr/>
      </w:pPr>
      <w:r>
        <w:rPr>
          <w:rFonts w:ascii="Times New Roman;serif" w:hAnsi="Times New Roman;serif"/>
          <w:b w:val="false"/>
          <w:color w:val="000000"/>
          <w:sz w:val="22"/>
        </w:rPr>
        <w:t>(h) “</w:t>
      </w:r>
      <w:r>
        <w:rPr>
          <w:rFonts w:ascii="Times New Roman;serif" w:hAnsi="Times New Roman;serif"/>
          <w:b w:val="false"/>
          <w:color w:val="000000"/>
          <w:sz w:val="22"/>
          <w:u w:val="single"/>
        </w:rPr>
        <w:t>Rule 144</w:t>
      </w:r>
      <w:r>
        <w:rPr>
          <w:color w:val="000000"/>
        </w:rPr>
        <w:t xml:space="preserve">” </w:t>
      </w:r>
      <w:r>
        <w:rPr>
          <w:rFonts w:ascii="Times New Roman;serif" w:hAnsi="Times New Roman;serif"/>
          <w:b w:val="false"/>
          <w:color w:val="000000"/>
          <w:sz w:val="22"/>
        </w:rPr>
        <w:t>means Rule 144 promulgated under the Securities Act, as amended from time to time.</w:t>
      </w:r>
    </w:p>
    <w:p>
      <w:pPr>
        <w:pStyle w:val="TextBody"/>
        <w:bidi w:val="0"/>
        <w:spacing w:lineRule="auto" w:line="288" w:before="200" w:after="140"/>
        <w:jc w:val="both"/>
        <w:rPr/>
      </w:pPr>
      <w:r>
        <w:rPr>
          <w:rFonts w:ascii="Times New Roman;serif" w:hAnsi="Times New Roman;serif"/>
          <w:b/>
          <w:color w:val="000000"/>
          <w:sz w:val="22"/>
        </w:rPr>
        <w:t xml:space="preserve">2. </w:t>
      </w:r>
      <w:r>
        <w:rPr>
          <w:rFonts w:ascii="Times New Roman;serif" w:hAnsi="Times New Roman;serif"/>
          <w:b/>
          <w:color w:val="000000"/>
          <w:sz w:val="22"/>
          <w:u w:val="single"/>
        </w:rPr>
        <w:t>EXERCISE</w:t>
      </w:r>
    </w:p>
    <w:p>
      <w:pPr>
        <w:pStyle w:val="TextBody"/>
        <w:bidi w:val="0"/>
        <w:spacing w:lineRule="auto" w:line="288" w:before="80" w:after="120"/>
        <w:ind w:left="0" w:right="0" w:hanging="504"/>
        <w:jc w:val="both"/>
        <w:rPr/>
      </w:pPr>
      <w:r>
        <w:rPr>
          <w:rFonts w:ascii="Times New Roman;serif" w:hAnsi="Times New Roman;serif"/>
          <w:b w:val="false"/>
          <w:color w:val="000000"/>
          <w:sz w:val="22"/>
        </w:rPr>
        <w:t xml:space="preserve">2.1 </w:t>
      </w:r>
      <w:r>
        <w:rPr>
          <w:rFonts w:ascii="Times New Roman;serif" w:hAnsi="Times New Roman;serif"/>
          <w:b/>
          <w:color w:val="000000"/>
          <w:sz w:val="22"/>
        </w:rPr>
        <w:t>Exercise of Warrant</w:t>
      </w:r>
      <w:r>
        <w:rPr>
          <w:rFonts w:ascii="Times New Roman;serif" w:hAnsi="Times New Roman;serif"/>
          <w:b w:val="false"/>
          <w:color w:val="000000"/>
          <w:sz w:val="22"/>
        </w:rPr>
        <w:t xml:space="preserve">. The Holder may exercise this Warrant in whole or in part at any time on or after the Issue Date through the Termination Date only by (a) delivering to the Company by electronic mail a duly executed Notice of Exercise substantially in the form attached as </w:t>
      </w:r>
      <w:r>
        <w:rPr>
          <w:rFonts w:ascii="Times New Roman;serif" w:hAnsi="Times New Roman;serif"/>
          <w:b w:val="false"/>
          <w:color w:val="000000"/>
          <w:sz w:val="22"/>
          <w:u w:val="single"/>
        </w:rPr>
        <w:t>Exhibit A-1</w:t>
      </w:r>
      <w:r>
        <w:rPr>
          <w:rFonts w:ascii="Times New Roman;serif" w:hAnsi="Times New Roman;serif"/>
          <w:b w:val="false"/>
          <w:color w:val="000000"/>
          <w:sz w:val="22"/>
        </w:rPr>
        <w:t xml:space="preserve">, (b) paying the full aggregate Exercise Price for the Warrant Shares specified in that notice by wire transfer of immediately </w:t>
      </w:r>
    </w:p>
    <w:p>
      <w:pPr>
        <w:pStyle w:val="TextBody"/>
        <w:bidi w:val="0"/>
        <w:spacing w:lineRule="auto" w:line="288" w:before="0" w:after="0"/>
        <w:jc w:val="right"/>
        <w:rPr>
          <w:rFonts w:ascii="Times New Roman;serif" w:hAnsi="Times New Roman;serif"/>
          <w:b/>
          <w:i/>
          <w:color w:val="000000"/>
          <w:sz w:val="21"/>
        </w:rPr>
      </w:pPr>
      <w:r>
        <w:rPr>
          <w:rFonts w:ascii="Times New Roman;serif" w:hAnsi="Times New Roman;serif"/>
          <w:b/>
          <w:i/>
          <w:color w:val="000000"/>
          <w:sz w:val="21"/>
        </w:rPr>
        <w:t>Execution Version</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00.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A-1</w:t>
                      </w:r>
                    </w:p>
                  </w:txbxContent>
                </v:textbox>
                <w10:wrap type="none"/>
              </v:rect>
            </w:pict>
          </mc:Fallback>
        </mc:AlternateContent>
      </w:r>
    </w:p>
    <w:p>
      <w:pPr>
        <w:pStyle w:val="TextBody"/>
        <w:bidi w:val="0"/>
        <w:spacing w:lineRule="auto" w:line="288" w:before="80" w:after="120"/>
        <w:jc w:val="both"/>
        <w:rPr/>
      </w:pPr>
      <w:r>
        <w:rPr>
          <w:rFonts w:ascii="Times New Roman;serif" w:hAnsi="Times New Roman;serif"/>
          <w:b w:val="false"/>
          <w:color w:val="000000"/>
          <w:sz w:val="22"/>
        </w:rPr>
        <w:t xml:space="preserve">available funds within one Trading Day after delivery of the notice, and (c) reaffirming the representations applicable to the Holder in </w:t>
      </w:r>
      <w:r>
        <w:rPr>
          <w:rFonts w:ascii="Times New Roman;serif" w:hAnsi="Times New Roman;serif"/>
          <w:b w:val="false"/>
          <w:color w:val="000000"/>
          <w:sz w:val="22"/>
          <w:u w:val="single"/>
        </w:rPr>
        <w:t>Section 3.10</w:t>
      </w:r>
      <w:r>
        <w:rPr>
          <w:color w:val="000000"/>
        </w:rPr>
        <w:t xml:space="preserve"> </w:t>
      </w:r>
      <w:r>
        <w:rPr>
          <w:rFonts w:ascii="Times New Roman;serif" w:hAnsi="Times New Roman;serif"/>
          <w:b w:val="false"/>
          <w:color w:val="000000"/>
          <w:sz w:val="22"/>
        </w:rPr>
        <w:t>of the Exchange Agreement. No other method of exercise or payment is permitted. No ink-original Notice of Exercise, medallion guarantee, notarization, or physical surrender of this Warrant is required until the Warrant has been exercised in full. Within three Trading Days after final exercise, the Holder shall surrender the Warrant for cancellation. The parties shall maintain records of partial exercises, and the Company shall notify the Holder of any objection to a Notice of Exercise within one Business Day after receipt.</w:t>
      </w:r>
    </w:p>
    <w:p>
      <w:pPr>
        <w:pStyle w:val="TextBody"/>
        <w:bidi w:val="0"/>
        <w:spacing w:lineRule="auto" w:line="288" w:before="80" w:after="120"/>
        <w:ind w:left="0" w:right="0" w:hanging="504"/>
        <w:jc w:val="both"/>
        <w:rPr/>
      </w:pPr>
      <w:r>
        <w:rPr>
          <w:rFonts w:ascii="Times New Roman;serif" w:hAnsi="Times New Roman;serif"/>
          <w:b/>
          <w:color w:val="000000"/>
          <w:sz w:val="22"/>
        </w:rPr>
        <w:t>2.2 Exercise Price.</w:t>
      </w:r>
      <w:r>
        <w:rPr>
          <w:color w:val="000000"/>
        </w:rPr>
        <w:t xml:space="preserve"> </w:t>
      </w:r>
      <w:r>
        <w:rPr>
          <w:rFonts w:ascii="Times New Roman;serif" w:hAnsi="Times New Roman;serif"/>
          <w:b w:val="false"/>
          <w:color w:val="000000"/>
          <w:sz w:val="22"/>
        </w:rPr>
        <w:t xml:space="preserve">The exercise price per Warrant Share is $1.87, subject to adjustment under </w:t>
      </w:r>
      <w:r>
        <w:rPr>
          <w:rFonts w:ascii="Times New Roman;serif" w:hAnsi="Times New Roman;serif"/>
          <w:b w:val="false"/>
          <w:color w:val="000000"/>
          <w:sz w:val="22"/>
          <w:u w:val="single"/>
        </w:rPr>
        <w:t>Section 3</w:t>
      </w:r>
      <w:r>
        <w:rPr>
          <w:rFonts w:ascii="Times New Roman;serif" w:hAnsi="Times New Roman;serif"/>
          <w:b w:val="false"/>
          <w:color w:val="000000"/>
          <w:sz w:val="22"/>
        </w:rPr>
        <w:t>.</w:t>
      </w:r>
    </w:p>
    <w:p>
      <w:pPr>
        <w:pStyle w:val="TextBody"/>
        <w:bidi w:val="0"/>
        <w:spacing w:lineRule="auto" w:line="288" w:before="80" w:after="120"/>
        <w:ind w:left="0" w:right="0" w:hanging="504"/>
        <w:jc w:val="both"/>
        <w:rPr/>
      </w:pPr>
      <w:r>
        <w:rPr>
          <w:rFonts w:ascii="Times New Roman;serif" w:hAnsi="Times New Roman;serif"/>
          <w:b/>
          <w:color w:val="000000"/>
          <w:sz w:val="22"/>
        </w:rPr>
        <w:t>2.3 Delivery of Warrant Shares.</w:t>
      </w:r>
      <w:r>
        <w:rPr>
          <w:color w:val="000000"/>
        </w:rPr>
        <w:t xml:space="preserve"> </w:t>
      </w:r>
      <w:r>
        <w:rPr>
          <w:rFonts w:ascii="Times New Roman;serif" w:hAnsi="Times New Roman;serif"/>
          <w:b w:val="false"/>
          <w:color w:val="000000"/>
          <w:sz w:val="22"/>
        </w:rPr>
        <w:t xml:space="preserve">Each exercise and issuance of Warrant Shares is conditioned on the Company’s receipt of a valid Notice of Exercise, the full aggregate Exercise Price in cash, and the Holder’s reaffirmation of the representations applicable to it in </w:t>
      </w:r>
      <w:r>
        <w:rPr>
          <w:rFonts w:ascii="Times New Roman;serif" w:hAnsi="Times New Roman;serif"/>
          <w:b w:val="false"/>
          <w:color w:val="000000"/>
          <w:sz w:val="22"/>
          <w:u w:val="single"/>
        </w:rPr>
        <w:t>Section 3.10</w:t>
      </w:r>
      <w:r>
        <w:rPr>
          <w:color w:val="000000"/>
        </w:rPr>
        <w:t xml:space="preserve"> </w:t>
      </w:r>
      <w:r>
        <w:rPr>
          <w:rFonts w:ascii="Times New Roman;serif" w:hAnsi="Times New Roman;serif"/>
          <w:b w:val="false"/>
          <w:color w:val="000000"/>
          <w:sz w:val="22"/>
        </w:rPr>
        <w:t>of the Exchange Agreement, and on the Company’s determination that the issuance may be completed in reliance on Section 4(a)(2) of the Securities Act. If that exemption is unavailable, the exercise will not become effective and the Company shall promptly return any Exercise Price received, without interest. Subject to those conditions, the Company shall cause the Transfer Agent to deliver the Warrant Shares by the earliest of (a) two Trading Days after the last required item is received, (b) one Trading Day after the last required item is received, and (c) the number of Trading Days in the Standard Settlement Period after the last required item is received. The applicable date is the “</w:t>
      </w:r>
      <w:r>
        <w:rPr>
          <w:rFonts w:ascii="Times New Roman;serif" w:hAnsi="Times New Roman;serif"/>
          <w:b w:val="false"/>
          <w:color w:val="000000"/>
          <w:sz w:val="22"/>
          <w:u w:val="single"/>
        </w:rPr>
        <w:t>Warrant Share Delivery Date</w:t>
      </w:r>
      <w:r>
        <w:rPr>
          <w:rFonts w:ascii="Times New Roman;serif" w:hAnsi="Times New Roman;serif"/>
          <w:b w:val="false"/>
          <w:color w:val="000000"/>
          <w:sz w:val="22"/>
        </w:rPr>
        <w:t>.” “</w:t>
      </w:r>
      <w:r>
        <w:rPr>
          <w:rFonts w:ascii="Times New Roman;serif" w:hAnsi="Times New Roman;serif"/>
          <w:b w:val="false"/>
          <w:color w:val="000000"/>
          <w:sz w:val="22"/>
          <w:u w:val="single"/>
        </w:rPr>
        <w:t>Standard Settlement Period</w:t>
      </w:r>
      <w:r>
        <w:rPr>
          <w:color w:val="000000"/>
        </w:rPr>
        <w:t xml:space="preserve">” </w:t>
      </w:r>
      <w:r>
        <w:rPr>
          <w:rFonts w:ascii="Times New Roman;serif" w:hAnsi="Times New Roman;serif"/>
          <w:b w:val="false"/>
          <w:color w:val="000000"/>
          <w:sz w:val="22"/>
        </w:rPr>
        <w:t>means the standard settlement period in effect on the Company’s primary Trading Market on the exercise date. The Company may deliver Warrant Shares through DTC only to the extent permitted by applicable securities laws; otherwise, the Company may deliver restricted book-entry shares or a certificate bearing an appropriate legend. The Holder becomes the record holder only after the applicable exercise conditions have been satisfied.</w:t>
      </w:r>
    </w:p>
    <w:p>
      <w:pPr>
        <w:pStyle w:val="TextBody"/>
        <w:bidi w:val="0"/>
        <w:spacing w:lineRule="auto" w:line="288" w:before="80" w:after="120"/>
        <w:ind w:left="0" w:right="0" w:hanging="504"/>
        <w:jc w:val="both"/>
        <w:rPr/>
      </w:pPr>
      <w:r>
        <w:rPr>
          <w:rFonts w:ascii="Times New Roman;serif" w:hAnsi="Times New Roman;serif"/>
          <w:b/>
          <w:color w:val="000000"/>
          <w:sz w:val="22"/>
        </w:rPr>
        <w:t>2.4 Late Delivery.</w:t>
      </w:r>
      <w:r>
        <w:rPr>
          <w:color w:val="000000"/>
        </w:rPr>
        <w:t xml:space="preserve"> </w:t>
      </w:r>
      <w:r>
        <w:rPr>
          <w:rFonts w:ascii="Times New Roman;serif" w:hAnsi="Times New Roman;serif"/>
          <w:b w:val="false"/>
          <w:color w:val="000000"/>
          <w:sz w:val="22"/>
        </w:rPr>
        <w:t xml:space="preserve">If the Company fails to deliver Warrant Shares by the Warrant Share Delivery Date, other than because of a material defect in the Notice of Exercise, the Holder’s failure to timely pay the Exercise Price or reaffirm </w:t>
      </w:r>
      <w:r>
        <w:rPr>
          <w:rFonts w:ascii="Times New Roman;serif" w:hAnsi="Times New Roman;serif"/>
          <w:b w:val="false"/>
          <w:color w:val="000000"/>
          <w:sz w:val="22"/>
          <w:u w:val="single"/>
        </w:rPr>
        <w:t>Section 3.10</w:t>
      </w:r>
      <w:r>
        <w:rPr>
          <w:color w:val="000000"/>
        </w:rPr>
        <w:t xml:space="preserve"> </w:t>
      </w:r>
      <w:r>
        <w:rPr>
          <w:rFonts w:ascii="Times New Roman;serif" w:hAnsi="Times New Roman;serif"/>
          <w:b w:val="false"/>
          <w:color w:val="000000"/>
          <w:sz w:val="22"/>
        </w:rPr>
        <w:t>of the Exchange Agreement, or another condition necessary for a lawful issuance, the Company shall pay the Holder, as liquidated damages and not a penalty, $10 per Trading Day for each $1,000 of Warrant Shares subject to the exercise, based on the VWAP on the exercise date, increasing to $20 per Trading Day beginning on the third Trading Day after the Warrant Share Delivery Date, until delivery or rescission. The Holder may rescind the exercise at any time before delivery. The Company shall maintain a transfer agent participating in the FAST program while this Warrant remains outstanding and exercisable.</w:t>
      </w:r>
    </w:p>
    <w:p>
      <w:pPr>
        <w:pStyle w:val="TextBody"/>
        <w:bidi w:val="0"/>
        <w:spacing w:lineRule="auto" w:line="288" w:before="80" w:after="120"/>
        <w:ind w:left="0" w:right="0" w:hanging="504"/>
        <w:jc w:val="both"/>
        <w:rPr/>
      </w:pPr>
      <w:r>
        <w:rPr>
          <w:rFonts w:ascii="Times New Roman;serif" w:hAnsi="Times New Roman;serif"/>
          <w:b/>
          <w:color w:val="000000"/>
          <w:sz w:val="22"/>
        </w:rPr>
        <w:t>2.5 Buy In.</w:t>
      </w:r>
      <w:r>
        <w:rPr>
          <w:color w:val="000000"/>
        </w:rPr>
        <w:t xml:space="preserve"> </w:t>
      </w:r>
      <w:r>
        <w:rPr>
          <w:rFonts w:ascii="Times New Roman;serif" w:hAnsi="Times New Roman;serif"/>
          <w:b w:val="false"/>
          <w:color w:val="000000"/>
          <w:sz w:val="22"/>
        </w:rPr>
        <w:t>The Buy-In remedy in this Section applies only if the anticipated sale of the Warrant Shares is permitted under applicable securities laws. Subject to that condition, if the Company fails to deliver Warrant Shares by the Warrant Share Delivery Date and the Holder or the Holder’s broker must purchase shares in the market to satisfy a bona fide sale of the Warrant Shares that the Holder anticipated receiving (a “</w:t>
      </w:r>
      <w:r>
        <w:rPr>
          <w:rFonts w:ascii="Times New Roman;serif" w:hAnsi="Times New Roman;serif"/>
          <w:b w:val="false"/>
          <w:color w:val="000000"/>
          <w:sz w:val="22"/>
          <w:u w:val="single"/>
        </w:rPr>
        <w:t>Buy-In</w:t>
      </w:r>
      <w:r>
        <w:rPr>
          <w:color w:val="000000"/>
        </w:rPr>
        <w:t>”</w:t>
      </w:r>
      <w:r>
        <w:rPr>
          <w:rFonts w:ascii="Times New Roman;serif" w:hAnsi="Times New Roman;serif"/>
          <w:b w:val="false"/>
          <w:color w:val="000000"/>
          <w:sz w:val="22"/>
        </w:rPr>
        <w:t>), the Company shall pay the amount by which the Holder’s total purchase price, including brokerage commissions, exceeds the amount obtained by multiplying the number of Warrant Shares required to be delivered by the price at which the sale giving rise to the Buy-In was executed. At the Holder’s option, the Company shall also reinstate the exercised portion of the Warrant or deliver the Warrant Shares. The Holder shall provide reasonable evidence of the Buy-In loss. This Section does not apply to a sale of restricted securities in violation of law.</w:t>
      </w:r>
    </w:p>
    <w:p>
      <w:pPr>
        <w:pStyle w:val="TextBody"/>
        <w:bidi w:val="0"/>
        <w:spacing w:lineRule="auto" w:line="288" w:before="80" w:after="120"/>
        <w:ind w:left="0" w:right="0" w:hanging="504"/>
        <w:jc w:val="both"/>
        <w:rPr/>
      </w:pPr>
      <w:r>
        <w:rPr>
          <w:rFonts w:ascii="Times New Roman;serif" w:hAnsi="Times New Roman;serif"/>
          <w:b/>
          <w:color w:val="000000"/>
          <w:sz w:val="22"/>
        </w:rPr>
        <w:t>2.6 New Warrant After Partial Exercise.</w:t>
      </w:r>
      <w:r>
        <w:rPr>
          <w:color w:val="000000"/>
        </w:rPr>
        <w:t xml:space="preserve"> </w:t>
      </w:r>
      <w:r>
        <w:rPr>
          <w:rFonts w:ascii="Times New Roman;serif" w:hAnsi="Times New Roman;serif"/>
          <w:b w:val="false"/>
          <w:color w:val="000000"/>
          <w:sz w:val="22"/>
        </w:rPr>
        <w:t>If the Holder partially exercises this Warrant and requests a replacement certificate upon surrender of this Warrant, the Company shall deliver a new Warrant for the unpurchased Warrant Shares, otherwise identical to this Warrant.</w:t>
      </w:r>
    </w:p>
    <w:p>
      <w:pPr>
        <w:pStyle w:val="TextBody"/>
        <w:bidi w:val="0"/>
        <w:spacing w:lineRule="auto" w:line="288" w:before="80" w:after="120"/>
        <w:ind w:left="0" w:right="0" w:hanging="504"/>
        <w:jc w:val="both"/>
        <w:rPr/>
      </w:pPr>
      <w:r>
        <w:rPr>
          <w:rFonts w:ascii="Times New Roman;serif" w:hAnsi="Times New Roman;serif"/>
          <w:b/>
          <w:color w:val="000000"/>
          <w:sz w:val="22"/>
        </w:rPr>
        <w:t>2.7 No Fractional Shares.</w:t>
      </w:r>
      <w:r>
        <w:rPr>
          <w:color w:val="000000"/>
        </w:rPr>
        <w:t xml:space="preserve"> </w:t>
      </w:r>
      <w:r>
        <w:rPr>
          <w:rFonts w:ascii="Times New Roman;serif" w:hAnsi="Times New Roman;serif"/>
          <w:b w:val="false"/>
          <w:color w:val="000000"/>
          <w:sz w:val="22"/>
        </w:rPr>
        <w:t>No fractional Warrant Share or scrip will be issued. Any fractional entitlement shall be rounded down to the next whole Warrant Share, and no cash or other consideration shall be paid in lieu of the fraction.</w:t>
      </w:r>
    </w:p>
    <w:p>
      <w:pPr>
        <w:pStyle w:val="TextBody"/>
        <w:bidi w:val="0"/>
        <w:spacing w:lineRule="auto" w:line="288" w:before="0" w:after="0"/>
        <w:jc w:val="right"/>
        <w:rPr>
          <w:rFonts w:ascii="Times New Roman;serif" w:hAnsi="Times New Roman;serif"/>
          <w:b/>
          <w:i/>
          <w:color w:val="000000"/>
          <w:sz w:val="21"/>
        </w:rPr>
      </w:pPr>
      <w:r>
        <w:rPr>
          <w:rFonts w:ascii="Times New Roman;serif" w:hAnsi="Times New Roman;serif"/>
          <w:b/>
          <w:i/>
          <w:color w:val="000000"/>
          <w:sz w:val="21"/>
        </w:rPr>
        <w:t>Execution Version</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00.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A-2</w:t>
                      </w:r>
                    </w:p>
                  </w:txbxContent>
                </v:textbox>
                <w10:wrap type="none"/>
              </v:rect>
            </w:pict>
          </mc:Fallback>
        </mc:AlternateContent>
      </w:r>
    </w:p>
    <w:p>
      <w:pPr>
        <w:pStyle w:val="TextBody"/>
        <w:bidi w:val="0"/>
        <w:spacing w:lineRule="auto" w:line="288" w:before="80" w:after="120"/>
        <w:ind w:left="0" w:right="0" w:hanging="504"/>
        <w:jc w:val="both"/>
        <w:rPr/>
      </w:pPr>
      <w:r>
        <w:rPr>
          <w:rFonts w:ascii="Times New Roman;serif" w:hAnsi="Times New Roman;serif"/>
          <w:b/>
          <w:color w:val="000000"/>
          <w:sz w:val="22"/>
        </w:rPr>
        <w:t>2.8 Charges Taxes and Expenses.</w:t>
      </w:r>
      <w:r>
        <w:rPr>
          <w:color w:val="000000"/>
        </w:rPr>
        <w:t xml:space="preserve"> </w:t>
      </w:r>
      <w:r>
        <w:rPr>
          <w:rFonts w:ascii="Times New Roman;serif" w:hAnsi="Times New Roman;serif"/>
          <w:b w:val="false"/>
          <w:color w:val="000000"/>
          <w:sz w:val="22"/>
        </w:rPr>
        <w:t xml:space="preserve">The Company shall issue Warrant Shares without charge to the Holder for issue taxes or incidental issuance expenses and shall pay the Transfer Agent and DTC fees required for same-day processing. If Warrant Shares are to be issued in a name other than the Holder’s name, the proposed transfer and issuance must comply with </w:t>
      </w:r>
      <w:r>
        <w:rPr>
          <w:rFonts w:ascii="Times New Roman;serif" w:hAnsi="Times New Roman;serif"/>
          <w:b w:val="false"/>
          <w:color w:val="000000"/>
          <w:sz w:val="22"/>
          <w:u w:val="single"/>
        </w:rPr>
        <w:t>Section 4</w:t>
      </w:r>
      <w:r>
        <w:rPr>
          <w:rFonts w:ascii="Times New Roman;serif" w:hAnsi="Times New Roman;serif"/>
          <w:b w:val="false"/>
          <w:color w:val="000000"/>
          <w:sz w:val="22"/>
        </w:rPr>
        <w:t>, and the Holder shall pay any transfer tax attributable to that issuance.</w:t>
      </w:r>
    </w:p>
    <w:p>
      <w:pPr>
        <w:pStyle w:val="TextBody"/>
        <w:bidi w:val="0"/>
        <w:spacing w:lineRule="auto" w:line="288" w:before="80" w:after="120"/>
        <w:ind w:left="0" w:right="0" w:hanging="504"/>
        <w:jc w:val="both"/>
        <w:rPr/>
      </w:pPr>
      <w:r>
        <w:rPr>
          <w:rFonts w:ascii="Times New Roman;serif" w:hAnsi="Times New Roman;serif"/>
          <w:b/>
          <w:color w:val="000000"/>
          <w:sz w:val="22"/>
        </w:rPr>
        <w:t>2.9 Closing of Books.</w:t>
      </w:r>
      <w:r>
        <w:rPr>
          <w:color w:val="000000"/>
        </w:rPr>
        <w:t xml:space="preserve"> </w:t>
      </w:r>
      <w:r>
        <w:rPr>
          <w:rFonts w:ascii="Times New Roman;serif" w:hAnsi="Times New Roman;serif"/>
          <w:b w:val="false"/>
          <w:color w:val="000000"/>
          <w:sz w:val="22"/>
        </w:rPr>
        <w:t>The Company shall not close its stockholder books or records in a manner that prevents timely exercise of this Warrant.</w:t>
      </w:r>
    </w:p>
    <w:p>
      <w:pPr>
        <w:pStyle w:val="TextBody"/>
        <w:bidi w:val="0"/>
        <w:spacing w:lineRule="auto" w:line="288" w:before="200" w:after="140"/>
        <w:jc w:val="both"/>
        <w:rPr/>
      </w:pPr>
      <w:r>
        <w:rPr>
          <w:rFonts w:ascii="Times New Roman;serif" w:hAnsi="Times New Roman;serif"/>
          <w:b/>
          <w:color w:val="000000"/>
          <w:sz w:val="22"/>
        </w:rPr>
        <w:t xml:space="preserve">3. </w:t>
      </w:r>
      <w:r>
        <w:rPr>
          <w:rFonts w:ascii="Times New Roman;serif" w:hAnsi="Times New Roman;serif"/>
          <w:b/>
          <w:color w:val="000000"/>
          <w:sz w:val="22"/>
          <w:u w:val="single"/>
        </w:rPr>
        <w:t>CERTAIN ADJUSTMENTS</w:t>
      </w:r>
    </w:p>
    <w:p>
      <w:pPr>
        <w:pStyle w:val="TextBody"/>
        <w:bidi w:val="0"/>
        <w:spacing w:lineRule="auto" w:line="288" w:before="80" w:after="120"/>
        <w:ind w:left="0" w:right="0" w:hanging="504"/>
        <w:jc w:val="both"/>
        <w:rPr/>
      </w:pPr>
      <w:r>
        <w:rPr>
          <w:rFonts w:ascii="Times New Roman;serif" w:hAnsi="Times New Roman;serif"/>
          <w:b/>
          <w:color w:val="000000"/>
          <w:sz w:val="22"/>
        </w:rPr>
        <w:t xml:space="preserve">3.1 Stock Dividends Splits and Combinations. </w:t>
      </w:r>
      <w:r>
        <w:rPr>
          <w:rFonts w:ascii="Times New Roman;serif" w:hAnsi="Times New Roman;serif"/>
          <w:b w:val="false"/>
          <w:color w:val="000000"/>
          <w:sz w:val="22"/>
        </w:rPr>
        <w:t>If the Company, while this Warrant is outstanding, pays a stock dividend or distribution in Class A Common Stock, subdivides or combines outstanding Class A Common Stock, or reclassifies Class A Common Stock into another class of capital stock, the Exercise Price shall be multiplied by a fraction whose numerator is the number of shares of Class A Common Stock outstanding immediately before the event and whose denominator is the number outstanding immediately after the event. The number of Warrant Shares shall be proportionately adjusted so that the aggregate Exercise Price remains unchanged. An adjustment is effective immediately after the applicable record date or effective date.</w:t>
      </w:r>
    </w:p>
    <w:p>
      <w:pPr>
        <w:pStyle w:val="TextBody"/>
        <w:bidi w:val="0"/>
        <w:spacing w:lineRule="auto" w:line="288" w:before="80" w:after="120"/>
        <w:ind w:left="0" w:right="0" w:hanging="504"/>
        <w:jc w:val="both"/>
        <w:rPr/>
      </w:pPr>
      <w:r>
        <w:rPr>
          <w:rFonts w:ascii="Times New Roman;serif" w:hAnsi="Times New Roman;serif"/>
          <w:b/>
          <w:color w:val="000000"/>
          <w:sz w:val="22"/>
        </w:rPr>
        <w:t xml:space="preserve">3.2 Pro Rata Distributions. </w:t>
      </w:r>
      <w:r>
        <w:rPr>
          <w:rFonts w:ascii="Times New Roman;serif" w:hAnsi="Times New Roman;serif"/>
          <w:b w:val="false"/>
          <w:color w:val="000000"/>
          <w:sz w:val="22"/>
        </w:rPr>
        <w:t>If the Company makes a dividend or other distribution of assets or rights to acquire assets to holders of Class A Common Stock (a “</w:t>
      </w:r>
      <w:r>
        <w:rPr>
          <w:rFonts w:ascii="Times New Roman;serif" w:hAnsi="Times New Roman;serif"/>
          <w:b w:val="false"/>
          <w:color w:val="000000"/>
          <w:sz w:val="22"/>
          <w:u w:val="single"/>
        </w:rPr>
        <w:t>Distribution</w:t>
      </w:r>
      <w:r>
        <w:rPr>
          <w:color w:val="000000"/>
        </w:rPr>
        <w:t>”</w:t>
      </w:r>
      <w:r>
        <w:rPr>
          <w:rFonts w:ascii="Times New Roman;serif" w:hAnsi="Times New Roman;serif"/>
          <w:b w:val="false"/>
          <w:color w:val="000000"/>
          <w:sz w:val="22"/>
        </w:rPr>
        <w:t>), the Holder is entitled to participate to the same extent as if the Holder had held all Warrant Shares immediately before the record date.</w:t>
      </w:r>
    </w:p>
    <w:p>
      <w:pPr>
        <w:pStyle w:val="TextBody"/>
        <w:bidi w:val="0"/>
        <w:spacing w:lineRule="auto" w:line="288" w:before="80" w:after="120"/>
        <w:ind w:left="0" w:right="0" w:hanging="504"/>
        <w:jc w:val="both"/>
        <w:rPr/>
      </w:pPr>
      <w:r>
        <w:rPr>
          <w:rFonts w:ascii="Times New Roman;serif" w:hAnsi="Times New Roman;serif"/>
          <w:b/>
          <w:color w:val="000000"/>
          <w:sz w:val="22"/>
        </w:rPr>
        <w:t xml:space="preserve">3.3 Fundamental Transactions. </w:t>
      </w:r>
      <w:r>
        <w:rPr>
          <w:rFonts w:ascii="Times New Roman;serif" w:hAnsi="Times New Roman;serif"/>
          <w:b w:val="false"/>
          <w:color w:val="000000"/>
          <w:sz w:val="22"/>
        </w:rPr>
        <w:t>If, while this Warrant is outstanding, the Company completes a merger, consolidation, sale or other disposition of all or substantially all assets, tender or exchange offer accepted by holders of at least 50% of the outstanding Class A Common Stock or voting power, reclassification, reorganization, recapitalization, compulsory share exchange, or other business combination in which another person or group acquires at least 50% of the outstanding Class A Common Stock or voting power (a “</w:t>
      </w:r>
      <w:r>
        <w:rPr>
          <w:rFonts w:ascii="Times New Roman;serif" w:hAnsi="Times New Roman;serif"/>
          <w:b w:val="false"/>
          <w:color w:val="000000"/>
          <w:sz w:val="22"/>
          <w:u w:val="single"/>
        </w:rPr>
        <w:t>Fundamental Transaction</w:t>
      </w:r>
      <w:r>
        <w:rPr>
          <w:color w:val="000000"/>
        </w:rPr>
        <w:t>”</w:t>
      </w:r>
      <w:r>
        <w:rPr>
          <w:rFonts w:ascii="Times New Roman;serif" w:hAnsi="Times New Roman;serif"/>
          <w:b w:val="false"/>
          <w:color w:val="000000"/>
          <w:sz w:val="22"/>
        </w:rPr>
        <w:t>), then on a later exercise the Holder may receive, for each Warrant Share otherwise issuable, the securities, cash, and other property (the “</w:t>
      </w:r>
      <w:r>
        <w:rPr>
          <w:rFonts w:ascii="Times New Roman;serif" w:hAnsi="Times New Roman;serif"/>
          <w:b w:val="false"/>
          <w:color w:val="000000"/>
          <w:sz w:val="22"/>
          <w:u w:val="single"/>
        </w:rPr>
        <w:t>Alternate Consideration</w:t>
      </w:r>
      <w:r>
        <w:rPr>
          <w:color w:val="000000"/>
        </w:rPr>
        <w:t>”</w:t>
      </w:r>
      <w:r>
        <w:rPr>
          <w:rFonts w:ascii="Times New Roman;serif" w:hAnsi="Times New Roman;serif"/>
          <w:b w:val="false"/>
          <w:color w:val="000000"/>
          <w:sz w:val="22"/>
        </w:rPr>
        <w:t>) that a holder of one share of Class A Common Stock would have received. The Exercise Price shall be allocated among the Alternate Consideration in a reasonable manner, and the Holder shall receive any election offered to holders of Class A Common Stock.</w:t>
      </w:r>
    </w:p>
    <w:p>
      <w:pPr>
        <w:pStyle w:val="TextBody"/>
        <w:bidi w:val="0"/>
        <w:spacing w:lineRule="auto" w:line="288" w:before="0" w:after="120"/>
        <w:ind w:left="0" w:right="0" w:firstLine="504"/>
        <w:jc w:val="both"/>
        <w:rPr/>
      </w:pPr>
      <w:r>
        <w:rPr>
          <w:rFonts w:ascii="Times New Roman;serif" w:hAnsi="Times New Roman;serif"/>
          <w:b w:val="false"/>
          <w:color w:val="000000"/>
          <w:sz w:val="22"/>
        </w:rPr>
        <w:t>For a Fundamental Transaction that is an all-cash transaction, a Rule 13e-3 transaction, or a transaction involving an acquirer not traded on a national securities exchange, the Holder may, concurrently with or within 30 days after completion or, if later, public announcement, require the Company or successor to purchase the unexercised Warrant for cash equal to its Black Scholes Value, except where the transaction is outside the Company’s control and was not approved by the Company’s board. “</w:t>
      </w:r>
      <w:r>
        <w:rPr>
          <w:rFonts w:ascii="Times New Roman;serif" w:hAnsi="Times New Roman;serif"/>
          <w:b w:val="false"/>
          <w:color w:val="000000"/>
          <w:sz w:val="22"/>
          <w:u w:val="single"/>
        </w:rPr>
        <w:t>Black Scholes Value</w:t>
      </w:r>
      <w:r>
        <w:rPr>
          <w:color w:val="000000"/>
        </w:rPr>
        <w:t xml:space="preserve">” </w:t>
      </w:r>
      <w:r>
        <w:rPr>
          <w:rFonts w:ascii="Times New Roman;serif" w:hAnsi="Times New Roman;serif"/>
          <w:b w:val="false"/>
          <w:color w:val="000000"/>
          <w:sz w:val="22"/>
        </w:rPr>
        <w:t>means the value determined using Bloomberg’s OV function as of completion, using (a) a risk-free rate corresponding to the applicable U.S. Treasury rate through the Termination Date, (b) expected volatility equal to the greatest of the 30-day, 100-day, and 365-day volatility reported by Bloomberg’s HVT function, (c) the highest VWAP from the Trading Day before public announcement or completion, if earlier, through the Holder’s request date, (d) remaining time through the Termination Date, and (e) zero cost of borrow. Payment is due by the later of five Business Days after election and completion of the Fundamental Transaction.</w:t>
      </w:r>
    </w:p>
    <w:p>
      <w:pPr>
        <w:pStyle w:val="TextBody"/>
        <w:bidi w:val="0"/>
        <w:spacing w:lineRule="auto" w:line="288" w:before="0" w:after="120"/>
        <w:ind w:left="0" w:right="0" w:firstLine="504"/>
        <w:jc w:val="both"/>
        <w:rPr>
          <w:rFonts w:ascii="Times New Roman;serif" w:hAnsi="Times New Roman;serif"/>
          <w:b w:val="false"/>
          <w:color w:val="000000"/>
          <w:sz w:val="22"/>
        </w:rPr>
      </w:pPr>
      <w:r>
        <w:rPr>
          <w:rFonts w:ascii="Times New Roman;serif" w:hAnsi="Times New Roman;serif"/>
          <w:b w:val="false"/>
          <w:color w:val="000000"/>
          <w:sz w:val="22"/>
        </w:rPr>
        <w:t>A successor entity in a Fundamental Transaction in which the Company is not the survivor shall assume in writing all obligations under this Warrant and, at the Holder’s option, issue a substantially similar instrument preserving the economic value of this Warrant. After the Fundamental Transaction, each reference to the Company includes each successor entity, jointly and severally. The Holder is entitled to the protections of this Section whether or not the Company has sufficient authorized Class A Common Stock.</w:t>
      </w:r>
    </w:p>
    <w:p>
      <w:pPr>
        <w:pStyle w:val="TextBody"/>
        <w:bidi w:val="0"/>
        <w:spacing w:lineRule="auto" w:line="288" w:before="0" w:after="0"/>
        <w:jc w:val="right"/>
        <w:rPr>
          <w:rFonts w:ascii="Times New Roman;serif" w:hAnsi="Times New Roman;serif"/>
          <w:b/>
          <w:i/>
          <w:color w:val="000000"/>
          <w:sz w:val="21"/>
        </w:rPr>
      </w:pPr>
      <w:r>
        <w:rPr>
          <w:rFonts w:ascii="Times New Roman;serif" w:hAnsi="Times New Roman;serif"/>
          <w:b/>
          <w:i/>
          <w:color w:val="000000"/>
          <w:sz w:val="21"/>
        </w:rPr>
        <w:t>Execution Version</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00.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A-3</w:t>
                      </w:r>
                    </w:p>
                  </w:txbxContent>
                </v:textbox>
                <w10:wrap type="none"/>
              </v:rect>
            </w:pict>
          </mc:Fallback>
        </mc:AlternateContent>
      </w:r>
    </w:p>
    <w:p>
      <w:pPr>
        <w:pStyle w:val="TextBody"/>
        <w:bidi w:val="0"/>
        <w:spacing w:lineRule="auto" w:line="288" w:before="80" w:after="120"/>
        <w:ind w:left="0" w:right="0" w:hanging="504"/>
        <w:jc w:val="both"/>
        <w:rPr/>
      </w:pPr>
      <w:r>
        <w:rPr>
          <w:rFonts w:ascii="Times New Roman;serif" w:hAnsi="Times New Roman;serif"/>
          <w:b/>
          <w:color w:val="000000"/>
          <w:sz w:val="22"/>
        </w:rPr>
        <w:t xml:space="preserve">3.4 Calculations and Notices. </w:t>
      </w:r>
      <w:r>
        <w:rPr>
          <w:rFonts w:ascii="Times New Roman;serif" w:hAnsi="Times New Roman;serif"/>
          <w:b w:val="false"/>
          <w:color w:val="000000"/>
          <w:sz w:val="22"/>
        </w:rPr>
        <w:t xml:space="preserve">All calculations under this </w:t>
      </w:r>
      <w:r>
        <w:rPr>
          <w:rFonts w:ascii="Times New Roman;serif" w:hAnsi="Times New Roman;serif"/>
          <w:b w:val="false"/>
          <w:color w:val="000000"/>
          <w:sz w:val="22"/>
          <w:u w:val="single"/>
        </w:rPr>
        <w:t>Section 3</w:t>
      </w:r>
      <w:r>
        <w:rPr>
          <w:color w:val="000000"/>
        </w:rPr>
        <w:t xml:space="preserve"> </w:t>
      </w:r>
      <w:r>
        <w:rPr>
          <w:rFonts w:ascii="Times New Roman;serif" w:hAnsi="Times New Roman;serif"/>
          <w:b w:val="false"/>
          <w:color w:val="000000"/>
          <w:sz w:val="22"/>
        </w:rPr>
        <w:t>shall be made to the nearest cent or one one-hundredth of a share. Whenever an adjustment occurs, the Company shall promptly email the Holder a notice stating the adjusted Exercise Price, adjusted number of Warrant Shares, and the facts requiring the adjustment. At least 20 calendar days before the applicable record or effective date, the Company shall notify the Holder of dividends, distributions, redemptions, rights offerings, stockholder approvals for reclassifications or Fundamental Transactions, and dissolutions, liquidations, or windings up. Failure to provide notice does not invalidate the corporate action. If a notice contains material nonpublic information, the Company shall promptly disclose it in a Current Report on Form 8-K. The Holder may exercise during the notice period, subject to this Warrant.</w:t>
      </w:r>
    </w:p>
    <w:p>
      <w:pPr>
        <w:pStyle w:val="TextBody"/>
        <w:bidi w:val="0"/>
        <w:spacing w:lineRule="auto" w:line="288" w:before="200" w:after="140"/>
        <w:jc w:val="both"/>
        <w:rPr/>
      </w:pPr>
      <w:r>
        <w:rPr>
          <w:rFonts w:ascii="Times New Roman;serif" w:hAnsi="Times New Roman;serif"/>
          <w:b/>
          <w:color w:val="000000"/>
          <w:sz w:val="22"/>
        </w:rPr>
        <w:t xml:space="preserve">4. </w:t>
      </w:r>
      <w:r>
        <w:rPr>
          <w:rFonts w:ascii="Times New Roman;serif" w:hAnsi="Times New Roman;serif"/>
          <w:b/>
          <w:color w:val="000000"/>
          <w:sz w:val="22"/>
          <w:u w:val="single"/>
        </w:rPr>
        <w:t>TRANSFER OF WARRANT</w:t>
      </w:r>
    </w:p>
    <w:p>
      <w:pPr>
        <w:pStyle w:val="TextBody"/>
        <w:bidi w:val="0"/>
        <w:spacing w:lineRule="auto" w:line="288" w:before="80" w:after="120"/>
        <w:ind w:left="0" w:right="0" w:hanging="504"/>
        <w:jc w:val="both"/>
        <w:rPr/>
      </w:pPr>
      <w:r>
        <w:rPr>
          <w:rFonts w:ascii="Times New Roman;serif" w:hAnsi="Times New Roman;serif"/>
          <w:b/>
          <w:color w:val="000000"/>
          <w:sz w:val="22"/>
        </w:rPr>
        <w:t>4.1 Transferability.</w:t>
      </w:r>
      <w:r>
        <w:rPr>
          <w:color w:val="000000"/>
        </w:rPr>
        <w:t xml:space="preserve"> </w:t>
      </w:r>
      <w:r>
        <w:rPr>
          <w:rFonts w:ascii="Times New Roman;serif" w:hAnsi="Times New Roman;serif"/>
          <w:b w:val="false"/>
          <w:color w:val="000000"/>
          <w:sz w:val="22"/>
        </w:rPr>
        <w:t xml:space="preserve">The Holder may transfer this Warrant, in whole or in part, only with the Company’s prior written consent, which may be withheld in the Company’s sole discretion, and in compliance with applicable securities laws. After a consented transfer becomes effective and is recorded in the Warrant Register, the Company shall issue new Warrants in the approved denominations and names and, for a partial transfer, a replacement Warrant to the transferor. The Company’s consent to a transfer of this Warrant does not constitute consent to an assignment of any registration rights under </w:t>
      </w:r>
      <w:r>
        <w:rPr>
          <w:rFonts w:ascii="Times New Roman;serif" w:hAnsi="Times New Roman;serif"/>
          <w:b w:val="false"/>
          <w:color w:val="000000"/>
          <w:sz w:val="22"/>
          <w:u w:val="single"/>
        </w:rPr>
        <w:t>Section 2.12</w:t>
      </w:r>
      <w:r>
        <w:rPr>
          <w:color w:val="000000"/>
        </w:rPr>
        <w:t xml:space="preserve"> </w:t>
      </w:r>
      <w:r>
        <w:rPr>
          <w:rFonts w:ascii="Times New Roman;serif" w:hAnsi="Times New Roman;serif"/>
          <w:b w:val="false"/>
          <w:color w:val="000000"/>
          <w:sz w:val="22"/>
        </w:rPr>
        <w:t>of the Exchange Agreement unless the Company’s written consent expressly provides otherwise.</w:t>
      </w:r>
    </w:p>
    <w:p>
      <w:pPr>
        <w:pStyle w:val="TextBody"/>
        <w:bidi w:val="0"/>
        <w:spacing w:lineRule="auto" w:line="288" w:before="80" w:after="120"/>
        <w:ind w:left="0" w:right="0" w:hanging="504"/>
        <w:jc w:val="both"/>
        <w:rPr/>
      </w:pPr>
      <w:r>
        <w:rPr>
          <w:rFonts w:ascii="Times New Roman;serif" w:hAnsi="Times New Roman;serif"/>
          <w:b/>
          <w:color w:val="000000"/>
          <w:sz w:val="22"/>
        </w:rPr>
        <w:t xml:space="preserve">4.2 Division and Combination. </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Sections 4.1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4.4</w:t>
      </w:r>
      <w:r>
        <w:rPr>
          <w:rFonts w:ascii="Times New Roman;serif" w:hAnsi="Times New Roman;serif"/>
          <w:b w:val="false"/>
          <w:color w:val="000000"/>
          <w:sz w:val="22"/>
        </w:rPr>
        <w:t>, the Holder may divide or combine this Warrant with other Warrants of the same form by presenting the Warrants and a signed notice specifying the names and denominations of the replacement Warrants. Replacement Warrants shall bear the original Issue Date and otherwise be identical except for the number of Warrant Shares.</w:t>
      </w:r>
    </w:p>
    <w:p>
      <w:pPr>
        <w:pStyle w:val="TextBody"/>
        <w:bidi w:val="0"/>
        <w:spacing w:lineRule="auto" w:line="288" w:before="80" w:after="120"/>
        <w:ind w:left="0" w:right="0" w:hanging="504"/>
        <w:jc w:val="both"/>
        <w:rPr/>
      </w:pPr>
      <w:r>
        <w:rPr>
          <w:rFonts w:ascii="Times New Roman;serif" w:hAnsi="Times New Roman;serif"/>
          <w:b/>
          <w:color w:val="000000"/>
          <w:sz w:val="22"/>
        </w:rPr>
        <w:t xml:space="preserve">4.3 Warrant Register. </w:t>
      </w:r>
      <w:r>
        <w:rPr>
          <w:rFonts w:ascii="Times New Roman;serif" w:hAnsi="Times New Roman;serif"/>
          <w:b w:val="false"/>
          <w:color w:val="000000"/>
          <w:sz w:val="22"/>
        </w:rPr>
        <w:t>The Company shall maintain a register of this Warrant and may treat the registered Holder as its absolute owner for exercise, distributions, and all other purposes absent actual notice to the contrary.</w:t>
      </w:r>
    </w:p>
    <w:p>
      <w:pPr>
        <w:pStyle w:val="TextBody"/>
        <w:bidi w:val="0"/>
        <w:spacing w:lineRule="auto" w:line="288" w:before="80" w:after="120"/>
        <w:ind w:left="0" w:right="0" w:hanging="504"/>
        <w:jc w:val="both"/>
        <w:rPr/>
      </w:pPr>
      <w:r>
        <w:rPr>
          <w:rFonts w:ascii="Times New Roman;serif" w:hAnsi="Times New Roman;serif"/>
          <w:b/>
          <w:color w:val="000000"/>
          <w:sz w:val="22"/>
        </w:rPr>
        <w:t>4.4 Transfer Restrictions.</w:t>
      </w:r>
      <w:r>
        <w:rPr>
          <w:color w:val="000000"/>
        </w:rPr>
        <w:t xml:space="preserve"> </w:t>
      </w:r>
      <w:r>
        <w:rPr>
          <w:rFonts w:ascii="Times New Roman;serif" w:hAnsi="Times New Roman;serif"/>
          <w:b w:val="false"/>
          <w:color w:val="000000"/>
          <w:sz w:val="22"/>
        </w:rPr>
        <w:t xml:space="preserve">No proposed transfer is effective until consented to, accepted, and recorded by the Company in the Warrant Register. If the transfer is not registered under the Securities Act and applicable state securities laws or eligible for resale without volume, manner-of-sale, or current-public-information restrictions under Rule 144, the Company may require an opinion of counsel reasonably satisfactory to it that registration is not required. Each permitted transferee is bound by the restrictive legend and the terms of this Warrant. </w:t>
      </w:r>
      <w:r>
        <w:rPr>
          <w:rFonts w:ascii="Times New Roman;serif" w:hAnsi="Times New Roman;serif"/>
          <w:b w:val="false"/>
          <w:color w:val="000000"/>
          <w:sz w:val="22"/>
          <w:u w:val="single"/>
        </w:rPr>
        <w:t>Section 2.12</w:t>
      </w:r>
      <w:r>
        <w:rPr>
          <w:color w:val="000000"/>
        </w:rPr>
        <w:t xml:space="preserve"> </w:t>
      </w:r>
      <w:r>
        <w:rPr>
          <w:rFonts w:ascii="Times New Roman;serif" w:hAnsi="Times New Roman;serif"/>
          <w:b w:val="false"/>
          <w:color w:val="000000"/>
          <w:sz w:val="22"/>
        </w:rPr>
        <w:t xml:space="preserve">of the Exchange Agreement applies only to the resale of Registrable Warrant Shares and does not register or otherwise permit a transfer of this Warrant. A permitted transferee does not acquire any rights under </w:t>
      </w:r>
      <w:r>
        <w:rPr>
          <w:rFonts w:ascii="Times New Roman;serif" w:hAnsi="Times New Roman;serif"/>
          <w:b w:val="false"/>
          <w:color w:val="000000"/>
          <w:sz w:val="22"/>
          <w:u w:val="single"/>
        </w:rPr>
        <w:t>Section 2.12</w:t>
      </w:r>
      <w:r>
        <w:rPr>
          <w:color w:val="000000"/>
        </w:rPr>
        <w:t xml:space="preserve"> </w:t>
      </w:r>
      <w:r>
        <w:rPr>
          <w:rFonts w:ascii="Times New Roman;serif" w:hAnsi="Times New Roman;serif"/>
          <w:b w:val="false"/>
          <w:color w:val="000000"/>
          <w:sz w:val="22"/>
        </w:rPr>
        <w:t xml:space="preserve">of the Exchange Agreement unless those rights are separately assigned with the Company’s express prior written consent in accordance with </w:t>
      </w:r>
      <w:r>
        <w:rPr>
          <w:rFonts w:ascii="Times New Roman;serif" w:hAnsi="Times New Roman;serif"/>
          <w:b w:val="false"/>
          <w:color w:val="000000"/>
          <w:sz w:val="22"/>
          <w:u w:val="single"/>
        </w:rPr>
        <w:t>Section 6.5</w:t>
      </w:r>
      <w:r>
        <w:rPr>
          <w:color w:val="000000"/>
        </w:rPr>
        <w:t xml:space="preserve"> </w:t>
      </w:r>
      <w:r>
        <w:rPr>
          <w:rFonts w:ascii="Times New Roman;serif" w:hAnsi="Times New Roman;serif"/>
          <w:b w:val="false"/>
          <w:color w:val="000000"/>
          <w:sz w:val="22"/>
        </w:rPr>
        <w:t>of the Exchange Agreement.</w:t>
      </w:r>
    </w:p>
    <w:p>
      <w:pPr>
        <w:pStyle w:val="TextBody"/>
        <w:bidi w:val="0"/>
        <w:spacing w:lineRule="auto" w:line="288" w:before="0" w:after="160"/>
        <w:jc w:val="both"/>
        <w:rPr/>
      </w:pPr>
      <w:r>
        <w:rPr>
          <w:rFonts w:ascii="Times New Roman;serif" w:hAnsi="Times New Roman;serif"/>
          <w:b/>
          <w:color w:val="000000"/>
          <w:sz w:val="22"/>
        </w:rPr>
        <w:t xml:space="preserve">5. </w:t>
      </w:r>
      <w:r>
        <w:rPr>
          <w:rFonts w:ascii="Times New Roman;serif" w:hAnsi="Times New Roman;serif"/>
          <w:b/>
          <w:color w:val="000000"/>
          <w:sz w:val="22"/>
          <w:u w:val="single"/>
        </w:rPr>
        <w:t>MISCELLANEOUS</w:t>
      </w:r>
    </w:p>
    <w:p>
      <w:pPr>
        <w:pStyle w:val="TextBody"/>
        <w:bidi w:val="0"/>
        <w:spacing w:lineRule="auto" w:line="288" w:before="0" w:after="20"/>
        <w:ind w:left="0" w:right="0" w:hanging="504"/>
        <w:jc w:val="both"/>
        <w:rPr/>
      </w:pPr>
      <w:r>
        <w:rPr>
          <w:rFonts w:ascii="Times New Roman;serif" w:hAnsi="Times New Roman;serif"/>
          <w:b/>
          <w:color w:val="000000"/>
          <w:sz w:val="22"/>
        </w:rPr>
        <w:t>5.1 No Stockholder Rights Before Exercise.</w:t>
      </w:r>
      <w:r>
        <w:rPr>
          <w:color w:val="000000"/>
        </w:rPr>
        <w:t xml:space="preserve"> </w:t>
      </w:r>
      <w:r>
        <w:rPr>
          <w:rFonts w:ascii="Times New Roman;serif" w:hAnsi="Times New Roman;serif"/>
          <w:b w:val="false"/>
          <w:color w:val="000000"/>
          <w:sz w:val="22"/>
        </w:rPr>
        <w:t xml:space="preserve">This Warrant does not entitle the Holder to voting, dividend, or other stockholder rights before exercise, except as expressly provided in </w:t>
      </w:r>
      <w:r>
        <w:rPr>
          <w:rFonts w:ascii="Times New Roman;serif" w:hAnsi="Times New Roman;serif"/>
          <w:b w:val="false"/>
          <w:color w:val="000000"/>
          <w:sz w:val="22"/>
          <w:u w:val="single"/>
        </w:rPr>
        <w:t>Section 3</w:t>
      </w:r>
      <w:r>
        <w:rPr>
          <w:rFonts w:ascii="Times New Roman;serif" w:hAnsi="Times New Roman;serif"/>
          <w:b w:val="false"/>
          <w:color w:val="000000"/>
          <w:sz w:val="22"/>
        </w:rPr>
        <w:t>. The Company is required to settle a valid exercise only by issuing the applicable Warrant Shares after receipt of the full Exercise Price in cash and satisfaction of the other exercise conditions in this Warrant.</w:t>
      </w:r>
    </w:p>
    <w:p>
      <w:pPr>
        <w:pStyle w:val="TextBody"/>
        <w:bidi w:val="0"/>
        <w:spacing w:lineRule="auto" w:line="288" w:before="0" w:after="20"/>
        <w:ind w:left="0" w:right="0" w:hanging="504"/>
        <w:jc w:val="both"/>
        <w:rPr/>
      </w:pPr>
      <w:r>
        <w:rPr>
          <w:rFonts w:ascii="Times New Roman;serif" w:hAnsi="Times New Roman;serif"/>
          <w:b/>
          <w:color w:val="000000"/>
          <w:sz w:val="22"/>
        </w:rPr>
        <w:t xml:space="preserve">5.2 Lost Stolen Destroyed or Mutilated Warrant. </w:t>
      </w:r>
      <w:r>
        <w:rPr>
          <w:rFonts w:ascii="Times New Roman;serif" w:hAnsi="Times New Roman;serif"/>
          <w:b w:val="false"/>
          <w:color w:val="000000"/>
          <w:sz w:val="22"/>
        </w:rPr>
        <w:t>Upon receipt of reasonably satisfactory evidence of loss, theft, destruction, or mutilation and, for loss, theft, or destruction, a reasonably satisfactory indemnity that does not require a bond, the Company shall issue a replacement Warrant of like tenor. A mutilated Warrant must be surrendered and cancelled.</w:t>
      </w:r>
    </w:p>
    <w:p>
      <w:pPr>
        <w:pStyle w:val="TextBody"/>
        <w:bidi w:val="0"/>
        <w:spacing w:lineRule="auto" w:line="288" w:before="0" w:after="20"/>
        <w:ind w:left="0" w:right="0" w:hanging="504"/>
        <w:jc w:val="both"/>
        <w:rPr/>
      </w:pPr>
      <w:r>
        <w:rPr>
          <w:rFonts w:ascii="Times New Roman;serif" w:hAnsi="Times New Roman;serif"/>
          <w:b/>
          <w:color w:val="000000"/>
          <w:sz w:val="22"/>
        </w:rPr>
        <w:t xml:space="preserve">5.3 Non Business Days. </w:t>
      </w:r>
      <w:r>
        <w:rPr>
          <w:rFonts w:ascii="Times New Roman;serif" w:hAnsi="Times New Roman;serif"/>
          <w:b w:val="false"/>
          <w:color w:val="000000"/>
          <w:sz w:val="22"/>
        </w:rPr>
        <w:t>If the final day for an action or the expiration of a right is not a Business Day, the action may be taken or the right exercised on the next Business Day.</w:t>
      </w:r>
    </w:p>
    <w:p>
      <w:pPr>
        <w:pStyle w:val="TextBody"/>
        <w:bidi w:val="0"/>
        <w:spacing w:lineRule="auto" w:line="288" w:before="0" w:after="20"/>
        <w:ind w:left="0" w:right="0" w:hanging="504"/>
        <w:jc w:val="both"/>
        <w:rPr/>
      </w:pPr>
      <w:r>
        <w:rPr>
          <w:rFonts w:ascii="Times New Roman;serif" w:hAnsi="Times New Roman;serif"/>
          <w:b/>
          <w:color w:val="000000"/>
          <w:sz w:val="22"/>
        </w:rPr>
        <w:t>5.4 Authorized Shares</w:t>
      </w:r>
      <w:r>
        <w:rPr>
          <w:rFonts w:ascii="Times New Roman;serif" w:hAnsi="Times New Roman;serif"/>
          <w:b w:val="false"/>
          <w:color w:val="000000"/>
          <w:sz w:val="22"/>
        </w:rPr>
        <w:t xml:space="preserve">. While this Warrant is outstanding, the Company shall reserve sufficient authorized and unissued Class A Common Stock to issue all Warrant Shares and shall take reasonable action </w:t>
      </w:r>
    </w:p>
    <w:p>
      <w:pPr>
        <w:pStyle w:val="TextBody"/>
        <w:bidi w:val="0"/>
        <w:spacing w:lineRule="auto" w:line="288" w:before="0" w:after="0"/>
        <w:jc w:val="right"/>
        <w:rPr>
          <w:rFonts w:ascii="Times New Roman;serif" w:hAnsi="Times New Roman;serif"/>
          <w:b/>
          <w:i/>
          <w:color w:val="000000"/>
          <w:sz w:val="21"/>
        </w:rPr>
      </w:pPr>
      <w:r>
        <w:rPr>
          <w:rFonts w:ascii="Times New Roman;serif" w:hAnsi="Times New Roman;serif"/>
          <w:b/>
          <w:i/>
          <w:color w:val="000000"/>
          <w:sz w:val="21"/>
        </w:rPr>
        <w:t>Execution Version</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00.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A-4</w:t>
                      </w:r>
                    </w:p>
                  </w:txbxContent>
                </v:textbox>
                <w10:wrap type="none"/>
              </v:rect>
            </w:pict>
          </mc:Fallback>
        </mc:AlternateContent>
      </w:r>
    </w:p>
    <w:p>
      <w:pPr>
        <w:pStyle w:val="TextBody"/>
        <w:bidi w:val="0"/>
        <w:spacing w:lineRule="auto" w:line="288" w:before="0" w:after="20"/>
        <w:jc w:val="both"/>
        <w:rPr/>
      </w:pPr>
      <w:r>
        <w:rPr>
          <w:rFonts w:ascii="Times New Roman;serif" w:hAnsi="Times New Roman;serif"/>
          <w:b w:val="false"/>
          <w:color w:val="000000"/>
          <w:sz w:val="22"/>
        </w:rPr>
        <w:t xml:space="preserve">necessary to issue them without violating applicable law or Trading Market requirements. Upon a valid exercise, receipt of the full Exercise Price in cash, reaffirmation of the representations applicable to the Holder in </w:t>
      </w:r>
      <w:r>
        <w:rPr>
          <w:rFonts w:ascii="Times New Roman;serif" w:hAnsi="Times New Roman;serif"/>
          <w:b w:val="false"/>
          <w:color w:val="000000"/>
          <w:sz w:val="22"/>
          <w:u w:val="single"/>
        </w:rPr>
        <w:t>Section 3.10</w:t>
      </w:r>
      <w:r>
        <w:rPr>
          <w:color w:val="000000"/>
        </w:rPr>
        <w:t xml:space="preserve"> </w:t>
      </w:r>
      <w:r>
        <w:rPr>
          <w:rFonts w:ascii="Times New Roman;serif" w:hAnsi="Times New Roman;serif"/>
          <w:b w:val="false"/>
          <w:color w:val="000000"/>
          <w:sz w:val="22"/>
        </w:rPr>
        <w:t>of the Exchange Agreement, and satisfaction of the conditions for an issuance in reliance on Section 4(a)(2) of the Securities Act, the Warrant Shares shall be duly authorized, validly issued, fully paid, nonassessable, and free of taxes, liens, and charges created by the Company, other than taxes on a contemporaneous transfer. The Company shall use commercially reasonable efforts to obtain required regulatory authorizations, exemptions, and consents.</w:t>
      </w:r>
    </w:p>
    <w:p>
      <w:pPr>
        <w:pStyle w:val="TextBody"/>
        <w:bidi w:val="0"/>
        <w:spacing w:lineRule="auto" w:line="288" w:before="0" w:after="20"/>
        <w:ind w:left="0" w:right="0" w:hanging="504"/>
        <w:jc w:val="both"/>
        <w:rPr/>
      </w:pPr>
      <w:r>
        <w:rPr>
          <w:rFonts w:ascii="Times New Roman;serif" w:hAnsi="Times New Roman;serif"/>
          <w:b/>
          <w:color w:val="000000"/>
          <w:sz w:val="22"/>
        </w:rPr>
        <w:t xml:space="preserve">5.5 Governing Law and Forum. </w:t>
      </w:r>
      <w:r>
        <w:rPr>
          <w:rFonts w:ascii="Times New Roman;serif" w:hAnsi="Times New Roman;serif"/>
          <w:b w:val="false"/>
          <w:color w:val="000000"/>
          <w:sz w:val="22"/>
        </w:rPr>
        <w:t>This Warrant and any claim arising from or relating to it shall be governed by the internal laws of the State of New York, without regard to conflict-of-law principles that would require application of another jurisdiction’s law. Each party submits to the exclusive jurisdiction of the state courts, Commercial Division, and federal courts sitting in the Borough of Manhattan, City of New York, waives objections based on personal jurisdiction, venue, or inconvenient forum, and consents to service by registered or certified mail or overnight delivery at its notice address. In an action to enforce this Warrant, the prevailing party is entitled to reasonable attorneys’ fees and costs.</w:t>
      </w:r>
    </w:p>
    <w:p>
      <w:pPr>
        <w:pStyle w:val="TextBody"/>
        <w:bidi w:val="0"/>
        <w:spacing w:lineRule="auto" w:line="288" w:before="0" w:after="20"/>
        <w:ind w:left="0" w:right="0" w:hanging="504"/>
        <w:jc w:val="both"/>
        <w:rPr/>
      </w:pPr>
      <w:r>
        <w:rPr>
          <w:rFonts w:ascii="Times New Roman;serif" w:hAnsi="Times New Roman;serif"/>
          <w:b/>
          <w:color w:val="000000"/>
          <w:sz w:val="22"/>
        </w:rPr>
        <w:t>5.6 Securities Law Restrictions.</w:t>
      </w:r>
      <w:r>
        <w:rPr>
          <w:color w:val="000000"/>
        </w:rPr>
        <w:t xml:space="preserve"> </w:t>
      </w:r>
      <w:r>
        <w:rPr>
          <w:rFonts w:ascii="Times New Roman;serif" w:hAnsi="Times New Roman;serif"/>
          <w:b w:val="false"/>
          <w:color w:val="000000"/>
          <w:sz w:val="22"/>
        </w:rPr>
        <w:t xml:space="preserve">Warrant Shares issued upon exercise in reliance on Section 4(a)(2) of the Securities Act are restricted securities, may bear a restrictive legend or notation, and may be resold only pursuant to an effective registration statement, including a registration statement available to the Holder pursuant to </w:t>
      </w:r>
      <w:r>
        <w:rPr>
          <w:rFonts w:ascii="Times New Roman;serif" w:hAnsi="Times New Roman;serif"/>
          <w:b w:val="false"/>
          <w:color w:val="000000"/>
          <w:sz w:val="22"/>
          <w:u w:val="single"/>
        </w:rPr>
        <w:t>Section 2.12</w:t>
      </w:r>
      <w:r>
        <w:rPr>
          <w:color w:val="000000"/>
        </w:rPr>
        <w:t xml:space="preserve"> </w:t>
      </w:r>
      <w:r>
        <w:rPr>
          <w:rFonts w:ascii="Times New Roman;serif" w:hAnsi="Times New Roman;serif"/>
          <w:b w:val="false"/>
          <w:color w:val="000000"/>
          <w:sz w:val="22"/>
        </w:rPr>
        <w:t xml:space="preserve">of the Exchange Agreement, or an available exemption from registration. The registration rights provided by </w:t>
      </w:r>
      <w:r>
        <w:rPr>
          <w:rFonts w:ascii="Times New Roman;serif" w:hAnsi="Times New Roman;serif"/>
          <w:b w:val="false"/>
          <w:color w:val="000000"/>
          <w:sz w:val="22"/>
          <w:u w:val="single"/>
        </w:rPr>
        <w:t>Section 2.12</w:t>
      </w:r>
      <w:r>
        <w:rPr>
          <w:color w:val="000000"/>
        </w:rPr>
        <w:t xml:space="preserve"> </w:t>
      </w:r>
      <w:r>
        <w:rPr>
          <w:rFonts w:ascii="Times New Roman;serif" w:hAnsi="Times New Roman;serif"/>
          <w:b w:val="false"/>
          <w:color w:val="000000"/>
          <w:sz w:val="22"/>
        </w:rPr>
        <w:t>of the Exchange Agreement do not register the offer or issuance of the Warrant Shares, cause the Warrant Shares to be unrestricted securities upon issuance or guarantee that a registration statement will be effective or available when the Holder wishes to sell. Their Rule 144 holding period begins no earlier than full payment and acquisition of those shares, without tacking of the Warrant’s holding period.</w:t>
      </w:r>
    </w:p>
    <w:p>
      <w:pPr>
        <w:pStyle w:val="TextBody"/>
        <w:bidi w:val="0"/>
        <w:spacing w:lineRule="auto" w:line="288" w:before="0" w:after="20"/>
        <w:ind w:left="0" w:right="0" w:hanging="504"/>
        <w:jc w:val="both"/>
        <w:rPr/>
      </w:pPr>
      <w:r>
        <w:rPr>
          <w:rFonts w:ascii="Times New Roman;serif" w:hAnsi="Times New Roman;serif"/>
          <w:b/>
          <w:color w:val="000000"/>
          <w:sz w:val="22"/>
        </w:rPr>
        <w:t xml:space="preserve">5.7 Nonwaiver and Expenses. </w:t>
      </w:r>
      <w:r>
        <w:rPr>
          <w:rFonts w:ascii="Times New Roman;serif" w:hAnsi="Times New Roman;serif"/>
          <w:b w:val="false"/>
          <w:color w:val="000000"/>
          <w:sz w:val="22"/>
        </w:rPr>
        <w:t>No course of dealing, delay, or failure by the Holder to exercise a right operates as a waiver. If the Company willfully and knowingly fails to comply with this Warrant and materially damages the Holder, the Company shall reimburse reasonable enforcement costs and attorneys’ fees, including appellate fees, in addition to other remedies.</w:t>
      </w:r>
    </w:p>
    <w:p>
      <w:pPr>
        <w:pStyle w:val="TextBody"/>
        <w:bidi w:val="0"/>
        <w:spacing w:lineRule="auto" w:line="288" w:before="0" w:after="20"/>
        <w:ind w:left="0" w:right="0" w:hanging="504"/>
        <w:jc w:val="both"/>
        <w:rPr/>
      </w:pPr>
      <w:r>
        <w:rPr>
          <w:rFonts w:ascii="Times New Roman;serif" w:hAnsi="Times New Roman;serif"/>
          <w:b/>
          <w:color w:val="000000"/>
          <w:sz w:val="22"/>
        </w:rPr>
        <w:t xml:space="preserve">5.8 Notices. </w:t>
      </w:r>
      <w:r>
        <w:rPr>
          <w:rFonts w:ascii="Times New Roman;serif" w:hAnsi="Times New Roman;serif"/>
          <w:b w:val="false"/>
          <w:color w:val="000000"/>
          <w:sz w:val="22"/>
        </w:rPr>
        <w:t>Notices must be in writing and delivered personally, by email, or by nationally recognized overnight courier. Company notices must be sent to Vulcan Infrastructure and Power Inc., 1159 Pittsford-Victor Road, Suite 240, Pittsford, New York 14534, Attention: Chief Executive Officer, jkovler@greenidge.com; with a copy, not constituting notice, to Olshan Frome Wolosky LLP, 1325 Avenue of the Americas, 15th Floor, New York, New York 10019, Attention: Kenneth M. Silverman, ksilverman@olshanlaw.com. Holder notices must be sent to the address or email in the Warrant Register. Notice is effective on personal delivery; when emailed before 5:30 p.m. New York City time on a Trading Day, otherwise on the next Trading Day; or on the second Trading Day after courier deposit. The Company shall contemporaneously make any public disclosure required when a notice contains material nonpublic information.</w:t>
      </w:r>
    </w:p>
    <w:p>
      <w:pPr>
        <w:pStyle w:val="TextBody"/>
        <w:bidi w:val="0"/>
        <w:spacing w:lineRule="auto" w:line="288" w:before="0" w:after="20"/>
        <w:ind w:left="0" w:right="0" w:hanging="504"/>
        <w:jc w:val="both"/>
        <w:rPr/>
      </w:pPr>
      <w:r>
        <w:rPr>
          <w:rFonts w:ascii="Times New Roman;serif" w:hAnsi="Times New Roman;serif"/>
          <w:b/>
          <w:color w:val="000000"/>
          <w:sz w:val="22"/>
        </w:rPr>
        <w:t xml:space="preserve">5.9 Limitation of Holder Liability. </w:t>
      </w:r>
      <w:r>
        <w:rPr>
          <w:rFonts w:ascii="Times New Roman;serif" w:hAnsi="Times New Roman;serif"/>
          <w:b w:val="false"/>
          <w:color w:val="000000"/>
          <w:sz w:val="22"/>
        </w:rPr>
        <w:t>Absent the Holder’s affirmative exercise of this Warrant, no provision of this Warrant and no right or privilege of the Holder creates liability of the Holder for the purchase price of Class A Common Stock or as a stockholder of the Company.</w:t>
      </w:r>
    </w:p>
    <w:p>
      <w:pPr>
        <w:pStyle w:val="TextBody"/>
        <w:bidi w:val="0"/>
        <w:spacing w:lineRule="auto" w:line="288" w:before="0" w:after="20"/>
        <w:ind w:left="0" w:right="0" w:hanging="504"/>
        <w:jc w:val="both"/>
        <w:rPr/>
      </w:pPr>
      <w:r>
        <w:rPr>
          <w:rFonts w:ascii="Times New Roman;serif" w:hAnsi="Times New Roman;serif"/>
          <w:b/>
          <w:color w:val="000000"/>
          <w:sz w:val="22"/>
        </w:rPr>
        <w:t xml:space="preserve">5.10 Remedies. </w:t>
      </w:r>
      <w:r>
        <w:rPr>
          <w:rFonts w:ascii="Times New Roman;serif" w:hAnsi="Times New Roman;serif"/>
          <w:b w:val="false"/>
          <w:color w:val="000000"/>
          <w:sz w:val="22"/>
        </w:rPr>
        <w:t>The Holder may exercise all remedies available at law or in equity, including specific performance. The Company agrees that monetary damages may be inadequate for breach and waives a defense in a specific-performance action that a remedy at law is adequate.</w:t>
      </w:r>
    </w:p>
    <w:p>
      <w:pPr>
        <w:pStyle w:val="TextBody"/>
        <w:bidi w:val="0"/>
        <w:spacing w:lineRule="auto" w:line="288" w:before="0" w:after="20"/>
        <w:ind w:left="0" w:right="0" w:hanging="504"/>
        <w:jc w:val="both"/>
        <w:rPr/>
      </w:pPr>
      <w:r>
        <w:rPr>
          <w:rFonts w:ascii="Times New Roman;serif" w:hAnsi="Times New Roman;serif"/>
          <w:b/>
          <w:color w:val="000000"/>
          <w:sz w:val="22"/>
        </w:rPr>
        <w:t>5.11 Successors and Assigns.</w:t>
      </w:r>
      <w:r>
        <w:rPr>
          <w:color w:val="000000"/>
        </w:rPr>
        <w:t xml:space="preserve"> </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Sections 4.1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4.4</w:t>
      </w:r>
      <w:r>
        <w:rPr>
          <w:color w:val="000000"/>
        </w:rPr>
        <w:t xml:space="preserve"> </w:t>
      </w:r>
      <w:r>
        <w:rPr>
          <w:rFonts w:ascii="Times New Roman;serif" w:hAnsi="Times New Roman;serif"/>
          <w:b w:val="false"/>
          <w:color w:val="000000"/>
          <w:sz w:val="22"/>
        </w:rPr>
        <w:t xml:space="preserve">of this Warrant and </w:t>
      </w:r>
      <w:r>
        <w:rPr>
          <w:rFonts w:ascii="Times New Roman;serif" w:hAnsi="Times New Roman;serif"/>
          <w:b w:val="false"/>
          <w:color w:val="000000"/>
          <w:sz w:val="22"/>
          <w:u w:val="single"/>
        </w:rPr>
        <w:t>Section 6.5</w:t>
      </w:r>
      <w:r>
        <w:rPr>
          <w:color w:val="000000"/>
        </w:rPr>
        <w:t xml:space="preserve"> </w:t>
      </w:r>
      <w:r>
        <w:rPr>
          <w:rFonts w:ascii="Times New Roman;serif" w:hAnsi="Times New Roman;serif"/>
          <w:b w:val="false"/>
          <w:color w:val="000000"/>
          <w:sz w:val="22"/>
        </w:rPr>
        <w:t xml:space="preserve">of the Exchange Agreement, this Warrant binds and benefits the Company and the Holder and their respective successors and permitted assigns. No purported transferee may enforce or exercise this Warrant until the transfer has been consented to, accepted and recorded by the Company. A permitted transferee of this Warrant is not, solely by reason of that transfer, a permitted assignee of the registration rights provided by </w:t>
      </w:r>
      <w:r>
        <w:rPr>
          <w:rFonts w:ascii="Times New Roman;serif" w:hAnsi="Times New Roman;serif"/>
          <w:b w:val="false"/>
          <w:color w:val="000000"/>
          <w:sz w:val="22"/>
          <w:u w:val="single"/>
        </w:rPr>
        <w:t>Section 2.12</w:t>
      </w:r>
      <w:r>
        <w:rPr>
          <w:color w:val="000000"/>
        </w:rPr>
        <w:t xml:space="preserve"> </w:t>
      </w:r>
      <w:r>
        <w:rPr>
          <w:rFonts w:ascii="Times New Roman;serif" w:hAnsi="Times New Roman;serif"/>
          <w:b w:val="false"/>
          <w:color w:val="000000"/>
          <w:sz w:val="22"/>
        </w:rPr>
        <w:t>of the Exchange Agreement.</w:t>
      </w:r>
    </w:p>
    <w:p>
      <w:pPr>
        <w:pStyle w:val="TextBody"/>
        <w:bidi w:val="0"/>
        <w:spacing w:lineRule="auto" w:line="288" w:before="0" w:after="20"/>
        <w:ind w:left="0" w:right="0" w:hanging="504"/>
        <w:jc w:val="both"/>
        <w:rPr/>
      </w:pPr>
      <w:r>
        <w:rPr>
          <w:rFonts w:ascii="Times New Roman;serif" w:hAnsi="Times New Roman;serif"/>
          <w:b/>
          <w:color w:val="000000"/>
          <w:sz w:val="22"/>
        </w:rPr>
        <w:t xml:space="preserve">5.12 Amendment. </w:t>
      </w:r>
      <w:r>
        <w:rPr>
          <w:rFonts w:ascii="Times New Roman;serif" w:hAnsi="Times New Roman;serif"/>
          <w:b w:val="false"/>
          <w:color w:val="000000"/>
          <w:sz w:val="22"/>
        </w:rPr>
        <w:t>This Warrant may be amended and a provision may be waived only with the written consent of the Company and the Holder.</w:t>
      </w:r>
    </w:p>
    <w:p>
      <w:pPr>
        <w:pStyle w:val="TextBody"/>
        <w:bidi w:val="0"/>
        <w:spacing w:lineRule="auto" w:line="288" w:before="0" w:after="0"/>
        <w:jc w:val="right"/>
        <w:rPr>
          <w:rFonts w:ascii="Times New Roman;serif" w:hAnsi="Times New Roman;serif"/>
          <w:b/>
          <w:i/>
          <w:color w:val="000000"/>
          <w:sz w:val="21"/>
        </w:rPr>
      </w:pPr>
      <w:r>
        <w:rPr>
          <w:rFonts w:ascii="Times New Roman;serif" w:hAnsi="Times New Roman;serif"/>
          <w:b/>
          <w:i/>
          <w:color w:val="000000"/>
          <w:sz w:val="21"/>
        </w:rPr>
        <w:t>Execution Version</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A-5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00.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A-5</w:t>
                      </w:r>
                    </w:p>
                  </w:txbxContent>
                </v:textbox>
                <w10:wrap type="none"/>
              </v:rect>
            </w:pict>
          </mc:Fallback>
        </mc:AlternateContent>
      </w:r>
    </w:p>
    <w:p>
      <w:pPr>
        <w:pStyle w:val="TextBody"/>
        <w:bidi w:val="0"/>
        <w:spacing w:lineRule="auto" w:line="288" w:before="0" w:after="20"/>
        <w:ind w:left="0" w:right="0" w:hanging="504"/>
        <w:jc w:val="both"/>
        <w:rPr/>
      </w:pPr>
      <w:r>
        <w:rPr>
          <w:rFonts w:ascii="Times New Roman;serif" w:hAnsi="Times New Roman;serif"/>
          <w:b/>
          <w:color w:val="000000"/>
          <w:sz w:val="22"/>
        </w:rPr>
        <w:t xml:space="preserve">5.13 Severability. </w:t>
      </w:r>
      <w:r>
        <w:rPr>
          <w:rFonts w:ascii="Times New Roman;serif" w:hAnsi="Times New Roman;serif"/>
          <w:b w:val="false"/>
          <w:color w:val="000000"/>
          <w:sz w:val="22"/>
        </w:rPr>
        <w:t>If a provision of this Warrant is prohibited or invalid under applicable law, it is ineffective only to the extent of the prohibition or invalidity, and the remaining provisions remain in effect.</w:t>
      </w:r>
    </w:p>
    <w:p>
      <w:pPr>
        <w:pStyle w:val="TextBody"/>
        <w:bidi w:val="0"/>
        <w:spacing w:lineRule="auto" w:line="288" w:before="0" w:after="20"/>
        <w:ind w:left="0" w:right="0" w:hanging="504"/>
        <w:jc w:val="both"/>
        <w:rPr/>
      </w:pPr>
      <w:r>
        <w:rPr>
          <w:rFonts w:ascii="Times New Roman;serif" w:hAnsi="Times New Roman;serif"/>
          <w:b/>
          <w:color w:val="000000"/>
          <w:sz w:val="22"/>
        </w:rPr>
        <w:t xml:space="preserve">5.14 Headings. </w:t>
      </w:r>
      <w:r>
        <w:rPr>
          <w:rFonts w:ascii="Times New Roman;serif" w:hAnsi="Times New Roman;serif"/>
          <w:b w:val="false"/>
          <w:color w:val="000000"/>
          <w:sz w:val="22"/>
        </w:rPr>
        <w:t>Headings are for convenience only and do not form part of this Warrant.</w:t>
      </w:r>
    </w:p>
    <w:p>
      <w:pPr>
        <w:pStyle w:val="TextBody"/>
        <w:bidi w:val="0"/>
        <w:spacing w:before="0" w:after="20"/>
        <w:ind w:left="0" w:right="0" w:hanging="504"/>
        <w:jc w:val="both"/>
        <w:rPr/>
      </w:pPr>
      <w:r>
        <w:rPr/>
      </w:r>
    </w:p>
    <w:p>
      <w:pPr>
        <w:pStyle w:val="TextBody"/>
        <w:bidi w:val="0"/>
        <w:spacing w:lineRule="auto" w:line="240" w:before="240" w:after="160"/>
        <w:jc w:val="center"/>
        <w:rPr>
          <w:rFonts w:ascii="Times New Roman;serif" w:hAnsi="Times New Roman;serif"/>
          <w:b/>
          <w:color w:val="000000"/>
          <w:sz w:val="22"/>
        </w:rPr>
      </w:pPr>
      <w:r>
        <w:rPr>
          <w:rFonts w:ascii="Times New Roman;serif" w:hAnsi="Times New Roman;serif"/>
          <w:b/>
          <w:color w:val="000000"/>
          <w:sz w:val="22"/>
        </w:rPr>
        <w:t>WARRANT SIGNATURE PAGE</w:t>
      </w:r>
    </w:p>
    <w:p>
      <w:pPr>
        <w:pStyle w:val="TextBody"/>
        <w:bidi w:val="0"/>
        <w:spacing w:lineRule="auto" w:line="288" w:before="0" w:after="440"/>
        <w:ind w:left="0" w:right="0" w:firstLine="504"/>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Company has caused this Warrant to be executed by its duly authorized officer as of the Issue Date.</w:t>
      </w:r>
    </w:p>
    <w:p>
      <w:pPr>
        <w:pStyle w:val="TextBody"/>
        <w:bidi w:val="0"/>
        <w:spacing w:lineRule="auto" w:line="288" w:before="0" w:after="280"/>
        <w:jc w:val="both"/>
        <w:rPr>
          <w:rFonts w:ascii="Times New Roman;serif" w:hAnsi="Times New Roman;serif"/>
          <w:b/>
          <w:color w:val="000000"/>
          <w:sz w:val="22"/>
        </w:rPr>
      </w:pPr>
      <w:r>
        <w:rPr>
          <w:rFonts w:ascii="Times New Roman;serif" w:hAnsi="Times New Roman;serif"/>
          <w:b/>
          <w:color w:val="000000"/>
          <w:sz w:val="22"/>
        </w:rPr>
        <w:t>VULCAN INFRASTRUCTURE AND POWER INC.</w:t>
      </w:r>
    </w:p>
    <w:p>
      <w:pPr>
        <w:pStyle w:val="TextBody"/>
        <w:bidi w:val="0"/>
        <w:spacing w:lineRule="auto" w:line="288" w:before="0" w:after="100"/>
        <w:jc w:val="both"/>
        <w:rPr>
          <w:rFonts w:ascii="Times New Roman;serif" w:hAnsi="Times New Roman;serif"/>
          <w:b w:val="false"/>
          <w:color w:val="000000"/>
          <w:sz w:val="22"/>
        </w:rPr>
      </w:pPr>
      <w:r>
        <w:rPr>
          <w:rFonts w:ascii="Times New Roman;serif" w:hAnsi="Times New Roman;serif"/>
          <w:b w:val="false"/>
          <w:color w:val="000000"/>
          <w:sz w:val="22"/>
        </w:rPr>
        <w:t>By: ____________________________________________________</w:t>
      </w:r>
    </w:p>
    <w:p>
      <w:pPr>
        <w:pStyle w:val="TextBody"/>
        <w:bidi w:val="0"/>
        <w:spacing w:lineRule="auto" w:line="288" w:before="0" w:after="80"/>
        <w:jc w:val="both"/>
        <w:rPr>
          <w:rFonts w:ascii="Times New Roman;serif" w:hAnsi="Times New Roman;serif"/>
          <w:b w:val="false"/>
          <w:color w:val="000000"/>
          <w:sz w:val="22"/>
        </w:rPr>
      </w:pPr>
      <w:r>
        <w:rPr>
          <w:rFonts w:ascii="Times New Roman;serif" w:hAnsi="Times New Roman;serif"/>
          <w:b w:val="false"/>
          <w:color w:val="000000"/>
          <w:sz w:val="22"/>
        </w:rPr>
        <w:t>Name: Jordan Kovler</w:t>
      </w:r>
    </w:p>
    <w:p>
      <w:pPr>
        <w:pStyle w:val="TextBody"/>
        <w:bidi w:val="0"/>
        <w:spacing w:lineRule="auto" w:line="288" w:before="0" w:after="80"/>
        <w:jc w:val="both"/>
        <w:rPr>
          <w:rFonts w:ascii="Times New Roman;serif" w:hAnsi="Times New Roman;serif"/>
          <w:b w:val="false"/>
          <w:color w:val="000000"/>
          <w:sz w:val="22"/>
        </w:rPr>
      </w:pPr>
      <w:r>
        <w:rPr>
          <w:rFonts w:ascii="Times New Roman;serif" w:hAnsi="Times New Roman;serif"/>
          <w:b w:val="false"/>
          <w:color w:val="000000"/>
          <w:sz w:val="22"/>
        </w:rPr>
        <w:t>Title: Chief Executive Officer</w:t>
      </w:r>
    </w:p>
    <w:p>
      <w:pPr>
        <w:pStyle w:val="TextBody"/>
        <w:bidi w:val="0"/>
        <w:spacing w:lineRule="auto" w:line="288" w:before="840" w:after="283"/>
        <w:jc w:val="center"/>
        <w:rPr>
          <w:rFonts w:ascii="Times New Roman;serif" w:hAnsi="Times New Roman;serif"/>
          <w:b w:val="false"/>
          <w:i/>
          <w:color w:val="000000"/>
          <w:sz w:val="22"/>
        </w:rPr>
      </w:pPr>
      <w:r>
        <w:rPr>
          <w:rFonts w:ascii="Times New Roman;serif" w:hAnsi="Times New Roman;serif"/>
          <w:b w:val="false"/>
          <w:i/>
          <w:color w:val="000000"/>
          <w:sz w:val="22"/>
        </w:rPr>
        <w:t>[Signature Page to Class A Common Stock Purchase Warrant]</w:t>
      </w:r>
    </w:p>
    <w:p>
      <w:pPr>
        <w:pStyle w:val="TextBody"/>
        <w:bidi w:val="0"/>
        <w:spacing w:before="0" w:after="120"/>
        <w:jc w:val="both"/>
        <w:rPr/>
      </w:pPr>
      <w:r>
        <w:rPr/>
      </w:r>
    </w:p>
    <w:p>
      <w:pPr>
        <w:pStyle w:val="TextBody"/>
        <w:bidi w:val="0"/>
        <w:spacing w:lineRule="auto" w:line="288" w:before="0" w:after="0"/>
        <w:jc w:val="right"/>
        <w:rPr>
          <w:rFonts w:ascii="Times New Roman;serif" w:hAnsi="Times New Roman;serif"/>
          <w:b/>
          <w:i/>
          <w:color w:val="000000"/>
          <w:sz w:val="21"/>
        </w:rPr>
      </w:pPr>
      <w:r>
        <w:rPr>
          <w:rFonts w:ascii="Times New Roman;serif" w:hAnsi="Times New Roman;serif"/>
          <w:b/>
          <w:i/>
          <w:color w:val="000000"/>
          <w:sz w:val="21"/>
        </w:rPr>
        <w:t>Execution Version</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A-6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00.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A-6</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2"/>
        </w:rPr>
      </w:pPr>
      <w:r>
        <w:rPr>
          <w:rFonts w:ascii="Times New Roman;serif" w:hAnsi="Times New Roman;serif"/>
          <w:b/>
          <w:color w:val="000000"/>
          <w:sz w:val="22"/>
        </w:rPr>
        <w:t>EXHIBIT A-1</w:t>
      </w:r>
    </w:p>
    <w:p>
      <w:pPr>
        <w:pStyle w:val="TextBody"/>
        <w:bidi w:val="0"/>
        <w:spacing w:lineRule="auto" w:line="288" w:before="0" w:after="280"/>
        <w:jc w:val="center"/>
        <w:rPr>
          <w:rFonts w:ascii="Times New Roman;serif" w:hAnsi="Times New Roman;serif"/>
          <w:b/>
          <w:color w:val="000000"/>
          <w:sz w:val="22"/>
        </w:rPr>
      </w:pPr>
      <w:r>
        <w:rPr>
          <w:rFonts w:ascii="Times New Roman;serif" w:hAnsi="Times New Roman;serif"/>
          <w:b/>
          <w:color w:val="000000"/>
          <w:sz w:val="22"/>
        </w:rPr>
        <w:t>NOTICE OF EXERCISE</w:t>
      </w:r>
    </w:p>
    <w:p>
      <w:pPr>
        <w:pStyle w:val="TextBody"/>
        <w:bidi w:val="0"/>
        <w:spacing w:lineRule="auto" w:line="288" w:before="0" w:after="240"/>
        <w:jc w:val="both"/>
        <w:rPr/>
      </w:pPr>
      <w:r>
        <w:rPr>
          <w:rFonts w:ascii="Times New Roman;serif" w:hAnsi="Times New Roman;serif"/>
          <w:b/>
          <w:color w:val="000000"/>
          <w:sz w:val="22"/>
        </w:rPr>
        <w:t>TO</w:t>
      </w:r>
      <w:r>
        <w:rPr>
          <w:rFonts w:ascii="Times New Roman;serif" w:hAnsi="Times New Roman;serif"/>
          <w:b w:val="false"/>
          <w:color w:val="000000"/>
          <w:sz w:val="22"/>
        </w:rPr>
        <w:t>: VULCAN INFRASTRUCTURE AND POWER INC.</w:t>
      </w:r>
    </w:p>
    <w:p>
      <w:pPr>
        <w:pStyle w:val="TextBody"/>
        <w:bidi w:val="0"/>
        <w:spacing w:lineRule="auto" w:line="288" w:before="80" w:after="120"/>
        <w:ind w:left="0" w:right="0" w:hanging="504"/>
        <w:jc w:val="both"/>
        <w:rPr/>
      </w:pPr>
      <w:r>
        <w:rPr>
          <w:rFonts w:ascii="Times New Roman;serif" w:hAnsi="Times New Roman;serif"/>
          <w:b/>
          <w:color w:val="000000"/>
          <w:sz w:val="22"/>
        </w:rPr>
        <w:t>1. Cash Exercise.</w:t>
      </w:r>
      <w:r>
        <w:rPr>
          <w:color w:val="000000"/>
        </w:rPr>
        <w:t xml:space="preserve"> </w:t>
      </w:r>
      <w:r>
        <w:rPr>
          <w:rFonts w:ascii="Times New Roman;serif" w:hAnsi="Times New Roman;serif"/>
          <w:b w:val="false"/>
          <w:color w:val="000000"/>
          <w:sz w:val="22"/>
        </w:rPr>
        <w:t xml:space="preserve">The undersigned Holder elects to purchase the following whole number of Warrant Shares for cash under the attached Warrant. The Holder shall wire the full aggregate Exercise Price in accordance with </w:t>
      </w:r>
      <w:r>
        <w:rPr>
          <w:rFonts w:ascii="Times New Roman;serif" w:hAnsi="Times New Roman;serif"/>
          <w:b w:val="false"/>
          <w:color w:val="000000"/>
          <w:sz w:val="22"/>
          <w:u w:val="single"/>
        </w:rPr>
        <w:t>Section 2.1</w:t>
      </w:r>
      <w:r>
        <w:rPr>
          <w:rFonts w:ascii="Times New Roman;serif" w:hAnsi="Times New Roman;serif"/>
          <w:b w:val="false"/>
          <w:color w:val="000000"/>
          <w:sz w:val="22"/>
        </w:rPr>
        <w:t>.</w:t>
      </w:r>
    </w:p>
    <w:p>
      <w:pPr>
        <w:pStyle w:val="TextBody"/>
        <w:bidi w:val="0"/>
        <w:spacing w:lineRule="auto" w:line="288" w:before="0" w:after="80"/>
        <w:jc w:val="both"/>
        <w:rPr>
          <w:rFonts w:ascii="Times New Roman;serif" w:hAnsi="Times New Roman;serif"/>
          <w:b w:val="false"/>
          <w:color w:val="000000"/>
          <w:sz w:val="22"/>
        </w:rPr>
      </w:pPr>
      <w:r>
        <w:rPr>
          <w:rFonts w:ascii="Times New Roman;serif" w:hAnsi="Times New Roman;serif"/>
          <w:b w:val="false"/>
          <w:color w:val="000000"/>
          <w:sz w:val="22"/>
        </w:rPr>
        <w:t>Number of Warrant Shares: __________________________________________</w:t>
      </w:r>
    </w:p>
    <w:p>
      <w:pPr>
        <w:pStyle w:val="TextBody"/>
        <w:bidi w:val="0"/>
        <w:spacing w:lineRule="auto" w:line="288" w:before="0" w:after="80"/>
        <w:jc w:val="both"/>
        <w:rPr>
          <w:rFonts w:ascii="Times New Roman;serif" w:hAnsi="Times New Roman;serif"/>
          <w:b w:val="false"/>
          <w:color w:val="000000"/>
          <w:sz w:val="22"/>
        </w:rPr>
      </w:pPr>
      <w:r>
        <w:rPr>
          <w:rFonts w:ascii="Times New Roman;serif" w:hAnsi="Times New Roman;serif"/>
          <w:b w:val="false"/>
          <w:color w:val="000000"/>
          <w:sz w:val="22"/>
        </w:rPr>
        <w:t>Aggregate Exercise Price: $___________________________________________</w:t>
      </w:r>
    </w:p>
    <w:p>
      <w:pPr>
        <w:pStyle w:val="TextBody"/>
        <w:bidi w:val="0"/>
        <w:spacing w:lineRule="auto" w:line="288" w:before="0" w:after="80"/>
        <w:jc w:val="both"/>
        <w:rPr>
          <w:rFonts w:ascii="Times New Roman;serif" w:hAnsi="Times New Roman;serif"/>
          <w:b w:val="false"/>
          <w:color w:val="000000"/>
          <w:sz w:val="22"/>
        </w:rPr>
      </w:pPr>
      <w:r>
        <w:rPr>
          <w:rFonts w:ascii="Times New Roman;serif" w:hAnsi="Times New Roman;serif"/>
          <w:b w:val="false"/>
          <w:color w:val="000000"/>
          <w:sz w:val="22"/>
        </w:rPr>
        <w:t>Wire Date and Reference: ____________________________________________</w:t>
      </w:r>
    </w:p>
    <w:p>
      <w:pPr>
        <w:pStyle w:val="TextBody"/>
        <w:bidi w:val="0"/>
        <w:spacing w:before="160" w:after="100"/>
        <w:jc w:val="both"/>
        <w:rPr/>
      </w:pPr>
      <w:r>
        <w:rPr/>
      </w:r>
    </w:p>
    <w:p>
      <w:pPr>
        <w:pStyle w:val="TextBody"/>
        <w:bidi w:val="0"/>
        <w:spacing w:lineRule="auto" w:line="288" w:before="160" w:after="100"/>
        <w:jc w:val="both"/>
        <w:rPr/>
      </w:pPr>
      <w:r>
        <w:rPr>
          <w:rFonts w:ascii="Times New Roman;serif" w:hAnsi="Times New Roman;serif"/>
          <w:b/>
          <w:color w:val="000000"/>
          <w:sz w:val="22"/>
        </w:rPr>
        <w:t xml:space="preserve">2. Delivery Instructions. </w:t>
      </w:r>
      <w:r>
        <w:rPr>
          <w:rFonts w:ascii="Times New Roman;serif" w:hAnsi="Times New Roman;serif"/>
          <w:b w:val="false"/>
          <w:color w:val="000000"/>
          <w:sz w:val="22"/>
        </w:rPr>
        <w:t>Please issue the Warrant Shares as follows:</w:t>
      </w:r>
    </w:p>
    <w:p>
      <w:pPr>
        <w:pStyle w:val="TextBody"/>
        <w:bidi w:val="0"/>
        <w:spacing w:lineRule="auto" w:line="288" w:before="0" w:after="100"/>
        <w:jc w:val="both"/>
        <w:rPr>
          <w:rFonts w:ascii="Times New Roman;serif" w:hAnsi="Times New Roman;serif"/>
          <w:b w:val="false"/>
          <w:color w:val="000000"/>
          <w:sz w:val="22"/>
        </w:rPr>
      </w:pPr>
      <w:r>
        <w:rPr>
          <w:rFonts w:ascii="Times New Roman;serif" w:hAnsi="Times New Roman;serif"/>
          <w:b w:val="false"/>
          <w:color w:val="000000"/>
          <w:sz w:val="22"/>
        </w:rPr>
        <w:t>Registered Name: _________________________________________________</w:t>
      </w:r>
    </w:p>
    <w:p>
      <w:pPr>
        <w:pStyle w:val="TextBody"/>
        <w:bidi w:val="0"/>
        <w:spacing w:lineRule="auto" w:line="288" w:before="0" w:after="100"/>
        <w:jc w:val="both"/>
        <w:rPr>
          <w:rFonts w:ascii="Times New Roman;serif" w:hAnsi="Times New Roman;serif"/>
          <w:b w:val="false"/>
          <w:color w:val="000000"/>
          <w:sz w:val="22"/>
        </w:rPr>
      </w:pPr>
      <w:r>
        <w:rPr>
          <w:rFonts w:ascii="Times New Roman;serif" w:hAnsi="Times New Roman;serif"/>
          <w:b w:val="false"/>
          <w:color w:val="000000"/>
          <w:sz w:val="22"/>
        </w:rPr>
        <w:t>Street Address: __________________________________________________</w:t>
      </w:r>
    </w:p>
    <w:p>
      <w:pPr>
        <w:pStyle w:val="TextBody"/>
        <w:bidi w:val="0"/>
        <w:spacing w:lineRule="auto" w:line="288" w:before="0" w:after="100"/>
        <w:jc w:val="both"/>
        <w:rPr>
          <w:rFonts w:ascii="Times New Roman;serif" w:hAnsi="Times New Roman;serif"/>
          <w:b w:val="false"/>
          <w:color w:val="000000"/>
          <w:sz w:val="22"/>
        </w:rPr>
      </w:pPr>
      <w:r>
        <w:rPr>
          <w:rFonts w:ascii="Times New Roman;serif" w:hAnsi="Times New Roman;serif"/>
          <w:b w:val="false"/>
          <w:color w:val="000000"/>
          <w:sz w:val="22"/>
        </w:rPr>
        <w:t>City State or Province and Postal Code: _______________________________</w:t>
      </w:r>
    </w:p>
    <w:p>
      <w:pPr>
        <w:pStyle w:val="TextBody"/>
        <w:bidi w:val="0"/>
        <w:spacing w:lineRule="auto" w:line="288" w:before="0" w:after="100"/>
        <w:jc w:val="both"/>
        <w:rPr>
          <w:rFonts w:ascii="Times New Roman;serif" w:hAnsi="Times New Roman;serif"/>
          <w:b w:val="false"/>
          <w:color w:val="000000"/>
          <w:sz w:val="22"/>
        </w:rPr>
      </w:pPr>
      <w:r>
        <w:rPr>
          <w:rFonts w:ascii="Times New Roman;serif" w:hAnsi="Times New Roman;serif"/>
          <w:b w:val="false"/>
          <w:color w:val="000000"/>
          <w:sz w:val="22"/>
        </w:rPr>
        <w:t>DTC Participant Name and Number: ___________________________________</w:t>
      </w:r>
    </w:p>
    <w:p>
      <w:pPr>
        <w:pStyle w:val="TextBody"/>
        <w:bidi w:val="0"/>
        <w:spacing w:lineRule="auto" w:line="288" w:before="0" w:after="100"/>
        <w:jc w:val="both"/>
        <w:rPr>
          <w:rFonts w:ascii="Times New Roman;serif" w:hAnsi="Times New Roman;serif"/>
          <w:b w:val="false"/>
          <w:color w:val="000000"/>
          <w:sz w:val="22"/>
        </w:rPr>
      </w:pPr>
      <w:r>
        <w:rPr>
          <w:rFonts w:ascii="Times New Roman;serif" w:hAnsi="Times New Roman;serif"/>
          <w:b w:val="false"/>
          <w:color w:val="000000"/>
          <w:sz w:val="22"/>
        </w:rPr>
        <w:t>DWAC Account Name and Number: _______________________________________</w:t>
      </w:r>
    </w:p>
    <w:p>
      <w:pPr>
        <w:pStyle w:val="TextBody"/>
        <w:bidi w:val="0"/>
        <w:spacing w:before="160" w:after="80"/>
        <w:jc w:val="both"/>
        <w:rPr/>
      </w:pPr>
      <w:r>
        <w:rPr/>
      </w:r>
    </w:p>
    <w:p>
      <w:pPr>
        <w:pStyle w:val="TextBody"/>
        <w:bidi w:val="0"/>
        <w:spacing w:lineRule="auto" w:line="288" w:before="0" w:after="100"/>
        <w:jc w:val="both"/>
        <w:rPr/>
      </w:pPr>
      <w:r>
        <w:rPr>
          <w:rFonts w:ascii="Times New Roman;serif" w:hAnsi="Times New Roman;serif"/>
          <w:b/>
          <w:color w:val="000000"/>
          <w:sz w:val="22"/>
        </w:rPr>
        <w:t>3. Private Placement Reaffirmation.</w:t>
      </w:r>
      <w:r>
        <w:rPr>
          <w:color w:val="000000"/>
        </w:rPr>
        <w:t xml:space="preserve"> </w:t>
      </w:r>
      <w:r>
        <w:rPr>
          <w:rFonts w:ascii="Times New Roman;serif" w:hAnsi="Times New Roman;serif"/>
          <w:b w:val="false"/>
          <w:color w:val="000000"/>
          <w:sz w:val="22"/>
        </w:rPr>
        <w:t xml:space="preserve">By signing and delivering this Notice, the Holder confirms that the private-placement representations in </w:t>
      </w:r>
      <w:r>
        <w:rPr>
          <w:rFonts w:ascii="Times New Roman;serif" w:hAnsi="Times New Roman;serif"/>
          <w:b w:val="false"/>
          <w:color w:val="000000"/>
          <w:sz w:val="22"/>
          <w:u w:val="single"/>
        </w:rPr>
        <w:t>Section 3.10</w:t>
      </w:r>
      <w:r>
        <w:rPr>
          <w:color w:val="000000"/>
        </w:rPr>
        <w:t xml:space="preserve"> </w:t>
      </w:r>
      <w:r>
        <w:rPr>
          <w:rFonts w:ascii="Times New Roman;serif" w:hAnsi="Times New Roman;serif"/>
          <w:b w:val="false"/>
          <w:color w:val="000000"/>
          <w:sz w:val="22"/>
        </w:rPr>
        <w:t>of the Exchange Agreement are true and correct as applied to the Holder as of this date and agrees that the Company may rely on that confirmation in issuing the Warrant Shares under Section 4(a)(2) of the Securities Act.</w:t>
      </w:r>
    </w:p>
    <w:p>
      <w:pPr>
        <w:pStyle w:val="TextBody"/>
        <w:bidi w:val="0"/>
        <w:spacing w:lineRule="auto" w:line="288" w:before="160" w:after="80"/>
        <w:jc w:val="both"/>
        <w:rPr>
          <w:rFonts w:ascii="Times New Roman;serif" w:hAnsi="Times New Roman;serif"/>
          <w:b w:val="false"/>
          <w:color w:val="000000"/>
          <w:sz w:val="22"/>
        </w:rPr>
      </w:pPr>
      <w:r>
        <w:rPr>
          <w:rFonts w:ascii="Times New Roman;serif" w:hAnsi="Times New Roman;serif"/>
          <w:b w:val="false"/>
          <w:color w:val="000000"/>
          <w:sz w:val="22"/>
        </w:rPr>
        <w:t>The Holder’s current state or province of residence or jurisdiction of organization, as applicable, is: ______________________________________.</w:t>
      </w:r>
    </w:p>
    <w:p>
      <w:pPr>
        <w:pStyle w:val="TextBody"/>
        <w:bidi w:val="0"/>
        <w:spacing w:lineRule="auto" w:line="288" w:before="0" w:after="80"/>
        <w:jc w:val="both"/>
        <w:rPr>
          <w:rFonts w:ascii="Times New Roman;serif" w:hAnsi="Times New Roman;serif"/>
          <w:b w:val="false"/>
          <w:color w:val="000000"/>
          <w:sz w:val="22"/>
        </w:rPr>
      </w:pPr>
      <w:r>
        <w:rPr>
          <w:rFonts w:ascii="Times New Roman;serif" w:hAnsi="Times New Roman;serif"/>
          <w:b w:val="false"/>
          <w:color w:val="000000"/>
          <w:sz w:val="22"/>
        </w:rPr>
        <w:t>Legal Name of Holder: _________________________________________________</w:t>
      </w:r>
    </w:p>
    <w:p>
      <w:pPr>
        <w:pStyle w:val="TextBody"/>
        <w:bidi w:val="0"/>
        <w:spacing w:lineRule="auto" w:line="288" w:before="0" w:after="100"/>
        <w:jc w:val="both"/>
        <w:rPr>
          <w:rFonts w:ascii="Times New Roman;serif" w:hAnsi="Times New Roman;serif"/>
          <w:b w:val="false"/>
          <w:color w:val="000000"/>
          <w:sz w:val="22"/>
        </w:rPr>
      </w:pPr>
      <w:r>
        <w:rPr>
          <w:rFonts w:ascii="Times New Roman;serif" w:hAnsi="Times New Roman;serif"/>
          <w:b w:val="false"/>
          <w:color w:val="000000"/>
          <w:sz w:val="22"/>
        </w:rPr>
        <w:t>By / Signature: _______________________________________________________</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Name of Signatory, if an entity: _______________________________________</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Title of Signatory, if an entity: ________________________________________</w:t>
      </w:r>
    </w:p>
    <w:p>
      <w:pPr>
        <w:pStyle w:val="TextBody"/>
        <w:bidi w:val="0"/>
        <w:spacing w:lineRule="auto" w:line="288" w:before="0" w:after="100"/>
        <w:jc w:val="both"/>
        <w:rPr>
          <w:rFonts w:ascii="Times New Roman;serif" w:hAnsi="Times New Roman;serif"/>
          <w:b w:val="false"/>
          <w:color w:val="000000"/>
          <w:sz w:val="22"/>
        </w:rPr>
      </w:pPr>
      <w:r>
        <w:rPr>
          <w:rFonts w:ascii="Times New Roman;serif" w:hAnsi="Times New Roman;serif"/>
          <w:b w:val="false"/>
          <w:color w:val="000000"/>
          <w:sz w:val="22"/>
        </w:rPr>
        <w:t>Date: ______________________________</w:t>
      </w:r>
    </w:p>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A-7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A-7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10761</Words>
  <Characters>58993</Characters>
  <CharactersWithSpaces>69478</CharactersWithSpaces>
  <Paragraphs>299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