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alibri" w:cs="Calibri" w:eastAsia="Calibri" w:hAnsi="Calibri"/>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19"/>
        <w:spacing w:after="0" w:line="237" w:lineRule="auto"/>
        <w:rPr>
          <w:sz w:val="20"/>
          <w:szCs w:val="20"/>
          <w:color w:val="auto"/>
        </w:rPr>
      </w:pPr>
      <w:r>
        <w:rPr>
          <w:rFonts w:ascii="Calibri" w:cs="Calibri" w:eastAsia="Calibri" w:hAnsi="Calibri"/>
          <w:sz w:val="29"/>
          <w:szCs w:val="29"/>
          <w:b w:val="1"/>
          <w:bCs w:val="1"/>
          <w:color w:val="auto"/>
        </w:rPr>
        <w:t>SECURITIES AND EXCHANGE COMMISSION</w:t>
      </w:r>
    </w:p>
    <w:p>
      <w:pPr>
        <w:jc w:val="center"/>
        <w:ind w:right="-39"/>
        <w:spacing w:after="0" w:line="238" w:lineRule="auto"/>
        <w:rPr>
          <w:sz w:val="20"/>
          <w:szCs w:val="20"/>
          <w:color w:val="auto"/>
        </w:rPr>
      </w:pPr>
      <w:r>
        <w:rPr>
          <w:rFonts w:ascii="Calibri" w:cs="Calibri" w:eastAsia="Calibri" w:hAnsi="Calibri"/>
          <w:sz w:val="18"/>
          <w:szCs w:val="18"/>
          <w:b w:val="1"/>
          <w:bCs w:val="1"/>
          <w:color w:val="auto"/>
        </w:rPr>
        <w:t>Washington, D.C. 20549</w:t>
      </w:r>
    </w:p>
    <w:p>
      <w:pPr>
        <w:ind w:left="4220"/>
        <w:spacing w:after="0" w:line="236" w:lineRule="auto"/>
        <w:rPr>
          <w:sz w:val="20"/>
          <w:szCs w:val="20"/>
          <w:color w:val="auto"/>
        </w:rPr>
      </w:pPr>
      <w:r>
        <w:rPr>
          <w:rFonts w:ascii="Calibri" w:cs="Calibri" w:eastAsia="Calibri" w:hAnsi="Calibri"/>
          <w:sz w:val="18"/>
          <w:szCs w:val="18"/>
          <w:color w:val="auto"/>
        </w:rPr>
        <w:t>________________________________</w:t>
      </w:r>
    </w:p>
    <w:p>
      <w:pPr>
        <w:spacing w:after="0" w:line="172" w:lineRule="exact"/>
        <w:rPr>
          <w:sz w:val="24"/>
          <w:szCs w:val="24"/>
          <w:color w:val="auto"/>
        </w:rPr>
      </w:pPr>
    </w:p>
    <w:p>
      <w:pPr>
        <w:jc w:val="center"/>
        <w:ind w:right="-19"/>
        <w:spacing w:after="0"/>
        <w:rPr>
          <w:sz w:val="20"/>
          <w:szCs w:val="20"/>
          <w:color w:val="auto"/>
        </w:rPr>
      </w:pPr>
      <w:r>
        <w:rPr>
          <w:rFonts w:ascii="Calibri" w:cs="Calibri" w:eastAsia="Calibri" w:hAnsi="Calibri"/>
          <w:sz w:val="32"/>
          <w:szCs w:val="32"/>
          <w:b w:val="1"/>
          <w:bCs w:val="1"/>
          <w:color w:val="auto"/>
        </w:rPr>
        <w:t>FORM 10-K</w:t>
      </w:r>
    </w:p>
    <w:p>
      <w:pPr>
        <w:spacing w:after="0" w:line="1" w:lineRule="exact"/>
        <w:rPr>
          <w:sz w:val="24"/>
          <w:szCs w:val="24"/>
          <w:color w:val="auto"/>
        </w:rPr>
      </w:pPr>
    </w:p>
    <w:p>
      <w:pPr>
        <w:ind w:left="4220"/>
        <w:spacing w:after="0"/>
        <w:rPr>
          <w:sz w:val="20"/>
          <w:szCs w:val="20"/>
          <w:color w:val="auto"/>
        </w:rPr>
      </w:pPr>
      <w:r>
        <w:rPr>
          <w:rFonts w:ascii="Calibri" w:cs="Calibri" w:eastAsia="Calibri" w:hAnsi="Calibri"/>
          <w:sz w:val="18"/>
          <w:szCs w:val="18"/>
          <w:color w:val="auto"/>
        </w:rPr>
        <w:t>________________________________</w:t>
      </w:r>
    </w:p>
    <w:p>
      <w:pPr>
        <w:spacing w:after="0" w:line="103"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(Mark One)</w:t>
      </w:r>
    </w:p>
    <w:p>
      <w:pPr>
        <w:spacing w:after="0" w:line="56" w:lineRule="exact"/>
        <w:rPr>
          <w:sz w:val="24"/>
          <w:szCs w:val="24"/>
          <w:color w:val="auto"/>
        </w:rPr>
      </w:pPr>
    </w:p>
    <w:p>
      <w:pPr>
        <w:ind w:left="20"/>
        <w:spacing w:after="0"/>
        <w:rPr>
          <w:sz w:val="20"/>
          <w:szCs w:val="20"/>
          <w:color w:val="auto"/>
        </w:rPr>
      </w:pPr>
      <w:r>
        <w:rPr>
          <w:rFonts w:ascii="Wingdings" w:cs="Wingdings" w:eastAsia="Wingdings" w:hAnsi="Wingdings"/>
          <w:sz w:val="16"/>
          <w:szCs w:val="16"/>
          <w:b w:val="1"/>
          <w:bCs w:val="1"/>
          <w:color w:val="auto"/>
          <w:highlight w:val="black"/>
        </w:rPr>
        <w:t xml:space="preserve">x </w:t>
      </w:r>
      <w:r>
        <w:rPr>
          <w:rFonts w:ascii="Calibri" w:cs="Calibri" w:eastAsia="Calibri" w:hAnsi="Calibri"/>
          <w:sz w:val="16"/>
          <w:szCs w:val="16"/>
          <w:b w:val="1"/>
          <w:bCs w:val="1"/>
          <w:color w:val="auto"/>
        </w:rPr>
        <w:t>ANNUAL REPORT PURSUANT TO SECTION 13 OR 15(d) OF THE SECURITIES EXCHANGE ACT OF 1934</w:t>
      </w:r>
    </w:p>
    <w:p>
      <w:pPr>
        <w:spacing w:after="0" w:line="152"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7640" w:type="dxa"/>
            <w:vAlign w:val="bottom"/>
          </w:tcPr>
          <w:p>
            <w:pPr>
              <w:jc w:val="center"/>
              <w:ind w:left="3492"/>
              <w:spacing w:after="0"/>
              <w:rPr>
                <w:sz w:val="20"/>
                <w:szCs w:val="20"/>
                <w:color w:val="auto"/>
              </w:rPr>
            </w:pPr>
            <w:r>
              <w:rPr>
                <w:rFonts w:ascii="Calibri" w:cs="Calibri" w:eastAsia="Calibri" w:hAnsi="Calibri"/>
                <w:sz w:val="16"/>
                <w:szCs w:val="16"/>
                <w:b w:val="1"/>
                <w:bCs w:val="1"/>
                <w:color w:val="auto"/>
              </w:rPr>
              <w:t xml:space="preserve">For the fscal year ended </w:t>
            </w:r>
            <w:r>
              <w:rPr>
                <w:rFonts w:ascii="Calibri" w:cs="Calibri" w:eastAsia="Calibri" w:hAnsi="Calibri"/>
                <w:sz w:val="17"/>
                <w:szCs w:val="17"/>
                <w:b w:val="1"/>
                <w:bCs w:val="1"/>
                <w:color w:val="auto"/>
              </w:rPr>
              <w:t>December 31, 2024</w:t>
            </w:r>
          </w:p>
        </w:tc>
        <w:tc>
          <w:tcPr>
            <w:tcW w:w="23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53"/>
        </w:trPr>
        <w:tc>
          <w:tcPr>
            <w:tcW w:w="7640" w:type="dxa"/>
            <w:vAlign w:val="bottom"/>
          </w:tcPr>
          <w:p>
            <w:pPr>
              <w:jc w:val="center"/>
              <w:ind w:left="3472"/>
              <w:spacing w:after="0"/>
              <w:rPr>
                <w:sz w:val="20"/>
                <w:szCs w:val="20"/>
                <w:color w:val="auto"/>
              </w:rPr>
            </w:pPr>
            <w:r>
              <w:rPr>
                <w:rFonts w:ascii="Calibri" w:cs="Calibri" w:eastAsia="Calibri" w:hAnsi="Calibri"/>
                <w:sz w:val="16"/>
                <w:szCs w:val="16"/>
                <w:b w:val="1"/>
                <w:bCs w:val="1"/>
                <w:color w:val="auto"/>
              </w:rPr>
              <w:t>OR</w:t>
            </w:r>
          </w:p>
        </w:tc>
        <w:tc>
          <w:tcPr>
            <w:tcW w:w="23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10020" w:type="dxa"/>
            <w:vAlign w:val="bottom"/>
            <w:gridSpan w:val="2"/>
          </w:tcPr>
          <w:p>
            <w:pPr>
              <w:spacing w:after="0"/>
              <w:rPr>
                <w:sz w:val="20"/>
                <w:szCs w:val="20"/>
                <w:color w:val="auto"/>
              </w:rPr>
            </w:pPr>
            <w:r>
              <w:rPr>
                <w:rFonts w:ascii="Wingdings" w:cs="Wingdings" w:eastAsia="Wingdings" w:hAnsi="Wingdings"/>
                <w:sz w:val="16"/>
                <w:szCs w:val="16"/>
                <w:b w:val="1"/>
                <w:bCs w:val="1"/>
                <w:color w:val="auto"/>
                <w:highlight w:val="black"/>
              </w:rPr>
              <w:t xml:space="preserve">o  </w:t>
            </w:r>
            <w:r>
              <w:rPr>
                <w:rFonts w:ascii="Calibri" w:cs="Calibri" w:eastAsia="Calibri" w:hAnsi="Calibri"/>
                <w:sz w:val="16"/>
                <w:szCs w:val="16"/>
                <w:b w:val="1"/>
                <w:bCs w:val="1"/>
                <w:color w:val="auto"/>
              </w:rPr>
              <w:t>TRANSITION REPORT PURSUANT TO SECTION 13 OR 15(d) OF THE SECURITIES EXCHANGE ACT OF 1934 FOR THE TRANSITION PERIOD FROM</w:t>
            </w:r>
          </w:p>
        </w:tc>
        <w:tc>
          <w:tcPr>
            <w:tcW w:w="540" w:type="dxa"/>
            <w:vAlign w:val="bottom"/>
          </w:tcPr>
          <w:p>
            <w:pPr>
              <w:ind w:left="360"/>
              <w:spacing w:after="0"/>
              <w:rPr>
                <w:sz w:val="20"/>
                <w:szCs w:val="20"/>
                <w:color w:val="auto"/>
              </w:rPr>
            </w:pPr>
            <w:r>
              <w:rPr>
                <w:rFonts w:ascii="Calibri" w:cs="Calibri" w:eastAsia="Calibri" w:hAnsi="Calibri"/>
                <w:sz w:val="16"/>
                <w:szCs w:val="16"/>
                <w:b w:val="1"/>
                <w:bCs w:val="1"/>
                <w:color w:val="auto"/>
                <w:w w:val="85"/>
              </w:rPr>
              <w:t>TO</w:t>
            </w:r>
          </w:p>
        </w:tc>
      </w:tr>
      <w:tr>
        <w:trPr>
          <w:trHeight w:val="585"/>
        </w:trPr>
        <w:tc>
          <w:tcPr>
            <w:tcW w:w="7640" w:type="dxa"/>
            <w:vAlign w:val="bottom"/>
          </w:tcPr>
          <w:p>
            <w:pPr>
              <w:jc w:val="center"/>
              <w:ind w:left="3492"/>
              <w:spacing w:after="0"/>
              <w:rPr>
                <w:sz w:val="20"/>
                <w:szCs w:val="20"/>
                <w:color w:val="auto"/>
              </w:rPr>
            </w:pPr>
            <w:r>
              <w:rPr>
                <w:rFonts w:ascii="Calibri" w:cs="Calibri" w:eastAsia="Calibri" w:hAnsi="Calibri"/>
                <w:sz w:val="18"/>
                <w:szCs w:val="18"/>
                <w:b w:val="1"/>
                <w:bCs w:val="1"/>
                <w:color w:val="auto"/>
                <w:w w:val="97"/>
              </w:rPr>
              <w:t>Commission File Number 001-40808</w:t>
            </w:r>
          </w:p>
        </w:tc>
        <w:tc>
          <w:tcPr>
            <w:tcW w:w="2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7640" w:type="dxa"/>
            <w:vAlign w:val="bottom"/>
          </w:tcPr>
          <w:p>
            <w:pPr>
              <w:jc w:val="center"/>
              <w:ind w:left="3472"/>
              <w:spacing w:after="0" w:line="216" w:lineRule="exact"/>
              <w:rPr>
                <w:sz w:val="20"/>
                <w:szCs w:val="20"/>
                <w:color w:val="auto"/>
              </w:rPr>
            </w:pPr>
            <w:r>
              <w:rPr>
                <w:rFonts w:ascii="Calibri" w:cs="Calibri" w:eastAsia="Calibri" w:hAnsi="Calibri"/>
                <w:sz w:val="18"/>
                <w:szCs w:val="18"/>
                <w:color w:val="auto"/>
                <w:w w:val="97"/>
              </w:rPr>
              <w:t>________________________________</w:t>
            </w:r>
          </w:p>
        </w:tc>
        <w:tc>
          <w:tcPr>
            <w:tcW w:w="23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463"/>
        </w:trPr>
        <w:tc>
          <w:tcPr>
            <w:tcW w:w="10020" w:type="dxa"/>
            <w:vAlign w:val="bottom"/>
            <w:gridSpan w:val="2"/>
          </w:tcPr>
          <w:p>
            <w:pPr>
              <w:jc w:val="center"/>
              <w:ind w:left="1112"/>
              <w:spacing w:after="0"/>
              <w:rPr>
                <w:sz w:val="20"/>
                <w:szCs w:val="20"/>
                <w:color w:val="auto"/>
              </w:rPr>
            </w:pPr>
            <w:r>
              <w:rPr>
                <w:rFonts w:ascii="Calibri" w:cs="Calibri" w:eastAsia="Calibri" w:hAnsi="Calibri"/>
                <w:sz w:val="36"/>
                <w:szCs w:val="36"/>
                <w:b w:val="1"/>
                <w:bCs w:val="1"/>
                <w:color w:val="auto"/>
              </w:rPr>
              <w:t>Greenidge Generaton Holdings Inc.</w:t>
            </w:r>
          </w:p>
        </w:tc>
        <w:tc>
          <w:tcPr>
            <w:tcW w:w="540" w:type="dxa"/>
            <w:vAlign w:val="bottom"/>
          </w:tcPr>
          <w:p>
            <w:pPr>
              <w:spacing w:after="0"/>
              <w:rPr>
                <w:sz w:val="24"/>
                <w:szCs w:val="24"/>
                <w:color w:val="auto"/>
              </w:rPr>
            </w:pPr>
          </w:p>
        </w:tc>
      </w:tr>
      <w:tr>
        <w:trPr>
          <w:trHeight w:val="214"/>
        </w:trPr>
        <w:tc>
          <w:tcPr>
            <w:tcW w:w="7640" w:type="dxa"/>
            <w:vAlign w:val="bottom"/>
          </w:tcPr>
          <w:p>
            <w:pPr>
              <w:jc w:val="center"/>
              <w:ind w:left="3472"/>
              <w:spacing w:after="0"/>
              <w:rPr>
                <w:sz w:val="20"/>
                <w:szCs w:val="20"/>
                <w:color w:val="auto"/>
              </w:rPr>
            </w:pPr>
            <w:r>
              <w:rPr>
                <w:rFonts w:ascii="Calibri" w:cs="Calibri" w:eastAsia="Calibri" w:hAnsi="Calibri"/>
                <w:sz w:val="16"/>
                <w:szCs w:val="16"/>
                <w:b w:val="1"/>
                <w:bCs w:val="1"/>
                <w:color w:val="auto"/>
              </w:rPr>
              <w:t>(Exact name of Registrant as specifed in its Charter)</w:t>
            </w:r>
          </w:p>
        </w:tc>
        <w:tc>
          <w:tcPr>
            <w:tcW w:w="23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5"/>
        </w:trPr>
        <w:tc>
          <w:tcPr>
            <w:tcW w:w="7640" w:type="dxa"/>
            <w:vAlign w:val="bottom"/>
          </w:tcPr>
          <w:p>
            <w:pPr>
              <w:jc w:val="center"/>
              <w:ind w:left="3472"/>
              <w:spacing w:after="0" w:line="215" w:lineRule="exact"/>
              <w:rPr>
                <w:sz w:val="20"/>
                <w:szCs w:val="20"/>
                <w:color w:val="auto"/>
              </w:rPr>
            </w:pPr>
            <w:r>
              <w:rPr>
                <w:rFonts w:ascii="Calibri" w:cs="Calibri" w:eastAsia="Calibri" w:hAnsi="Calibri"/>
                <w:sz w:val="18"/>
                <w:szCs w:val="18"/>
                <w:color w:val="auto"/>
                <w:w w:val="97"/>
              </w:rPr>
              <w:t>________________________________</w:t>
            </w:r>
          </w:p>
        </w:tc>
        <w:tc>
          <w:tcPr>
            <w:tcW w:w="23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64"/>
        </w:trPr>
        <w:tc>
          <w:tcPr>
            <w:tcW w:w="7640" w:type="dxa"/>
            <w:vAlign w:val="bottom"/>
          </w:tcPr>
          <w:p>
            <w:pPr>
              <w:jc w:val="center"/>
              <w:ind w:right="1952"/>
              <w:spacing w:after="0"/>
              <w:rPr>
                <w:sz w:val="20"/>
                <w:szCs w:val="20"/>
                <w:color w:val="auto"/>
              </w:rPr>
            </w:pPr>
            <w:r>
              <w:rPr>
                <w:rFonts w:ascii="Calibri" w:cs="Calibri" w:eastAsia="Calibri" w:hAnsi="Calibri"/>
                <w:sz w:val="18"/>
                <w:szCs w:val="18"/>
                <w:b w:val="1"/>
                <w:bCs w:val="1"/>
                <w:color w:val="auto"/>
                <w:w w:val="95"/>
              </w:rPr>
              <w:t>Delaware</w:t>
            </w:r>
          </w:p>
        </w:tc>
        <w:tc>
          <w:tcPr>
            <w:tcW w:w="2380" w:type="dxa"/>
            <w:vAlign w:val="bottom"/>
          </w:tcPr>
          <w:p>
            <w:pPr>
              <w:jc w:val="right"/>
              <w:ind w:right="1106"/>
              <w:spacing w:after="0"/>
              <w:rPr>
                <w:sz w:val="20"/>
                <w:szCs w:val="20"/>
                <w:color w:val="auto"/>
              </w:rPr>
            </w:pPr>
            <w:r>
              <w:rPr>
                <w:rFonts w:ascii="Calibri" w:cs="Calibri" w:eastAsia="Calibri" w:hAnsi="Calibri"/>
                <w:sz w:val="18"/>
                <w:szCs w:val="18"/>
                <w:b w:val="1"/>
                <w:bCs w:val="1"/>
                <w:color w:val="auto"/>
              </w:rPr>
              <w:t>86-1746728</w:t>
            </w:r>
          </w:p>
        </w:tc>
        <w:tc>
          <w:tcPr>
            <w:tcW w:w="540" w:type="dxa"/>
            <w:vAlign w:val="bottom"/>
          </w:tcPr>
          <w:p>
            <w:pPr>
              <w:spacing w:after="0"/>
              <w:rPr>
                <w:sz w:val="24"/>
                <w:szCs w:val="24"/>
                <w:color w:val="auto"/>
              </w:rPr>
            </w:pPr>
          </w:p>
        </w:tc>
      </w:tr>
      <w:tr>
        <w:trPr>
          <w:trHeight w:val="189"/>
        </w:trPr>
        <w:tc>
          <w:tcPr>
            <w:tcW w:w="7640" w:type="dxa"/>
            <w:vAlign w:val="bottom"/>
          </w:tcPr>
          <w:p>
            <w:pPr>
              <w:jc w:val="center"/>
              <w:ind w:right="1952"/>
              <w:spacing w:after="0"/>
              <w:rPr>
                <w:sz w:val="20"/>
                <w:szCs w:val="20"/>
                <w:color w:val="auto"/>
              </w:rPr>
            </w:pPr>
            <w:r>
              <w:rPr>
                <w:rFonts w:ascii="Calibri" w:cs="Calibri" w:eastAsia="Calibri" w:hAnsi="Calibri"/>
                <w:sz w:val="13"/>
                <w:szCs w:val="13"/>
                <w:b w:val="1"/>
                <w:bCs w:val="1"/>
                <w:color w:val="auto"/>
                <w:w w:val="98"/>
              </w:rPr>
              <w:t>(State or other jurisdicton of</w:t>
            </w:r>
          </w:p>
        </w:tc>
        <w:tc>
          <w:tcPr>
            <w:tcW w:w="2380" w:type="dxa"/>
            <w:vAlign w:val="bottom"/>
          </w:tcPr>
          <w:p>
            <w:pPr>
              <w:jc w:val="center"/>
              <w:ind w:right="766"/>
              <w:spacing w:after="0"/>
              <w:rPr>
                <w:sz w:val="20"/>
                <w:szCs w:val="20"/>
                <w:color w:val="auto"/>
              </w:rPr>
            </w:pPr>
            <w:r>
              <w:rPr>
                <w:rFonts w:ascii="Calibri" w:cs="Calibri" w:eastAsia="Calibri" w:hAnsi="Calibri"/>
                <w:sz w:val="13"/>
                <w:szCs w:val="13"/>
                <w:b w:val="1"/>
                <w:bCs w:val="1"/>
                <w:color w:val="auto"/>
                <w:w w:val="95"/>
              </w:rPr>
              <w:t>(I.R.S. Employer</w:t>
            </w:r>
          </w:p>
        </w:tc>
        <w:tc>
          <w:tcPr>
            <w:tcW w:w="540" w:type="dxa"/>
            <w:vAlign w:val="bottom"/>
          </w:tcPr>
          <w:p>
            <w:pPr>
              <w:spacing w:after="0"/>
              <w:rPr>
                <w:sz w:val="16"/>
                <w:szCs w:val="16"/>
                <w:color w:val="auto"/>
              </w:rPr>
            </w:pPr>
          </w:p>
        </w:tc>
      </w:tr>
      <w:tr>
        <w:trPr>
          <w:trHeight w:val="148"/>
        </w:trPr>
        <w:tc>
          <w:tcPr>
            <w:tcW w:w="7640" w:type="dxa"/>
            <w:vAlign w:val="bottom"/>
          </w:tcPr>
          <w:p>
            <w:pPr>
              <w:jc w:val="center"/>
              <w:ind w:right="1952"/>
              <w:spacing w:after="0" w:line="149" w:lineRule="exact"/>
              <w:rPr>
                <w:sz w:val="20"/>
                <w:szCs w:val="20"/>
                <w:color w:val="auto"/>
              </w:rPr>
            </w:pPr>
            <w:r>
              <w:rPr>
                <w:rFonts w:ascii="Calibri" w:cs="Calibri" w:eastAsia="Calibri" w:hAnsi="Calibri"/>
                <w:sz w:val="13"/>
                <w:szCs w:val="13"/>
                <w:b w:val="1"/>
                <w:bCs w:val="1"/>
                <w:color w:val="auto"/>
                <w:w w:val="99"/>
              </w:rPr>
              <w:t>incorporaton or organizaton)</w:t>
            </w:r>
          </w:p>
        </w:tc>
        <w:tc>
          <w:tcPr>
            <w:tcW w:w="2380" w:type="dxa"/>
            <w:vAlign w:val="bottom"/>
          </w:tcPr>
          <w:p>
            <w:pPr>
              <w:jc w:val="center"/>
              <w:ind w:right="766"/>
              <w:spacing w:after="0" w:line="149" w:lineRule="exact"/>
              <w:rPr>
                <w:sz w:val="20"/>
                <w:szCs w:val="20"/>
                <w:color w:val="auto"/>
              </w:rPr>
            </w:pPr>
            <w:r>
              <w:rPr>
                <w:rFonts w:ascii="Calibri" w:cs="Calibri" w:eastAsia="Calibri" w:hAnsi="Calibri"/>
                <w:sz w:val="13"/>
                <w:szCs w:val="13"/>
                <w:b w:val="1"/>
                <w:bCs w:val="1"/>
                <w:color w:val="auto"/>
              </w:rPr>
              <w:t>Identfcaton No.)</w:t>
            </w:r>
          </w:p>
        </w:tc>
        <w:tc>
          <w:tcPr>
            <w:tcW w:w="540" w:type="dxa"/>
            <w:vAlign w:val="bottom"/>
          </w:tcPr>
          <w:p>
            <w:pPr>
              <w:spacing w:after="0"/>
              <w:rPr>
                <w:sz w:val="12"/>
                <w:szCs w:val="12"/>
                <w:color w:val="auto"/>
              </w:rPr>
            </w:pPr>
          </w:p>
        </w:tc>
      </w:tr>
      <w:tr>
        <w:trPr>
          <w:trHeight w:val="284"/>
        </w:trPr>
        <w:tc>
          <w:tcPr>
            <w:tcW w:w="7640" w:type="dxa"/>
            <w:vAlign w:val="bottom"/>
          </w:tcPr>
          <w:p>
            <w:pPr>
              <w:jc w:val="center"/>
              <w:ind w:right="1952"/>
              <w:spacing w:after="0"/>
              <w:rPr>
                <w:sz w:val="20"/>
                <w:szCs w:val="20"/>
                <w:color w:val="auto"/>
              </w:rPr>
            </w:pPr>
            <w:r>
              <w:rPr>
                <w:rFonts w:ascii="Calibri" w:cs="Calibri" w:eastAsia="Calibri" w:hAnsi="Calibri"/>
                <w:sz w:val="18"/>
                <w:szCs w:val="18"/>
                <w:b w:val="1"/>
                <w:bCs w:val="1"/>
                <w:color w:val="auto"/>
                <w:w w:val="96"/>
              </w:rPr>
              <w:t>590 Plant Road, Dresden, New York</w:t>
            </w:r>
          </w:p>
        </w:tc>
        <w:tc>
          <w:tcPr>
            <w:tcW w:w="2380" w:type="dxa"/>
            <w:vAlign w:val="bottom"/>
          </w:tcPr>
          <w:p>
            <w:pPr>
              <w:jc w:val="right"/>
              <w:ind w:right="1306"/>
              <w:spacing w:after="0"/>
              <w:rPr>
                <w:sz w:val="20"/>
                <w:szCs w:val="20"/>
                <w:color w:val="auto"/>
              </w:rPr>
            </w:pPr>
            <w:r>
              <w:rPr>
                <w:rFonts w:ascii="Calibri" w:cs="Calibri" w:eastAsia="Calibri" w:hAnsi="Calibri"/>
                <w:sz w:val="18"/>
                <w:szCs w:val="18"/>
                <w:b w:val="1"/>
                <w:bCs w:val="1"/>
                <w:color w:val="auto"/>
              </w:rPr>
              <w:t>14441</w:t>
            </w:r>
          </w:p>
        </w:tc>
        <w:tc>
          <w:tcPr>
            <w:tcW w:w="540" w:type="dxa"/>
            <w:vAlign w:val="bottom"/>
          </w:tcPr>
          <w:p>
            <w:pPr>
              <w:spacing w:after="0"/>
              <w:rPr>
                <w:sz w:val="24"/>
                <w:szCs w:val="24"/>
                <w:color w:val="auto"/>
              </w:rPr>
            </w:pPr>
          </w:p>
        </w:tc>
      </w:tr>
      <w:tr>
        <w:trPr>
          <w:trHeight w:val="175"/>
        </w:trPr>
        <w:tc>
          <w:tcPr>
            <w:tcW w:w="7640" w:type="dxa"/>
            <w:vAlign w:val="bottom"/>
          </w:tcPr>
          <w:p>
            <w:pPr>
              <w:jc w:val="center"/>
              <w:ind w:right="1952"/>
              <w:spacing w:after="0"/>
              <w:rPr>
                <w:sz w:val="20"/>
                <w:szCs w:val="20"/>
                <w:color w:val="auto"/>
              </w:rPr>
            </w:pPr>
            <w:r>
              <w:rPr>
                <w:rFonts w:ascii="Calibri" w:cs="Calibri" w:eastAsia="Calibri" w:hAnsi="Calibri"/>
                <w:sz w:val="13"/>
                <w:szCs w:val="13"/>
                <w:b w:val="1"/>
                <w:bCs w:val="1"/>
                <w:color w:val="auto"/>
              </w:rPr>
              <w:t>(Address of principal executve ofces)</w:t>
            </w:r>
          </w:p>
        </w:tc>
        <w:tc>
          <w:tcPr>
            <w:tcW w:w="2380" w:type="dxa"/>
            <w:vAlign w:val="bottom"/>
          </w:tcPr>
          <w:p>
            <w:pPr>
              <w:jc w:val="center"/>
              <w:ind w:right="766"/>
              <w:spacing w:after="0"/>
              <w:rPr>
                <w:sz w:val="20"/>
                <w:szCs w:val="20"/>
                <w:color w:val="auto"/>
              </w:rPr>
            </w:pPr>
            <w:r>
              <w:rPr>
                <w:rFonts w:ascii="Calibri" w:cs="Calibri" w:eastAsia="Calibri" w:hAnsi="Calibri"/>
                <w:sz w:val="13"/>
                <w:szCs w:val="13"/>
                <w:b w:val="1"/>
                <w:bCs w:val="1"/>
                <w:color w:val="auto"/>
                <w:w w:val="98"/>
              </w:rPr>
              <w:t>(Zip Code)</w:t>
            </w:r>
          </w:p>
        </w:tc>
        <w:tc>
          <w:tcPr>
            <w:tcW w:w="540" w:type="dxa"/>
            <w:vAlign w:val="bottom"/>
          </w:tcPr>
          <w:p>
            <w:pPr>
              <w:spacing w:after="0"/>
              <w:rPr>
                <w:sz w:val="15"/>
                <w:szCs w:val="15"/>
                <w:color w:val="auto"/>
              </w:rPr>
            </w:pPr>
          </w:p>
        </w:tc>
      </w:tr>
    </w:tbl>
    <w:p>
      <w:pPr>
        <w:spacing w:after="0" w:line="152" w:lineRule="exact"/>
        <w:rPr>
          <w:sz w:val="24"/>
          <w:szCs w:val="24"/>
          <w:color w:val="auto"/>
        </w:rPr>
      </w:pPr>
    </w:p>
    <w:p>
      <w:pPr>
        <w:jc w:val="center"/>
        <w:ind w:right="-19"/>
        <w:spacing w:after="0"/>
        <w:rPr>
          <w:sz w:val="20"/>
          <w:szCs w:val="20"/>
          <w:color w:val="auto"/>
        </w:rPr>
      </w:pPr>
      <w:r>
        <w:rPr>
          <w:rFonts w:ascii="Calibri" w:cs="Calibri" w:eastAsia="Calibri" w:hAnsi="Calibri"/>
          <w:sz w:val="16"/>
          <w:szCs w:val="16"/>
          <w:b w:val="1"/>
          <w:bCs w:val="1"/>
          <w:color w:val="auto"/>
        </w:rPr>
        <w:t>Registrant’s telephone number, including area code: (315) 536-2359</w:t>
      </w:r>
    </w:p>
    <w:p>
      <w:pPr>
        <w:ind w:left="4220"/>
        <w:spacing w:after="0" w:line="225" w:lineRule="auto"/>
        <w:rPr>
          <w:sz w:val="20"/>
          <w:szCs w:val="20"/>
          <w:color w:val="auto"/>
        </w:rPr>
      </w:pPr>
      <w:r>
        <w:rPr>
          <w:rFonts w:ascii="Calibri" w:cs="Calibri" w:eastAsia="Calibri" w:hAnsi="Calibri"/>
          <w:sz w:val="18"/>
          <w:szCs w:val="18"/>
          <w:color w:val="auto"/>
        </w:rPr>
        <w:t>________________________________</w:t>
      </w:r>
    </w:p>
    <w:p>
      <w:pPr>
        <w:spacing w:after="0" w:line="58" w:lineRule="exact"/>
        <w:rPr>
          <w:sz w:val="24"/>
          <w:szCs w:val="24"/>
          <w:color w:val="auto"/>
        </w:rPr>
      </w:pPr>
    </w:p>
    <w:p>
      <w:pPr>
        <w:spacing w:after="0"/>
        <w:rPr>
          <w:sz w:val="20"/>
          <w:szCs w:val="20"/>
          <w:color w:val="auto"/>
        </w:rPr>
      </w:pPr>
      <w:r>
        <w:rPr>
          <w:rFonts w:ascii="Calibri" w:cs="Calibri" w:eastAsia="Calibri" w:hAnsi="Calibri"/>
          <w:sz w:val="16"/>
          <w:szCs w:val="16"/>
          <w:color w:val="auto"/>
        </w:rPr>
        <w:t>Securites registered pursuant to Secton 12(b) of the Act:</w:t>
      </w:r>
    </w:p>
    <w:p>
      <w:pPr>
        <w:sectPr>
          <w:pgSz w:w="11900" w:h="16838" w:orient="portrait"/>
          <w:cols w:equalWidth="0" w:num="1">
            <w:col w:w="11220"/>
          </w:cols>
          <w:pgMar w:left="320" w:top="1232" w:right="359" w:bottom="184" w:gutter="0" w:footer="0" w:header="0"/>
        </w:sectPr>
      </w:pPr>
    </w:p>
    <w:p>
      <w:pPr>
        <w:spacing w:after="0" w:line="350" w:lineRule="exact"/>
        <w:rPr>
          <w:sz w:val="24"/>
          <w:szCs w:val="24"/>
          <w:color w:val="auto"/>
        </w:rPr>
      </w:pPr>
    </w:p>
    <w:p>
      <w:pPr>
        <w:ind w:left="1680"/>
        <w:spacing w:after="0"/>
        <w:rPr>
          <w:sz w:val="20"/>
          <w:szCs w:val="20"/>
          <w:color w:val="auto"/>
        </w:rPr>
      </w:pPr>
      <w:r>
        <w:rPr>
          <w:rFonts w:ascii="Calibri" w:cs="Calibri" w:eastAsia="Calibri" w:hAnsi="Calibri"/>
          <w:sz w:val="14"/>
          <w:szCs w:val="14"/>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Trading</w:t>
      </w:r>
    </w:p>
    <w:p>
      <w:pPr>
        <w:spacing w:after="0" w:line="227" w:lineRule="auto"/>
        <w:rPr>
          <w:sz w:val="20"/>
          <w:szCs w:val="20"/>
          <w:color w:val="auto"/>
        </w:rPr>
      </w:pPr>
      <w:r>
        <w:rPr>
          <w:rFonts w:ascii="Calibri" w:cs="Calibri" w:eastAsia="Calibri" w:hAnsi="Calibri"/>
          <w:sz w:val="14"/>
          <w:szCs w:val="14"/>
          <w:b w:val="1"/>
          <w:bCs w:val="1"/>
          <w:color w:val="auto"/>
        </w:rPr>
        <w:t>Symbol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-573405</wp:posOffset>
            </wp:positionH>
            <wp:positionV relativeFrom="paragraph">
              <wp:posOffset>46990</wp:posOffset>
            </wp:positionV>
            <wp:extent cx="14312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-554990</wp:posOffset>
            </wp:positionH>
            <wp:positionV relativeFrom="paragraph">
              <wp:posOffset>29845</wp:posOffset>
            </wp:positionV>
            <wp:extent cx="2786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54" w:lineRule="exact"/>
        <w:rPr>
          <w:sz w:val="24"/>
          <w:szCs w:val="24"/>
          <w:color w:val="auto"/>
        </w:rPr>
      </w:pPr>
    </w:p>
    <w:p>
      <w:pPr>
        <w:sectPr>
          <w:pgSz w:w="11900" w:h="16838" w:orient="portrait"/>
          <w:cols w:equalWidth="0" w:num="3">
            <w:col w:w="4660" w:space="720"/>
            <w:col w:w="1600" w:space="720"/>
            <w:col w:w="3520"/>
          </w:cols>
          <w:pgMar w:left="320" w:top="1232" w:right="359" w:bottom="184"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480" w:type="dxa"/>
            <w:vAlign w:val="bottom"/>
            <w:gridSpan w:val="2"/>
          </w:tcPr>
          <w:p>
            <w:pPr>
              <w:jc w:val="center"/>
              <w:ind w:right="100"/>
              <w:spacing w:after="0"/>
              <w:rPr>
                <w:sz w:val="20"/>
                <w:szCs w:val="20"/>
                <w:color w:val="auto"/>
              </w:rPr>
            </w:pPr>
            <w:r>
              <w:rPr>
                <w:rFonts w:ascii="Calibri" w:cs="Calibri" w:eastAsia="Calibri" w:hAnsi="Calibri"/>
                <w:sz w:val="16"/>
                <w:szCs w:val="16"/>
                <w:color w:val="auto"/>
              </w:rPr>
              <w:t>Class A Common Stock, $0.0001 par value</w:t>
            </w:r>
          </w:p>
        </w:tc>
        <w:tc>
          <w:tcPr>
            <w:tcW w:w="2540" w:type="dxa"/>
            <w:vAlign w:val="bottom"/>
            <w:gridSpan w:val="3"/>
          </w:tcPr>
          <w:p>
            <w:pPr>
              <w:jc w:val="center"/>
              <w:ind w:right="300"/>
              <w:spacing w:after="0"/>
              <w:rPr>
                <w:sz w:val="20"/>
                <w:szCs w:val="20"/>
                <w:color w:val="auto"/>
              </w:rPr>
            </w:pPr>
            <w:r>
              <w:rPr>
                <w:rFonts w:ascii="Calibri" w:cs="Calibri" w:eastAsia="Calibri" w:hAnsi="Calibri"/>
                <w:sz w:val="16"/>
                <w:szCs w:val="16"/>
                <w:b w:val="1"/>
                <w:bCs w:val="1"/>
                <w:color w:val="auto"/>
              </w:rPr>
              <w:t>GREE</w:t>
            </w:r>
          </w:p>
        </w:tc>
        <w:tc>
          <w:tcPr>
            <w:tcW w:w="4200" w:type="dxa"/>
            <w:vAlign w:val="bottom"/>
          </w:tcPr>
          <w:p>
            <w:pPr>
              <w:ind w:left="880"/>
              <w:spacing w:after="0"/>
              <w:rPr>
                <w:sz w:val="20"/>
                <w:szCs w:val="20"/>
                <w:color w:val="auto"/>
              </w:rPr>
            </w:pPr>
            <w:r>
              <w:rPr>
                <w:rFonts w:ascii="Calibri" w:cs="Calibri" w:eastAsia="Calibri" w:hAnsi="Calibri"/>
                <w:sz w:val="16"/>
                <w:szCs w:val="16"/>
                <w:b w:val="1"/>
                <w:bCs w:val="1"/>
                <w:color w:val="auto"/>
              </w:rPr>
              <w:t>The Nasdaq Global Select Market</w:t>
            </w:r>
          </w:p>
        </w:tc>
      </w:tr>
      <w:tr>
        <w:trPr>
          <w:trHeight w:val="28"/>
        </w:trPr>
        <w:tc>
          <w:tcPr>
            <w:tcW w:w="4480" w:type="dxa"/>
            <w:vAlign w:val="bottom"/>
            <w:gridSpan w:val="2"/>
          </w:tcPr>
          <w:p>
            <w:pPr>
              <w:spacing w:after="0"/>
              <w:rPr>
                <w:sz w:val="2"/>
                <w:szCs w:val="2"/>
                <w:color w:val="auto"/>
              </w:rPr>
            </w:pPr>
          </w:p>
        </w:tc>
        <w:tc>
          <w:tcPr>
            <w:tcW w:w="2540" w:type="dxa"/>
            <w:vAlign w:val="bottom"/>
            <w:gridSpan w:val="3"/>
          </w:tcPr>
          <w:p>
            <w:pPr>
              <w:spacing w:after="0"/>
              <w:rPr>
                <w:sz w:val="2"/>
                <w:szCs w:val="2"/>
                <w:color w:val="auto"/>
              </w:rPr>
            </w:pPr>
          </w:p>
        </w:tc>
        <w:tc>
          <w:tcPr>
            <w:tcW w:w="4200" w:type="dxa"/>
            <w:vAlign w:val="bottom"/>
          </w:tcPr>
          <w:p>
            <w:pPr>
              <w:spacing w:after="0"/>
              <w:rPr>
                <w:sz w:val="2"/>
                <w:szCs w:val="2"/>
                <w:color w:val="auto"/>
              </w:rPr>
            </w:pPr>
          </w:p>
        </w:tc>
      </w:tr>
      <w:tr>
        <w:trPr>
          <w:trHeight w:val="187"/>
        </w:trPr>
        <w:tc>
          <w:tcPr>
            <w:tcW w:w="4380" w:type="dxa"/>
            <w:vAlign w:val="bottom"/>
            <w:tcBorders>
              <w:top w:val="single" w:sz="8" w:color="auto"/>
            </w:tcBorders>
          </w:tcPr>
          <w:p>
            <w:pPr>
              <w:jc w:val="center"/>
              <w:spacing w:after="0" w:line="187" w:lineRule="exact"/>
              <w:rPr>
                <w:sz w:val="20"/>
                <w:szCs w:val="20"/>
                <w:color w:val="auto"/>
              </w:rPr>
            </w:pPr>
            <w:r>
              <w:rPr>
                <w:rFonts w:ascii="Calibri" w:cs="Calibri" w:eastAsia="Calibri" w:hAnsi="Calibri"/>
                <w:sz w:val="16"/>
                <w:szCs w:val="16"/>
                <w:color w:val="auto"/>
              </w:rPr>
              <w:t>8.50% Senior Notes due 2026</w:t>
            </w:r>
          </w:p>
        </w:tc>
        <w:tc>
          <w:tcPr>
            <w:tcW w:w="100" w:type="dxa"/>
            <w:vAlign w:val="bottom"/>
          </w:tcPr>
          <w:p>
            <w:pPr>
              <w:spacing w:after="0"/>
              <w:rPr>
                <w:sz w:val="16"/>
                <w:szCs w:val="16"/>
                <w:color w:val="auto"/>
              </w:rPr>
            </w:pPr>
          </w:p>
        </w:tc>
        <w:tc>
          <w:tcPr>
            <w:tcW w:w="2260" w:type="dxa"/>
            <w:vAlign w:val="bottom"/>
            <w:tcBorders>
              <w:top w:val="single" w:sz="8" w:color="auto"/>
            </w:tcBorders>
          </w:tcPr>
          <w:p>
            <w:pPr>
              <w:jc w:val="center"/>
              <w:spacing w:after="0" w:line="187" w:lineRule="exact"/>
              <w:rPr>
                <w:sz w:val="20"/>
                <w:szCs w:val="20"/>
                <w:color w:val="auto"/>
              </w:rPr>
            </w:pPr>
            <w:r>
              <w:rPr>
                <w:rFonts w:ascii="Calibri" w:cs="Calibri" w:eastAsia="Calibri" w:hAnsi="Calibri"/>
                <w:sz w:val="16"/>
                <w:szCs w:val="16"/>
                <w:b w:val="1"/>
                <w:bCs w:val="1"/>
                <w:color w:val="auto"/>
              </w:rPr>
              <w:t>GREEL</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200" w:type="dxa"/>
            <w:vAlign w:val="bottom"/>
            <w:tcBorders>
              <w:top w:val="single" w:sz="8" w:color="auto"/>
            </w:tcBorders>
          </w:tcPr>
          <w:p>
            <w:pPr>
              <w:ind w:left="880"/>
              <w:spacing w:after="0" w:line="187" w:lineRule="exact"/>
              <w:rPr>
                <w:sz w:val="20"/>
                <w:szCs w:val="20"/>
                <w:color w:val="auto"/>
              </w:rPr>
            </w:pPr>
            <w:r>
              <w:rPr>
                <w:rFonts w:ascii="Calibri" w:cs="Calibri" w:eastAsia="Calibri" w:hAnsi="Calibri"/>
                <w:sz w:val="16"/>
                <w:szCs w:val="16"/>
                <w:b w:val="1"/>
                <w:bCs w:val="1"/>
                <w:color w:val="auto"/>
              </w:rPr>
              <w:t>The Nasdaq Global Select Market</w:t>
            </w:r>
          </w:p>
        </w:tc>
      </w:tr>
      <w:tr>
        <w:trPr>
          <w:trHeight w:val="23"/>
        </w:trPr>
        <w:tc>
          <w:tcPr>
            <w:tcW w:w="4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r>
      <w:tr>
        <w:trPr>
          <w:trHeight w:val="325"/>
        </w:trPr>
        <w:tc>
          <w:tcPr>
            <w:tcW w:w="4480" w:type="dxa"/>
            <w:vAlign w:val="bottom"/>
            <w:gridSpan w:val="2"/>
          </w:tcPr>
          <w:p>
            <w:pPr>
              <w:spacing w:after="0"/>
              <w:rPr>
                <w:sz w:val="20"/>
                <w:szCs w:val="20"/>
                <w:color w:val="auto"/>
              </w:rPr>
            </w:pPr>
            <w:r>
              <w:rPr>
                <w:rFonts w:ascii="Calibri" w:cs="Calibri" w:eastAsia="Calibri" w:hAnsi="Calibri"/>
                <w:sz w:val="14"/>
                <w:szCs w:val="14"/>
                <w:color w:val="auto"/>
              </w:rPr>
              <w:t>Securites registered pursuant to Secton 12(g) of the Act: None</w:t>
            </w: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56"/>
        </w:trPr>
        <w:tc>
          <w:tcPr>
            <w:tcW w:w="7020" w:type="dxa"/>
            <w:vAlign w:val="bottom"/>
            <w:gridSpan w:val="5"/>
          </w:tcPr>
          <w:p>
            <w:pPr>
              <w:spacing w:after="0"/>
              <w:rPr>
                <w:sz w:val="20"/>
                <w:szCs w:val="20"/>
                <w:color w:val="auto"/>
              </w:rPr>
            </w:pPr>
            <w:r>
              <w:rPr>
                <w:rFonts w:ascii="Calibri" w:cs="Calibri" w:eastAsia="Calibri" w:hAnsi="Calibri"/>
                <w:sz w:val="14"/>
                <w:szCs w:val="14"/>
                <w:color w:val="auto"/>
              </w:rPr>
              <w:t>Indicate by check mark if the Registrant is a well-known seasoned issuer, as defned in Rule 405 of the Securites Act. Yes</w:t>
            </w:r>
          </w:p>
        </w:tc>
        <w:tc>
          <w:tcPr>
            <w:tcW w:w="4200" w:type="dxa"/>
            <w:vAlign w:val="bottom"/>
          </w:tcPr>
          <w:p>
            <w:pPr>
              <w:ind w:left="120"/>
              <w:spacing w:after="0"/>
              <w:rPr>
                <w:sz w:val="20"/>
                <w:szCs w:val="20"/>
                <w:color w:val="auto"/>
              </w:rPr>
            </w:pPr>
            <w:r>
              <w:rPr>
                <w:rFonts w:ascii="Wingdings" w:cs="Wingdings" w:eastAsia="Wingdings" w:hAnsi="Wingdings"/>
                <w:sz w:val="14"/>
                <w:szCs w:val="14"/>
                <w:b w:val="1"/>
                <w:bCs w:val="1"/>
                <w:color w:val="auto"/>
              </w:rPr>
              <w:t xml:space="preserve">o  </w:t>
            </w:r>
            <w:r>
              <w:rPr>
                <w:rFonts w:ascii="Calibri" w:cs="Calibri" w:eastAsia="Calibri" w:hAnsi="Calibri"/>
                <w:sz w:val="14"/>
                <w:szCs w:val="14"/>
                <w:color w:val="auto"/>
              </w:rPr>
              <w:t>No</w:t>
            </w:r>
            <w:r>
              <w:rPr>
                <w:rFonts w:ascii="Wingdings" w:cs="Wingdings" w:eastAsia="Wingdings" w:hAnsi="Wingdings"/>
                <w:sz w:val="14"/>
                <w:szCs w:val="14"/>
                <w:b w:val="1"/>
                <w:bCs w:val="1"/>
                <w:color w:val="auto"/>
              </w:rPr>
              <w:t xml:space="preserve"> x</w:t>
            </w:r>
          </w:p>
        </w:tc>
      </w:tr>
      <w:tr>
        <w:trPr>
          <w:trHeight w:val="257"/>
        </w:trPr>
        <w:tc>
          <w:tcPr>
            <w:tcW w:w="7020" w:type="dxa"/>
            <w:vAlign w:val="bottom"/>
            <w:gridSpan w:val="5"/>
          </w:tcPr>
          <w:p>
            <w:pPr>
              <w:spacing w:after="0"/>
              <w:rPr>
                <w:sz w:val="20"/>
                <w:szCs w:val="20"/>
                <w:color w:val="auto"/>
              </w:rPr>
            </w:pPr>
            <w:r>
              <w:rPr>
                <w:rFonts w:ascii="Calibri" w:cs="Calibri" w:eastAsia="Calibri" w:hAnsi="Calibri"/>
                <w:sz w:val="14"/>
                <w:szCs w:val="14"/>
                <w:color w:val="auto"/>
              </w:rPr>
              <w:t xml:space="preserve">Indicate by check mark if the Registrant is not required to fle reports pursuant to Secton 13 or 15(d) of the Act. Yes </w:t>
            </w:r>
            <w:r>
              <w:rPr>
                <w:rFonts w:ascii="Wingdings" w:cs="Wingdings" w:eastAsia="Wingdings" w:hAnsi="Wingdings"/>
                <w:sz w:val="14"/>
                <w:szCs w:val="14"/>
                <w:b w:val="1"/>
                <w:bCs w:val="1"/>
                <w:color w:val="auto"/>
              </w:rPr>
              <w:t>o</w:t>
            </w:r>
          </w:p>
        </w:tc>
        <w:tc>
          <w:tcPr>
            <w:tcW w:w="4200" w:type="dxa"/>
            <w:vAlign w:val="bottom"/>
          </w:tcPr>
          <w:p>
            <w:pPr>
              <w:ind w:left="40"/>
              <w:spacing w:after="0"/>
              <w:rPr>
                <w:sz w:val="20"/>
                <w:szCs w:val="20"/>
                <w:color w:val="auto"/>
              </w:rPr>
            </w:pPr>
            <w:r>
              <w:rPr>
                <w:rFonts w:ascii="Calibri" w:cs="Calibri" w:eastAsia="Calibri" w:hAnsi="Calibri"/>
                <w:sz w:val="14"/>
                <w:szCs w:val="14"/>
                <w:color w:val="auto"/>
              </w:rPr>
              <w:t xml:space="preserve">No </w:t>
            </w:r>
            <w:r>
              <w:rPr>
                <w:rFonts w:ascii="Wingdings" w:cs="Wingdings" w:eastAsia="Wingdings" w:hAnsi="Wingdings"/>
                <w:sz w:val="14"/>
                <w:szCs w:val="14"/>
                <w:b w:val="1"/>
                <w:bCs w:val="1"/>
                <w:color w:val="auto"/>
              </w:rPr>
              <w:t>x</w:t>
            </w:r>
          </w:p>
        </w:tc>
      </w:tr>
    </w:tbl>
    <w:p>
      <w:pPr>
        <w:spacing w:after="0" w:line="60" w:lineRule="exact"/>
        <w:rPr>
          <w:sz w:val="24"/>
          <w:szCs w:val="24"/>
          <w:color w:val="auto"/>
        </w:rPr>
      </w:pPr>
    </w:p>
    <w:p>
      <w:pPr>
        <w:ind w:right="80"/>
        <w:spacing w:after="0" w:line="264" w:lineRule="auto"/>
        <w:rPr>
          <w:sz w:val="20"/>
          <w:szCs w:val="20"/>
          <w:color w:val="auto"/>
        </w:rPr>
      </w:pPr>
      <w:r>
        <w:rPr>
          <w:rFonts w:ascii="Calibri" w:cs="Calibri" w:eastAsia="Calibri" w:hAnsi="Calibri"/>
          <w:sz w:val="14"/>
          <w:szCs w:val="14"/>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Wingdings" w:cs="Wingdings" w:eastAsia="Wingdings" w:hAnsi="Wingdings"/>
          <w:sz w:val="14"/>
          <w:szCs w:val="14"/>
          <w:b w:val="1"/>
          <w:bCs w:val="1"/>
          <w:color w:val="auto"/>
        </w:rPr>
        <w:t>x</w:t>
      </w:r>
      <w:r>
        <w:rPr>
          <w:rFonts w:ascii="Calibri" w:cs="Calibri" w:eastAsia="Calibri" w:hAnsi="Calibri"/>
          <w:sz w:val="14"/>
          <w:szCs w:val="14"/>
          <w:color w:val="auto"/>
        </w:rPr>
        <w:t xml:space="preserve"> No </w:t>
      </w:r>
      <w:r>
        <w:rPr>
          <w:rFonts w:ascii="Wingdings" w:cs="Wingdings" w:eastAsia="Wingdings" w:hAnsi="Wingdings"/>
          <w:sz w:val="14"/>
          <w:szCs w:val="14"/>
          <w:b w:val="1"/>
          <w:bCs w:val="1"/>
          <w:color w:val="auto"/>
        </w:rPr>
        <w:t>o</w:t>
      </w:r>
    </w:p>
    <w:p>
      <w:pPr>
        <w:spacing w:after="0" w:line="43" w:lineRule="exact"/>
        <w:rPr>
          <w:sz w:val="24"/>
          <w:szCs w:val="24"/>
          <w:color w:val="auto"/>
        </w:rPr>
      </w:pPr>
    </w:p>
    <w:p>
      <w:pPr>
        <w:ind w:right="500"/>
        <w:spacing w:after="0" w:line="283" w:lineRule="auto"/>
        <w:rPr>
          <w:sz w:val="20"/>
          <w:szCs w:val="20"/>
          <w:color w:val="auto"/>
        </w:rPr>
      </w:pPr>
      <w:r>
        <w:rPr>
          <w:rFonts w:ascii="Calibri" w:cs="Calibri" w:eastAsia="Calibri" w:hAnsi="Calibri"/>
          <w:sz w:val="14"/>
          <w:szCs w:val="14"/>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Wingdings" w:cs="Wingdings" w:eastAsia="Wingdings" w:hAnsi="Wingdings"/>
          <w:sz w:val="14"/>
          <w:szCs w:val="14"/>
          <w:b w:val="1"/>
          <w:bCs w:val="1"/>
          <w:color w:val="auto"/>
        </w:rPr>
        <w:t>x</w:t>
      </w:r>
      <w:r>
        <w:rPr>
          <w:rFonts w:ascii="Calibri" w:cs="Calibri" w:eastAsia="Calibri" w:hAnsi="Calibri"/>
          <w:sz w:val="14"/>
          <w:szCs w:val="14"/>
          <w:color w:val="auto"/>
        </w:rPr>
        <w:t xml:space="preserve"> No </w:t>
      </w:r>
      <w:r>
        <w:rPr>
          <w:rFonts w:ascii="Wingdings" w:cs="Wingdings" w:eastAsia="Wingdings" w:hAnsi="Wingdings"/>
          <w:sz w:val="14"/>
          <w:szCs w:val="14"/>
          <w:b w:val="1"/>
          <w:bCs w:val="1"/>
          <w:color w:val="auto"/>
        </w:rPr>
        <w:t>o</w:t>
      </w:r>
    </w:p>
    <w:p>
      <w:pPr>
        <w:spacing w:after="0" w:line="29" w:lineRule="exact"/>
        <w:rPr>
          <w:sz w:val="24"/>
          <w:szCs w:val="24"/>
          <w:color w:val="auto"/>
        </w:rPr>
      </w:pPr>
    </w:p>
    <w:p>
      <w:pPr>
        <w:ind w:right="360"/>
        <w:spacing w:after="0" w:line="245" w:lineRule="auto"/>
        <w:rPr>
          <w:sz w:val="20"/>
          <w:szCs w:val="20"/>
          <w:color w:val="auto"/>
        </w:rPr>
      </w:pPr>
      <w:r>
        <w:rPr>
          <w:rFonts w:ascii="Calibri" w:cs="Calibri" w:eastAsia="Calibri" w:hAnsi="Calibri"/>
          <w:sz w:val="14"/>
          <w:szCs w:val="14"/>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82" w:lineRule="exact"/>
        <w:rPr>
          <w:sz w:val="24"/>
          <w:szCs w:val="24"/>
          <w:color w:val="auto"/>
        </w:rPr>
      </w:pPr>
    </w:p>
    <w:tbl>
      <w:tblPr>
        <w:tblLayout w:type="fixed"/>
        <w:tblInd w:w="20" w:type="dxa"/>
        <w:tblCellMar>
          <w:top w:w="0" w:type="dxa"/>
          <w:left w:w="0" w:type="dxa"/>
          <w:bottom w:w="0" w:type="dxa"/>
          <w:right w:w="0" w:type="dxa"/>
        </w:tblCellMar>
      </w:tblPr>
      <w:tr>
        <w:trPr>
          <w:trHeight w:val="171"/>
        </w:trPr>
        <w:tc>
          <w:tcPr>
            <w:tcW w:w="2600" w:type="dxa"/>
            <w:vAlign w:val="bottom"/>
          </w:tcPr>
          <w:p>
            <w:pPr>
              <w:spacing w:after="0"/>
              <w:rPr>
                <w:sz w:val="20"/>
                <w:szCs w:val="20"/>
                <w:color w:val="auto"/>
              </w:rPr>
            </w:pPr>
            <w:r>
              <w:rPr>
                <w:rFonts w:ascii="Calibri" w:cs="Calibri" w:eastAsia="Calibri" w:hAnsi="Calibri"/>
                <w:sz w:val="14"/>
                <w:szCs w:val="14"/>
                <w:color w:val="auto"/>
              </w:rPr>
              <w:t>Large accelerated fler</w:t>
            </w:r>
          </w:p>
        </w:tc>
        <w:tc>
          <w:tcPr>
            <w:tcW w:w="2920" w:type="dxa"/>
            <w:vAlign w:val="bottom"/>
            <w:vMerge w:val="restart"/>
          </w:tcPr>
          <w:p>
            <w:pPr>
              <w:ind w:left="1020"/>
              <w:spacing w:after="0"/>
              <w:rPr>
                <w:sz w:val="20"/>
                <w:szCs w:val="20"/>
                <w:color w:val="auto"/>
              </w:rPr>
            </w:pPr>
            <w:r>
              <w:rPr>
                <w:rFonts w:ascii="Wingdings" w:cs="Wingdings" w:eastAsia="Wingdings" w:hAnsi="Wingdings"/>
                <w:sz w:val="14"/>
                <w:szCs w:val="14"/>
                <w:b w:val="1"/>
                <w:bCs w:val="1"/>
                <w:color w:val="auto"/>
              </w:rPr>
              <w:t>o</w:t>
            </w:r>
          </w:p>
        </w:tc>
        <w:tc>
          <w:tcPr>
            <w:tcW w:w="4340" w:type="dxa"/>
            <w:vAlign w:val="bottom"/>
          </w:tcPr>
          <w:p>
            <w:pPr>
              <w:ind w:left="1740"/>
              <w:spacing w:after="0"/>
              <w:rPr>
                <w:sz w:val="20"/>
                <w:szCs w:val="20"/>
                <w:color w:val="auto"/>
              </w:rPr>
            </w:pPr>
            <w:r>
              <w:rPr>
                <w:rFonts w:ascii="Calibri" w:cs="Calibri" w:eastAsia="Calibri" w:hAnsi="Calibri"/>
                <w:sz w:val="14"/>
                <w:szCs w:val="14"/>
                <w:color w:val="auto"/>
              </w:rPr>
              <w:t>Accelerated fler</w:t>
            </w:r>
          </w:p>
        </w:tc>
        <w:tc>
          <w:tcPr>
            <w:tcW w:w="1180" w:type="dxa"/>
            <w:vAlign w:val="bottom"/>
            <w:vMerge w:val="restart"/>
          </w:tcPr>
          <w:p>
            <w:pPr>
              <w:ind w:left="102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90"/>
        </w:trPr>
        <w:tc>
          <w:tcPr>
            <w:tcW w:w="260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43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0" w:type="dxa"/>
            <w:vAlign w:val="bottom"/>
          </w:tcPr>
          <w:p>
            <w:pPr>
              <w:spacing w:after="0"/>
              <w:rPr>
                <w:sz w:val="20"/>
                <w:szCs w:val="20"/>
                <w:color w:val="auto"/>
              </w:rPr>
            </w:pPr>
            <w:r>
              <w:rPr>
                <w:rFonts w:ascii="Calibri" w:cs="Calibri" w:eastAsia="Calibri" w:hAnsi="Calibri"/>
                <w:sz w:val="14"/>
                <w:szCs w:val="14"/>
                <w:color w:val="auto"/>
              </w:rPr>
              <w:t>Non-accelerated fler</w:t>
            </w:r>
          </w:p>
        </w:tc>
        <w:tc>
          <w:tcPr>
            <w:tcW w:w="2920" w:type="dxa"/>
            <w:vAlign w:val="bottom"/>
            <w:vMerge w:val="restart"/>
          </w:tcPr>
          <w:p>
            <w:pPr>
              <w:ind w:left="1020"/>
              <w:spacing w:after="0"/>
              <w:rPr>
                <w:sz w:val="20"/>
                <w:szCs w:val="20"/>
                <w:color w:val="auto"/>
              </w:rPr>
            </w:pPr>
            <w:r>
              <w:rPr>
                <w:rFonts w:ascii="Wingdings" w:cs="Wingdings" w:eastAsia="Wingdings" w:hAnsi="Wingdings"/>
                <w:sz w:val="14"/>
                <w:szCs w:val="14"/>
                <w:b w:val="1"/>
                <w:bCs w:val="1"/>
                <w:color w:val="auto"/>
              </w:rPr>
              <w:t>x</w:t>
            </w:r>
          </w:p>
        </w:tc>
        <w:tc>
          <w:tcPr>
            <w:tcW w:w="4340" w:type="dxa"/>
            <w:vAlign w:val="bottom"/>
          </w:tcPr>
          <w:p>
            <w:pPr>
              <w:ind w:left="1740"/>
              <w:spacing w:after="0"/>
              <w:rPr>
                <w:sz w:val="20"/>
                <w:szCs w:val="20"/>
                <w:color w:val="auto"/>
              </w:rPr>
            </w:pPr>
            <w:r>
              <w:rPr>
                <w:rFonts w:ascii="Calibri" w:cs="Calibri" w:eastAsia="Calibri" w:hAnsi="Calibri"/>
                <w:sz w:val="14"/>
                <w:szCs w:val="14"/>
                <w:color w:val="auto"/>
              </w:rPr>
              <w:t>Smaller reportng company</w:t>
            </w:r>
          </w:p>
        </w:tc>
        <w:tc>
          <w:tcPr>
            <w:tcW w:w="1180" w:type="dxa"/>
            <w:vAlign w:val="bottom"/>
            <w:vMerge w:val="restart"/>
          </w:tcPr>
          <w:p>
            <w:pPr>
              <w:ind w:left="1020"/>
              <w:spacing w:after="0"/>
              <w:rPr>
                <w:sz w:val="20"/>
                <w:szCs w:val="20"/>
                <w:color w:val="auto"/>
              </w:rPr>
            </w:pPr>
            <w:r>
              <w:rPr>
                <w:rFonts w:ascii="Wingdings" w:cs="Wingdings" w:eastAsia="Wingdings" w:hAnsi="Wingdings"/>
                <w:sz w:val="14"/>
                <w:szCs w:val="14"/>
                <w:b w:val="1"/>
                <w:bCs w:val="1"/>
                <w:color w:val="auto"/>
                <w:w w:val="94"/>
              </w:rPr>
              <w:t>x</w:t>
            </w:r>
          </w:p>
        </w:tc>
        <w:tc>
          <w:tcPr>
            <w:tcW w:w="0" w:type="dxa"/>
            <w:vAlign w:val="bottom"/>
          </w:tcPr>
          <w:p>
            <w:pPr>
              <w:spacing w:after="0"/>
              <w:rPr>
                <w:sz w:val="1"/>
                <w:szCs w:val="1"/>
                <w:color w:val="auto"/>
              </w:rPr>
            </w:pPr>
          </w:p>
        </w:tc>
      </w:tr>
      <w:tr>
        <w:trPr>
          <w:trHeight w:val="91"/>
        </w:trPr>
        <w:tc>
          <w:tcPr>
            <w:tcW w:w="260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43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0" w:type="dxa"/>
            <w:vAlign w:val="bottom"/>
          </w:tcPr>
          <w:p>
            <w:pPr>
              <w:spacing w:after="0"/>
              <w:rPr>
                <w:sz w:val="20"/>
                <w:szCs w:val="20"/>
                <w:color w:val="auto"/>
              </w:rPr>
            </w:pPr>
            <w:r>
              <w:rPr>
                <w:rFonts w:ascii="Calibri" w:cs="Calibri" w:eastAsia="Calibri" w:hAnsi="Calibri"/>
                <w:sz w:val="14"/>
                <w:szCs w:val="14"/>
                <w:color w:val="auto"/>
              </w:rPr>
              <w:t>Emerging growth company</w:t>
            </w:r>
          </w:p>
        </w:tc>
        <w:tc>
          <w:tcPr>
            <w:tcW w:w="2920" w:type="dxa"/>
            <w:vAlign w:val="bottom"/>
            <w:vMerge w:val="restart"/>
          </w:tcPr>
          <w:p>
            <w:pPr>
              <w:ind w:left="1020"/>
              <w:spacing w:after="0"/>
              <w:rPr>
                <w:sz w:val="20"/>
                <w:szCs w:val="20"/>
                <w:color w:val="auto"/>
              </w:rPr>
            </w:pPr>
            <w:r>
              <w:rPr>
                <w:rFonts w:ascii="Wingdings" w:cs="Wingdings" w:eastAsia="Wingdings" w:hAnsi="Wingdings"/>
                <w:sz w:val="14"/>
                <w:szCs w:val="14"/>
                <w:b w:val="1"/>
                <w:bCs w:val="1"/>
                <w:color w:val="auto"/>
              </w:rPr>
              <w:t>x</w:t>
            </w:r>
          </w:p>
        </w:tc>
        <w:tc>
          <w:tcPr>
            <w:tcW w:w="4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60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4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8" w:lineRule="exact"/>
        <w:rPr>
          <w:sz w:val="24"/>
          <w:szCs w:val="24"/>
          <w:color w:val="auto"/>
        </w:rPr>
      </w:pPr>
    </w:p>
    <w:p>
      <w:pPr>
        <w:ind w:right="420"/>
        <w:spacing w:after="0" w:line="283" w:lineRule="auto"/>
        <w:rPr>
          <w:sz w:val="20"/>
          <w:szCs w:val="20"/>
          <w:color w:val="auto"/>
        </w:rPr>
      </w:pPr>
      <w:r>
        <w:rPr>
          <w:rFonts w:ascii="Calibri" w:cs="Calibri" w:eastAsia="Calibri" w:hAnsi="Calibri"/>
          <w:sz w:val="14"/>
          <w:szCs w:val="14"/>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Wingdings" w:cs="Wingdings" w:eastAsia="Wingdings" w:hAnsi="Wingdings"/>
          <w:sz w:val="14"/>
          <w:szCs w:val="14"/>
          <w:b w:val="1"/>
          <w:bCs w:val="1"/>
          <w:color w:val="auto"/>
        </w:rPr>
        <w:t>o</w:t>
      </w:r>
    </w:p>
    <w:p>
      <w:pPr>
        <w:spacing w:after="0" w:line="29" w:lineRule="exact"/>
        <w:rPr>
          <w:sz w:val="24"/>
          <w:szCs w:val="24"/>
          <w:color w:val="auto"/>
        </w:rPr>
      </w:pPr>
    </w:p>
    <w:p>
      <w:pPr>
        <w:ind w:right="240"/>
        <w:spacing w:after="0" w:line="283" w:lineRule="auto"/>
        <w:rPr>
          <w:sz w:val="20"/>
          <w:szCs w:val="20"/>
          <w:color w:val="auto"/>
        </w:rPr>
      </w:pPr>
      <w:r>
        <w:rPr>
          <w:rFonts w:ascii="Calibri" w:cs="Calibri" w:eastAsia="Calibri" w:hAnsi="Calibri"/>
          <w:sz w:val="14"/>
          <w:szCs w:val="14"/>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Wingdings" w:cs="Wingdings" w:eastAsia="Wingdings" w:hAnsi="Wingdings"/>
          <w:sz w:val="14"/>
          <w:szCs w:val="14"/>
          <w:b w:val="1"/>
          <w:bCs w:val="1"/>
          <w:color w:val="auto"/>
        </w:rPr>
        <w:t>o</w:t>
      </w:r>
    </w:p>
    <w:p>
      <w:pPr>
        <w:spacing w:after="0" w:line="69" w:lineRule="exact"/>
        <w:rPr>
          <w:sz w:val="24"/>
          <w:szCs w:val="24"/>
          <w:color w:val="auto"/>
        </w:rPr>
      </w:pPr>
    </w:p>
    <w:p>
      <w:pPr>
        <w:ind w:right="80"/>
        <w:spacing w:after="0" w:line="189" w:lineRule="exact"/>
        <w:rPr>
          <w:sz w:val="20"/>
          <w:szCs w:val="20"/>
          <w:color w:val="auto"/>
        </w:rPr>
      </w:pPr>
      <w:r>
        <w:rPr>
          <w:rFonts w:ascii="Calibri" w:cs="Calibri" w:eastAsia="Calibri" w:hAnsi="Calibri"/>
          <w:sz w:val="14"/>
          <w:szCs w:val="14"/>
          <w:color w:val="auto"/>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4"/>
          <w:szCs w:val="14"/>
          <w:color w:val="auto"/>
        </w:rPr>
        <w:t>☐</w:t>
      </w:r>
    </w:p>
    <w:p>
      <w:pPr>
        <w:spacing w:after="0" w:line="217" w:lineRule="exact"/>
        <w:rPr>
          <w:sz w:val="24"/>
          <w:szCs w:val="24"/>
          <w:color w:val="auto"/>
        </w:rPr>
      </w:pPr>
    </w:p>
    <w:p>
      <w:pPr>
        <w:ind w:right="40"/>
        <w:spacing w:after="0" w:line="182" w:lineRule="exact"/>
        <w:rPr>
          <w:sz w:val="20"/>
          <w:szCs w:val="20"/>
          <w:color w:val="auto"/>
        </w:rPr>
      </w:pPr>
      <w:r>
        <w:rPr>
          <w:rFonts w:ascii="Calibri" w:cs="Calibri" w:eastAsia="Calibri" w:hAnsi="Calibri"/>
          <w:sz w:val="14"/>
          <w:szCs w:val="14"/>
          <w:color w:val="auto"/>
        </w:rPr>
        <w:t xml:space="preserve">Indicate by check mark whether any of those error correctons are restatements that required a recovery analysis of incentve-based compensaton received by any of the Registrant’s executve ofcers during the relevant recovery period pursuant to §240.10D-1(b). </w:t>
      </w:r>
      <w:r>
        <w:rPr>
          <w:rFonts w:ascii="MS PGothic" w:cs="MS PGothic" w:eastAsia="MS PGothic" w:hAnsi="MS PGothic"/>
          <w:sz w:val="14"/>
          <w:szCs w:val="14"/>
          <w:color w:val="auto"/>
        </w:rPr>
        <w:t>☐</w:t>
      </w:r>
    </w:p>
    <w:p>
      <w:pPr>
        <w:spacing w:after="0" w:line="41" w:lineRule="exact"/>
        <w:rPr>
          <w:sz w:val="24"/>
          <w:szCs w:val="24"/>
          <w:color w:val="auto"/>
        </w:rPr>
      </w:pPr>
    </w:p>
    <w:p>
      <w:pPr>
        <w:spacing w:after="0"/>
        <w:tabs>
          <w:tab w:leader="none" w:pos="7080" w:val="left"/>
        </w:tabs>
        <w:rPr>
          <w:sz w:val="20"/>
          <w:szCs w:val="20"/>
          <w:color w:val="auto"/>
        </w:rPr>
      </w:pPr>
      <w:r>
        <w:rPr>
          <w:rFonts w:ascii="Calibri" w:cs="Calibri" w:eastAsia="Calibri" w:hAnsi="Calibri"/>
          <w:sz w:val="14"/>
          <w:szCs w:val="14"/>
          <w:color w:val="auto"/>
        </w:rPr>
        <w:t xml:space="preserve">Indicate by check mark whether the Registrant is a shell company (as defned in Rule 12b-2 of the Exchange Act). Yes </w:t>
      </w:r>
      <w:r>
        <w:rPr>
          <w:rFonts w:ascii="Wingdings" w:cs="Wingdings" w:eastAsia="Wingdings" w:hAnsi="Wingdings"/>
          <w:sz w:val="14"/>
          <w:szCs w:val="14"/>
          <w:b w:val="1"/>
          <w:bCs w:val="1"/>
          <w:color w:val="auto"/>
        </w:rPr>
        <w:t>o</w:t>
      </w:r>
      <w:r>
        <w:rPr>
          <w:rFonts w:ascii="Calibri" w:cs="Calibri" w:eastAsia="Calibri" w:hAnsi="Calibri"/>
          <w:sz w:val="14"/>
          <w:szCs w:val="14"/>
          <w:color w:val="auto"/>
        </w:rPr>
        <w:tab/>
        <w:t xml:space="preserve">No </w:t>
      </w:r>
      <w:r>
        <w:rPr>
          <w:rFonts w:ascii="Wingdings" w:cs="Wingdings" w:eastAsia="Wingdings" w:hAnsi="Wingdings"/>
          <w:sz w:val="14"/>
          <w:szCs w:val="14"/>
          <w:b w:val="1"/>
          <w:bCs w:val="1"/>
          <w:color w:val="auto"/>
        </w:rPr>
        <w:t>x</w:t>
      </w:r>
    </w:p>
    <w:p>
      <w:pPr>
        <w:spacing w:after="0" w:line="60" w:lineRule="exact"/>
        <w:rPr>
          <w:sz w:val="24"/>
          <w:szCs w:val="24"/>
          <w:color w:val="auto"/>
        </w:rPr>
      </w:pPr>
    </w:p>
    <w:p>
      <w:pPr>
        <w:ind w:right="140"/>
        <w:spacing w:after="0" w:line="245" w:lineRule="auto"/>
        <w:rPr>
          <w:sz w:val="20"/>
          <w:szCs w:val="20"/>
          <w:color w:val="auto"/>
        </w:rPr>
      </w:pPr>
      <w:r>
        <w:rPr>
          <w:rFonts w:ascii="Calibri" w:cs="Calibri" w:eastAsia="Calibri" w:hAnsi="Calibri"/>
          <w:sz w:val="14"/>
          <w:szCs w:val="14"/>
          <w:color w:val="auto"/>
        </w:rPr>
        <w:t>Based on the closing sale price of $2.69 of the Registrant's Class A common stock on The Nasdaq Global Select Market on June 30, 2024, the last business day of the Registrant’s most recently completed second fscal quarter, the aggregate market value of the votng common equity held by non-afliates of the Registrant was $20,648,389.</w:t>
      </w:r>
    </w:p>
    <w:p>
      <w:pPr>
        <w:spacing w:after="0" w:line="299" w:lineRule="exact"/>
        <w:rPr>
          <w:sz w:val="24"/>
          <w:szCs w:val="24"/>
          <w:color w:val="auto"/>
        </w:rPr>
      </w:pPr>
    </w:p>
    <w:p>
      <w:pPr>
        <w:ind w:right="280"/>
        <w:spacing w:after="0" w:line="245" w:lineRule="auto"/>
        <w:rPr>
          <w:sz w:val="20"/>
          <w:szCs w:val="20"/>
          <w:color w:val="auto"/>
        </w:rPr>
      </w:pPr>
      <w:r>
        <w:rPr>
          <w:rFonts w:ascii="Calibri" w:cs="Calibri" w:eastAsia="Calibri" w:hAnsi="Calibri"/>
          <w:sz w:val="14"/>
          <w:szCs w:val="14"/>
          <w:color w:val="auto"/>
        </w:rPr>
        <w:t>As of March 25, 2025, the Registrant had 11,741,704 shares of Class A common stock, $0.0001 par value per share, outstanding and 2,733,394 shares of Class B common stock, $0.0001 par value per share, outstanding.</w:t>
      </w:r>
    </w:p>
    <w:p>
      <w:pPr>
        <w:spacing w:after="0" w:line="42" w:lineRule="exact"/>
        <w:rPr>
          <w:sz w:val="24"/>
          <w:szCs w:val="24"/>
          <w:color w:val="auto"/>
        </w:rPr>
      </w:pPr>
    </w:p>
    <w:p>
      <w:pPr>
        <w:jc w:val="center"/>
        <w:ind w:right="-19"/>
        <w:spacing w:after="0"/>
        <w:rPr>
          <w:sz w:val="20"/>
          <w:szCs w:val="20"/>
          <w:color w:val="auto"/>
        </w:rPr>
      </w:pPr>
      <w:r>
        <w:rPr>
          <w:rFonts w:ascii="Calibri" w:cs="Calibri" w:eastAsia="Calibri" w:hAnsi="Calibri"/>
          <w:sz w:val="14"/>
          <w:szCs w:val="14"/>
          <w:color w:val="auto"/>
        </w:rPr>
        <w:t>DOCUMENTS INCORPORATED BY REFERENCE</w:t>
      </w:r>
    </w:p>
    <w:p>
      <w:pPr>
        <w:spacing w:after="0" w:line="5" w:lineRule="exact"/>
        <w:rPr>
          <w:sz w:val="24"/>
          <w:szCs w:val="24"/>
          <w:color w:val="auto"/>
        </w:rPr>
      </w:pPr>
    </w:p>
    <w:p>
      <w:pPr>
        <w:spacing w:after="0"/>
        <w:rPr>
          <w:sz w:val="20"/>
          <w:szCs w:val="20"/>
          <w:color w:val="auto"/>
        </w:rPr>
      </w:pPr>
      <w:r>
        <w:rPr>
          <w:rFonts w:ascii="Calibri" w:cs="Calibri" w:eastAsia="Calibri" w:hAnsi="Calibri"/>
          <w:sz w:val="14"/>
          <w:szCs w:val="14"/>
          <w:color w:val="auto"/>
        </w:rPr>
        <w:t>Portons of the Registrant’s defnitve proxy statement for its 2025 Annual Meetng of Stockholders are incorporated by reference in Part III of this Annual Report on Form 10-K where indicated.</w:t>
      </w:r>
    </w:p>
    <w:p>
      <w:pPr>
        <w:spacing w:after="0" w:line="227" w:lineRule="auto"/>
        <w:rPr>
          <w:sz w:val="20"/>
          <w:szCs w:val="20"/>
          <w:color w:val="auto"/>
        </w:rPr>
      </w:pPr>
      <w:r>
        <w:rPr>
          <w:rFonts w:ascii="Calibri" w:cs="Calibri" w:eastAsia="Calibri" w:hAnsi="Calibri"/>
          <w:sz w:val="14"/>
          <w:szCs w:val="14"/>
          <w:color w:val="auto"/>
        </w:rPr>
        <w:t>The Registrant's defnitve proxy statement will be fled with the Securites and Exchange Commission within 120 days afer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32" w:right="359" w:bottom="184"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401955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80" w:type="dxa"/>
            <w:vAlign w:val="bottom"/>
            <w:gridSpan w:val="9"/>
          </w:tcPr>
          <w:p>
            <w:pPr>
              <w:jc w:val="center"/>
              <w:ind w:right="3740"/>
              <w:spacing w:after="0"/>
              <w:rPr>
                <w:sz w:val="20"/>
                <w:szCs w:val="20"/>
                <w:color w:val="auto"/>
              </w:rPr>
            </w:pPr>
            <w:r>
              <w:rPr>
                <w:rFonts w:ascii="Calibri" w:cs="Calibri" w:eastAsia="Calibri" w:hAnsi="Calibri"/>
                <w:sz w:val="18"/>
                <w:szCs w:val="18"/>
                <w:b w:val="1"/>
                <w:bCs w:val="1"/>
                <w:color w:val="auto"/>
                <w:w w:val="95"/>
              </w:rPr>
              <w:t>Table of Contents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jc w:val="right"/>
              <w:ind w:right="231"/>
              <w:spacing w:after="0"/>
              <w:rPr>
                <w:sz w:val="20"/>
                <w:szCs w:val="20"/>
                <w:color w:val="auto"/>
              </w:rPr>
            </w:pPr>
            <w:r>
              <w:rPr>
                <w:rFonts w:ascii="Calibri" w:cs="Calibri" w:eastAsia="Calibri" w:hAnsi="Calibri"/>
                <w:sz w:val="14"/>
                <w:szCs w:val="14"/>
                <w:b w:val="1"/>
                <w:bCs w:val="1"/>
                <w:color w:val="auto"/>
              </w:rPr>
              <w:t>Page</w:t>
            </w:r>
          </w:p>
        </w:tc>
        <w:tc>
          <w:tcPr>
            <w:tcW w:w="0" w:type="dxa"/>
            <w:vAlign w:val="bottom"/>
          </w:tcPr>
          <w:p>
            <w:pPr>
              <w:spacing w:after="0"/>
              <w:rPr>
                <w:sz w:val="1"/>
                <w:szCs w:val="1"/>
                <w:color w:val="auto"/>
              </w:rPr>
            </w:pPr>
          </w:p>
        </w:tc>
      </w:tr>
      <w:tr>
        <w:trPr>
          <w:trHeight w:val="47"/>
        </w:trPr>
        <w:tc>
          <w:tcPr>
            <w:tcW w:w="138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PART I</w:t>
            </w: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38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380" w:type="dxa"/>
            <w:vAlign w:val="bottom"/>
          </w:tcPr>
          <w:p>
            <w:pPr>
              <w:ind w:left="140"/>
              <w:spacing w:after="0" w:line="199" w:lineRule="exact"/>
              <w:rPr>
                <w:sz w:val="20"/>
                <w:szCs w:val="20"/>
                <w:color w:val="auto"/>
              </w:rPr>
            </w:pPr>
            <w:r>
              <w:rPr>
                <w:rFonts w:ascii="Calibri" w:cs="Calibri" w:eastAsia="Calibri" w:hAnsi="Calibri"/>
                <w:sz w:val="18"/>
                <w:szCs w:val="18"/>
                <w:color w:val="auto"/>
              </w:rPr>
              <w:t>Item 1.</w:t>
            </w:r>
          </w:p>
        </w:tc>
        <w:tc>
          <w:tcPr>
            <w:tcW w:w="620" w:type="dxa"/>
            <w:vAlign w:val="bottom"/>
            <w:tcBorders>
              <w:bottom w:val="single" w:sz="8" w:color="0000FF"/>
            </w:tcBorders>
          </w:tcPr>
          <w:p>
            <w:pPr>
              <w:spacing w:after="0" w:line="199" w:lineRule="exact"/>
              <w:rPr>
                <w:sz w:val="20"/>
                <w:szCs w:val="20"/>
                <w:color w:val="auto"/>
              </w:rPr>
            </w:pPr>
            <w:r>
              <w:rPr>
                <w:rFonts w:ascii="Calibri" w:cs="Calibri" w:eastAsia="Calibri" w:hAnsi="Calibri"/>
                <w:sz w:val="18"/>
                <w:szCs w:val="18"/>
                <w:color w:val="0000FF"/>
                <w:w w:val="95"/>
              </w:rPr>
              <w:t>Business</w:t>
            </w:r>
          </w:p>
        </w:tc>
        <w:tc>
          <w:tcPr>
            <w:tcW w:w="8340" w:type="dxa"/>
            <w:vAlign w:val="bottom"/>
            <w:gridSpan w:val="21"/>
          </w:tcPr>
          <w:p>
            <w:pPr>
              <w:spacing w:after="0"/>
              <w:rPr>
                <w:sz w:val="17"/>
                <w:szCs w:val="17"/>
                <w:color w:val="auto"/>
              </w:rPr>
            </w:pPr>
          </w:p>
        </w:tc>
        <w:tc>
          <w:tcPr>
            <w:tcW w:w="900" w:type="dxa"/>
            <w:vAlign w:val="bottom"/>
          </w:tcPr>
          <w:p>
            <w:pPr>
              <w:jc w:val="right"/>
              <w:spacing w:after="0" w:line="199" w:lineRule="exact"/>
              <w:rPr>
                <w:sz w:val="20"/>
                <w:szCs w:val="20"/>
                <w:color w:val="auto"/>
              </w:rPr>
            </w:pPr>
            <w:r>
              <w:rPr>
                <w:rFonts w:ascii="Calibri" w:cs="Calibri" w:eastAsia="Calibri" w:hAnsi="Calibri"/>
                <w:sz w:val="18"/>
                <w:szCs w:val="18"/>
                <w:color w:val="auto"/>
              </w:rPr>
              <w:t>7</w:t>
            </w:r>
          </w:p>
        </w:tc>
        <w:tc>
          <w:tcPr>
            <w:tcW w:w="0" w:type="dxa"/>
            <w:vAlign w:val="bottom"/>
          </w:tcPr>
          <w:p>
            <w:pPr>
              <w:spacing w:after="0"/>
              <w:rPr>
                <w:sz w:val="1"/>
                <w:szCs w:val="1"/>
                <w:color w:val="auto"/>
              </w:rPr>
            </w:pPr>
          </w:p>
        </w:tc>
      </w:tr>
      <w:tr>
        <w:trPr>
          <w:trHeight w:val="209"/>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1A.</w:t>
            </w:r>
          </w:p>
        </w:tc>
        <w:tc>
          <w:tcPr>
            <w:tcW w:w="8960" w:type="dxa"/>
            <w:vAlign w:val="bottom"/>
            <w:gridSpan w:val="22"/>
          </w:tcPr>
          <w:p>
            <w:pPr>
              <w:spacing w:after="0" w:line="209" w:lineRule="exact"/>
              <w:rPr>
                <w:sz w:val="20"/>
                <w:szCs w:val="20"/>
                <w:color w:val="auto"/>
              </w:rPr>
            </w:pPr>
            <w:r>
              <w:rPr>
                <w:rFonts w:ascii="Calibri" w:cs="Calibri" w:eastAsia="Calibri" w:hAnsi="Calibri"/>
                <w:sz w:val="18"/>
                <w:szCs w:val="18"/>
                <w:color w:val="0000FF"/>
              </w:rPr>
              <w:t>Risk Factors</w:t>
            </w: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20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1B.</w:t>
            </w:r>
          </w:p>
        </w:tc>
        <w:tc>
          <w:tcPr>
            <w:tcW w:w="8960" w:type="dxa"/>
            <w:vAlign w:val="bottom"/>
            <w:gridSpan w:val="22"/>
          </w:tcPr>
          <w:p>
            <w:pPr>
              <w:spacing w:after="0" w:line="209" w:lineRule="exact"/>
              <w:rPr>
                <w:sz w:val="20"/>
                <w:szCs w:val="20"/>
                <w:color w:val="auto"/>
              </w:rPr>
            </w:pPr>
            <w:r>
              <w:rPr>
                <w:rFonts w:ascii="Calibri" w:cs="Calibri" w:eastAsia="Calibri" w:hAnsi="Calibri"/>
                <w:sz w:val="18"/>
                <w:szCs w:val="18"/>
                <w:color w:val="0000FF"/>
              </w:rPr>
              <w:t>Unresolved Staf Comments</w:t>
            </w: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48</w:t>
            </w:r>
          </w:p>
        </w:tc>
        <w:tc>
          <w:tcPr>
            <w:tcW w:w="0" w:type="dxa"/>
            <w:vAlign w:val="bottom"/>
          </w:tcPr>
          <w:p>
            <w:pPr>
              <w:spacing w:after="0"/>
              <w:rPr>
                <w:sz w:val="1"/>
                <w:szCs w:val="1"/>
                <w:color w:val="auto"/>
              </w:rPr>
            </w:pPr>
          </w:p>
        </w:tc>
      </w:tr>
      <w:tr>
        <w:trPr>
          <w:trHeight w:val="209"/>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1C.</w:t>
            </w:r>
          </w:p>
        </w:tc>
        <w:tc>
          <w:tcPr>
            <w:tcW w:w="1980" w:type="dxa"/>
            <w:vAlign w:val="bottom"/>
            <w:tcBorders>
              <w:top w:val="single" w:sz="8" w:color="0000FF"/>
            </w:tcBorders>
            <w:gridSpan w:val="10"/>
          </w:tcPr>
          <w:p>
            <w:pPr>
              <w:spacing w:after="0" w:line="209" w:lineRule="exact"/>
              <w:rPr>
                <w:sz w:val="20"/>
                <w:szCs w:val="20"/>
                <w:color w:val="auto"/>
              </w:rPr>
            </w:pPr>
            <w:r>
              <w:rPr>
                <w:rFonts w:ascii="Calibri" w:cs="Calibri" w:eastAsia="Calibri" w:hAnsi="Calibri"/>
                <w:sz w:val="18"/>
                <w:szCs w:val="18"/>
                <w:color w:val="0000FF"/>
              </w:rPr>
              <w:t>Cybersecurity</w:t>
            </w:r>
          </w:p>
        </w:tc>
        <w:tc>
          <w:tcPr>
            <w:tcW w:w="6980" w:type="dxa"/>
            <w:vAlign w:val="bottom"/>
            <w:gridSpan w:val="12"/>
          </w:tcPr>
          <w:p>
            <w:pPr>
              <w:spacing w:after="0"/>
              <w:rPr>
                <w:sz w:val="18"/>
                <w:szCs w:val="18"/>
                <w:color w:val="auto"/>
              </w:rPr>
            </w:pP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48</w:t>
            </w:r>
          </w:p>
        </w:tc>
        <w:tc>
          <w:tcPr>
            <w:tcW w:w="0" w:type="dxa"/>
            <w:vAlign w:val="bottom"/>
          </w:tcPr>
          <w:p>
            <w:pPr>
              <w:spacing w:after="0"/>
              <w:rPr>
                <w:sz w:val="1"/>
                <w:szCs w:val="1"/>
                <w:color w:val="auto"/>
              </w:rPr>
            </w:pPr>
          </w:p>
        </w:tc>
      </w:tr>
      <w:tr>
        <w:trPr>
          <w:trHeight w:val="210"/>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2.</w:t>
            </w:r>
          </w:p>
        </w:tc>
        <w:tc>
          <w:tcPr>
            <w:tcW w:w="740" w:type="dxa"/>
            <w:vAlign w:val="bottom"/>
            <w:tcBorders>
              <w:top w:val="single" w:sz="8" w:color="0000FF"/>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rPr>
              <w:t>Propertes</w:t>
            </w:r>
          </w:p>
        </w:tc>
        <w:tc>
          <w:tcPr>
            <w:tcW w:w="220" w:type="dxa"/>
            <w:vAlign w:val="bottom"/>
            <w:tcBorders>
              <w:top w:val="single" w:sz="8" w:color="0000FF"/>
            </w:tcBorders>
            <w:gridSpan w:val="2"/>
          </w:tcPr>
          <w:p>
            <w:pPr>
              <w:spacing w:after="0"/>
              <w:rPr>
                <w:sz w:val="18"/>
                <w:szCs w:val="18"/>
                <w:color w:val="auto"/>
              </w:rPr>
            </w:pPr>
          </w:p>
        </w:tc>
        <w:tc>
          <w:tcPr>
            <w:tcW w:w="8000" w:type="dxa"/>
            <w:vAlign w:val="bottom"/>
            <w:gridSpan w:val="18"/>
          </w:tcPr>
          <w:p>
            <w:pPr>
              <w:spacing w:after="0"/>
              <w:rPr>
                <w:sz w:val="18"/>
                <w:szCs w:val="18"/>
                <w:color w:val="auto"/>
              </w:rPr>
            </w:pP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48</w:t>
            </w:r>
          </w:p>
        </w:tc>
        <w:tc>
          <w:tcPr>
            <w:tcW w:w="0" w:type="dxa"/>
            <w:vAlign w:val="bottom"/>
          </w:tcPr>
          <w:p>
            <w:pPr>
              <w:spacing w:after="0"/>
              <w:rPr>
                <w:sz w:val="1"/>
                <w:szCs w:val="1"/>
                <w:color w:val="auto"/>
              </w:rPr>
            </w:pPr>
          </w:p>
        </w:tc>
      </w:tr>
      <w:tr>
        <w:trPr>
          <w:trHeight w:val="210"/>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3.</w:t>
            </w:r>
          </w:p>
        </w:tc>
        <w:tc>
          <w:tcPr>
            <w:tcW w:w="8960" w:type="dxa"/>
            <w:vAlign w:val="bottom"/>
            <w:gridSpan w:val="22"/>
          </w:tcPr>
          <w:p>
            <w:pPr>
              <w:spacing w:after="0" w:line="209" w:lineRule="exact"/>
              <w:rPr>
                <w:sz w:val="20"/>
                <w:szCs w:val="20"/>
                <w:color w:val="auto"/>
              </w:rPr>
            </w:pPr>
            <w:r>
              <w:rPr>
                <w:rFonts w:ascii="Calibri" w:cs="Calibri" w:eastAsia="Calibri" w:hAnsi="Calibri"/>
                <w:sz w:val="18"/>
                <w:szCs w:val="18"/>
                <w:color w:val="0000FF"/>
              </w:rPr>
              <w:t>Legal Proceedings</w:t>
            </w: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49</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4.</w:t>
            </w:r>
          </w:p>
        </w:tc>
        <w:tc>
          <w:tcPr>
            <w:tcW w:w="8960" w:type="dxa"/>
            <w:vAlign w:val="bottom"/>
            <w:gridSpan w:val="22"/>
          </w:tcPr>
          <w:p>
            <w:pPr>
              <w:spacing w:after="0" w:line="209" w:lineRule="exact"/>
              <w:rPr>
                <w:sz w:val="20"/>
                <w:szCs w:val="20"/>
                <w:color w:val="auto"/>
              </w:rPr>
            </w:pPr>
            <w:r>
              <w:rPr>
                <w:rFonts w:ascii="Calibri" w:cs="Calibri" w:eastAsia="Calibri" w:hAnsi="Calibri"/>
                <w:sz w:val="18"/>
                <w:szCs w:val="18"/>
                <w:color w:val="0000FF"/>
              </w:rPr>
              <w:t>Mine Safety Disclosures</w:t>
            </w: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49</w:t>
            </w:r>
          </w:p>
        </w:tc>
        <w:tc>
          <w:tcPr>
            <w:tcW w:w="0" w:type="dxa"/>
            <w:vAlign w:val="bottom"/>
          </w:tcPr>
          <w:p>
            <w:pPr>
              <w:spacing w:after="0"/>
              <w:rPr>
                <w:sz w:val="1"/>
                <w:szCs w:val="1"/>
                <w:color w:val="auto"/>
              </w:rPr>
            </w:pPr>
          </w:p>
        </w:tc>
      </w:tr>
      <w:tr>
        <w:trPr>
          <w:trHeight w:val="510"/>
        </w:trPr>
        <w:tc>
          <w:tcPr>
            <w:tcW w:w="1380" w:type="dxa"/>
            <w:vAlign w:val="bottom"/>
          </w:tcPr>
          <w:p>
            <w:pPr>
              <w:ind w:left="20"/>
              <w:spacing w:after="0"/>
              <w:rPr>
                <w:sz w:val="20"/>
                <w:szCs w:val="20"/>
                <w:color w:val="auto"/>
              </w:rPr>
            </w:pPr>
            <w:r>
              <w:rPr>
                <w:rFonts w:ascii="Calibri" w:cs="Calibri" w:eastAsia="Calibri" w:hAnsi="Calibri"/>
                <w:sz w:val="18"/>
                <w:szCs w:val="18"/>
                <w:b w:val="1"/>
                <w:bCs w:val="1"/>
                <w:color w:val="auto"/>
              </w:rPr>
              <w:t>PART II</w:t>
            </w: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380" w:type="dxa"/>
            <w:vAlign w:val="bottom"/>
          </w:tcPr>
          <w:p>
            <w:pPr>
              <w:ind w:left="140"/>
              <w:spacing w:after="0" w:line="199" w:lineRule="exact"/>
              <w:rPr>
                <w:sz w:val="20"/>
                <w:szCs w:val="20"/>
                <w:color w:val="auto"/>
              </w:rPr>
            </w:pPr>
            <w:r>
              <w:rPr>
                <w:rFonts w:ascii="Calibri" w:cs="Calibri" w:eastAsia="Calibri" w:hAnsi="Calibri"/>
                <w:sz w:val="18"/>
                <w:szCs w:val="18"/>
                <w:color w:val="auto"/>
              </w:rPr>
              <w:t>Item 5.</w:t>
            </w:r>
          </w:p>
        </w:tc>
        <w:tc>
          <w:tcPr>
            <w:tcW w:w="7820" w:type="dxa"/>
            <w:vAlign w:val="bottom"/>
            <w:tcBorders>
              <w:bottom w:val="single" w:sz="8" w:color="0000FF"/>
            </w:tcBorders>
            <w:gridSpan w:val="21"/>
          </w:tcPr>
          <w:p>
            <w:pPr>
              <w:spacing w:after="0" w:line="199" w:lineRule="exact"/>
              <w:rPr>
                <w:sz w:val="20"/>
                <w:szCs w:val="20"/>
                <w:color w:val="auto"/>
              </w:rPr>
            </w:pPr>
            <w:r>
              <w:rPr>
                <w:rFonts w:ascii="Calibri" w:cs="Calibri" w:eastAsia="Calibri" w:hAnsi="Calibri"/>
                <w:sz w:val="18"/>
                <w:szCs w:val="18"/>
                <w:color w:val="0000FF"/>
                <w:w w:val="97"/>
              </w:rPr>
              <w:t>Market for Registrant’s Common Equity, Related Stockholder Maters and Issuer Purchases of Equity Securites</w:t>
            </w:r>
          </w:p>
        </w:tc>
        <w:tc>
          <w:tcPr>
            <w:tcW w:w="1140" w:type="dxa"/>
            <w:vAlign w:val="bottom"/>
          </w:tcPr>
          <w:p>
            <w:pPr>
              <w:spacing w:after="0"/>
              <w:rPr>
                <w:sz w:val="17"/>
                <w:szCs w:val="17"/>
                <w:color w:val="auto"/>
              </w:rPr>
            </w:pPr>
          </w:p>
        </w:tc>
        <w:tc>
          <w:tcPr>
            <w:tcW w:w="900" w:type="dxa"/>
            <w:vAlign w:val="bottom"/>
          </w:tcPr>
          <w:p>
            <w:pPr>
              <w:jc w:val="right"/>
              <w:spacing w:after="0" w:line="199" w:lineRule="exact"/>
              <w:rPr>
                <w:sz w:val="20"/>
                <w:szCs w:val="20"/>
                <w:color w:val="auto"/>
              </w:rPr>
            </w:pPr>
            <w:r>
              <w:rPr>
                <w:rFonts w:ascii="Calibri" w:cs="Calibri" w:eastAsia="Calibri" w:hAnsi="Calibri"/>
                <w:sz w:val="18"/>
                <w:szCs w:val="18"/>
                <w:color w:val="auto"/>
              </w:rPr>
              <w:t>50</w:t>
            </w:r>
          </w:p>
        </w:tc>
        <w:tc>
          <w:tcPr>
            <w:tcW w:w="0" w:type="dxa"/>
            <w:vAlign w:val="bottom"/>
          </w:tcPr>
          <w:p>
            <w:pPr>
              <w:spacing w:after="0"/>
              <w:rPr>
                <w:sz w:val="1"/>
                <w:szCs w:val="1"/>
                <w:color w:val="auto"/>
              </w:rPr>
            </w:pPr>
          </w:p>
        </w:tc>
      </w:tr>
      <w:tr>
        <w:trPr>
          <w:trHeight w:val="209"/>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6.</w:t>
            </w:r>
          </w:p>
        </w:tc>
        <w:tc>
          <w:tcPr>
            <w:tcW w:w="8960" w:type="dxa"/>
            <w:vAlign w:val="bottom"/>
            <w:gridSpan w:val="22"/>
          </w:tcPr>
          <w:p>
            <w:pPr>
              <w:spacing w:after="0" w:line="209" w:lineRule="exact"/>
              <w:rPr>
                <w:sz w:val="20"/>
                <w:szCs w:val="20"/>
                <w:color w:val="auto"/>
              </w:rPr>
            </w:pPr>
            <w:r>
              <w:rPr>
                <w:rFonts w:ascii="Calibri" w:cs="Calibri" w:eastAsia="Calibri" w:hAnsi="Calibri"/>
                <w:sz w:val="18"/>
                <w:szCs w:val="18"/>
                <w:color w:val="0000FF"/>
              </w:rPr>
              <w:t>[Reserved]</w:t>
            </w: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50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7.</w:t>
            </w:r>
          </w:p>
        </w:tc>
        <w:tc>
          <w:tcPr>
            <w:tcW w:w="8960" w:type="dxa"/>
            <w:vAlign w:val="bottom"/>
            <w:gridSpan w:val="22"/>
          </w:tcPr>
          <w:p>
            <w:pPr>
              <w:spacing w:after="0" w:line="209" w:lineRule="exact"/>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50</w:t>
            </w:r>
          </w:p>
        </w:tc>
        <w:tc>
          <w:tcPr>
            <w:tcW w:w="0" w:type="dxa"/>
            <w:vAlign w:val="bottom"/>
          </w:tcPr>
          <w:p>
            <w:pPr>
              <w:spacing w:after="0"/>
              <w:rPr>
                <w:sz w:val="1"/>
                <w:szCs w:val="1"/>
                <w:color w:val="auto"/>
              </w:rPr>
            </w:pPr>
          </w:p>
        </w:tc>
      </w:tr>
      <w:tr>
        <w:trPr>
          <w:trHeight w:val="209"/>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7A.</w:t>
            </w:r>
          </w:p>
        </w:tc>
        <w:tc>
          <w:tcPr>
            <w:tcW w:w="6220" w:type="dxa"/>
            <w:vAlign w:val="bottom"/>
            <w:tcBorders>
              <w:top w:val="single" w:sz="8" w:color="0000FF"/>
            </w:tcBorders>
            <w:gridSpan w:val="18"/>
          </w:tcPr>
          <w:p>
            <w:pPr>
              <w:spacing w:after="0" w:line="209" w:lineRule="exact"/>
              <w:rPr>
                <w:sz w:val="20"/>
                <w:szCs w:val="20"/>
                <w:color w:val="auto"/>
              </w:rPr>
            </w:pPr>
            <w:r>
              <w:rPr>
                <w:rFonts w:ascii="Calibri" w:cs="Calibri" w:eastAsia="Calibri" w:hAnsi="Calibri"/>
                <w:sz w:val="18"/>
                <w:szCs w:val="18"/>
                <w:color w:val="0000FF"/>
              </w:rPr>
              <w:t>Quanttatve and Qualitatve Disclosures About Market Risk</w:t>
            </w:r>
          </w:p>
        </w:tc>
        <w:tc>
          <w:tcPr>
            <w:tcW w:w="2740" w:type="dxa"/>
            <w:vAlign w:val="bottom"/>
            <w:gridSpan w:val="4"/>
          </w:tcPr>
          <w:p>
            <w:pPr>
              <w:spacing w:after="0"/>
              <w:rPr>
                <w:sz w:val="18"/>
                <w:szCs w:val="18"/>
                <w:color w:val="auto"/>
              </w:rPr>
            </w:pP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63</w:t>
            </w:r>
          </w:p>
        </w:tc>
        <w:tc>
          <w:tcPr>
            <w:tcW w:w="0" w:type="dxa"/>
            <w:vAlign w:val="bottom"/>
          </w:tcPr>
          <w:p>
            <w:pPr>
              <w:spacing w:after="0"/>
              <w:rPr>
                <w:sz w:val="1"/>
                <w:szCs w:val="1"/>
                <w:color w:val="auto"/>
              </w:rPr>
            </w:pPr>
          </w:p>
        </w:tc>
      </w:tr>
      <w:tr>
        <w:trPr>
          <w:trHeight w:val="209"/>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8.</w:t>
            </w:r>
          </w:p>
        </w:tc>
        <w:tc>
          <w:tcPr>
            <w:tcW w:w="3280" w:type="dxa"/>
            <w:vAlign w:val="bottom"/>
            <w:tcBorders>
              <w:top w:val="single" w:sz="8" w:color="0000FF"/>
              <w:bottom w:val="single" w:sz="8" w:color="0000FF"/>
            </w:tcBorders>
            <w:gridSpan w:val="13"/>
          </w:tcPr>
          <w:p>
            <w:pPr>
              <w:spacing w:after="0" w:line="209" w:lineRule="exact"/>
              <w:rPr>
                <w:sz w:val="20"/>
                <w:szCs w:val="20"/>
                <w:color w:val="auto"/>
              </w:rPr>
            </w:pPr>
            <w:r>
              <w:rPr>
                <w:rFonts w:ascii="Calibri" w:cs="Calibri" w:eastAsia="Calibri" w:hAnsi="Calibri"/>
                <w:sz w:val="18"/>
                <w:szCs w:val="18"/>
                <w:color w:val="0000FF"/>
                <w:w w:val="96"/>
              </w:rPr>
              <w:t>Financial Statements and Supplementary Data</w:t>
            </w:r>
          </w:p>
        </w:tc>
        <w:tc>
          <w:tcPr>
            <w:tcW w:w="920" w:type="dxa"/>
            <w:vAlign w:val="bottom"/>
            <w:tcBorders>
              <w:top w:val="single" w:sz="8" w:color="0000FF"/>
            </w:tcBorders>
            <w:gridSpan w:val="2"/>
          </w:tcPr>
          <w:p>
            <w:pPr>
              <w:spacing w:after="0"/>
              <w:rPr>
                <w:sz w:val="18"/>
                <w:szCs w:val="18"/>
                <w:color w:val="auto"/>
              </w:rPr>
            </w:pPr>
          </w:p>
        </w:tc>
        <w:tc>
          <w:tcPr>
            <w:tcW w:w="4760" w:type="dxa"/>
            <w:vAlign w:val="bottom"/>
            <w:gridSpan w:val="7"/>
          </w:tcPr>
          <w:p>
            <w:pPr>
              <w:spacing w:after="0"/>
              <w:rPr>
                <w:sz w:val="18"/>
                <w:szCs w:val="18"/>
                <w:color w:val="auto"/>
              </w:rPr>
            </w:pP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63</w:t>
            </w:r>
          </w:p>
        </w:tc>
        <w:tc>
          <w:tcPr>
            <w:tcW w:w="0" w:type="dxa"/>
            <w:vAlign w:val="bottom"/>
          </w:tcPr>
          <w:p>
            <w:pPr>
              <w:spacing w:after="0"/>
              <w:rPr>
                <w:sz w:val="1"/>
                <w:szCs w:val="1"/>
                <w:color w:val="auto"/>
              </w:rPr>
            </w:pPr>
          </w:p>
        </w:tc>
      </w:tr>
      <w:tr>
        <w:trPr>
          <w:trHeight w:val="209"/>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9.</w:t>
            </w:r>
          </w:p>
        </w:tc>
        <w:tc>
          <w:tcPr>
            <w:tcW w:w="6300" w:type="dxa"/>
            <w:vAlign w:val="bottom"/>
            <w:tcBorders>
              <w:bottom w:val="single" w:sz="8" w:color="0000FF"/>
            </w:tcBorders>
            <w:gridSpan w:val="19"/>
          </w:tcPr>
          <w:p>
            <w:pPr>
              <w:spacing w:after="0" w:line="209" w:lineRule="exact"/>
              <w:rPr>
                <w:sz w:val="20"/>
                <w:szCs w:val="20"/>
                <w:color w:val="auto"/>
              </w:rPr>
            </w:pPr>
            <w:r>
              <w:rPr>
                <w:rFonts w:ascii="Calibri" w:cs="Calibri" w:eastAsia="Calibri" w:hAnsi="Calibri"/>
                <w:sz w:val="18"/>
                <w:szCs w:val="18"/>
                <w:color w:val="0000FF"/>
                <w:w w:val="97"/>
              </w:rPr>
              <w:t>Changes in and Disagreements With Accountants on Accountng and Financial Disclosure</w:t>
            </w:r>
          </w:p>
        </w:tc>
        <w:tc>
          <w:tcPr>
            <w:tcW w:w="2660" w:type="dxa"/>
            <w:vAlign w:val="bottom"/>
            <w:gridSpan w:val="3"/>
          </w:tcPr>
          <w:p>
            <w:pPr>
              <w:spacing w:after="0"/>
              <w:rPr>
                <w:sz w:val="18"/>
                <w:szCs w:val="18"/>
                <w:color w:val="auto"/>
              </w:rPr>
            </w:pP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63</w:t>
            </w:r>
          </w:p>
        </w:tc>
        <w:tc>
          <w:tcPr>
            <w:tcW w:w="0" w:type="dxa"/>
            <w:vAlign w:val="bottom"/>
          </w:tcPr>
          <w:p>
            <w:pPr>
              <w:spacing w:after="0"/>
              <w:rPr>
                <w:sz w:val="1"/>
                <w:szCs w:val="1"/>
                <w:color w:val="auto"/>
              </w:rPr>
            </w:pPr>
          </w:p>
        </w:tc>
      </w:tr>
      <w:tr>
        <w:trPr>
          <w:trHeight w:val="210"/>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9A.</w:t>
            </w:r>
          </w:p>
        </w:tc>
        <w:tc>
          <w:tcPr>
            <w:tcW w:w="8960" w:type="dxa"/>
            <w:vAlign w:val="bottom"/>
            <w:gridSpan w:val="22"/>
          </w:tcPr>
          <w:p>
            <w:pPr>
              <w:spacing w:after="0" w:line="209" w:lineRule="exact"/>
              <w:rPr>
                <w:sz w:val="20"/>
                <w:szCs w:val="20"/>
                <w:color w:val="auto"/>
              </w:rPr>
            </w:pPr>
            <w:r>
              <w:rPr>
                <w:rFonts w:ascii="Calibri" w:cs="Calibri" w:eastAsia="Calibri" w:hAnsi="Calibri"/>
                <w:sz w:val="18"/>
                <w:szCs w:val="18"/>
                <w:color w:val="0000FF"/>
              </w:rPr>
              <w:t>Controls and Procedures</w:t>
            </w: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64</w:t>
            </w:r>
          </w:p>
        </w:tc>
        <w:tc>
          <w:tcPr>
            <w:tcW w:w="0" w:type="dxa"/>
            <w:vAlign w:val="bottom"/>
          </w:tcPr>
          <w:p>
            <w:pPr>
              <w:spacing w:after="0"/>
              <w:rPr>
                <w:sz w:val="1"/>
                <w:szCs w:val="1"/>
                <w:color w:val="auto"/>
              </w:rPr>
            </w:pPr>
          </w:p>
        </w:tc>
      </w:tr>
      <w:tr>
        <w:trPr>
          <w:trHeight w:val="209"/>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9B.</w:t>
            </w:r>
          </w:p>
        </w:tc>
        <w:tc>
          <w:tcPr>
            <w:tcW w:w="1300" w:type="dxa"/>
            <w:vAlign w:val="bottom"/>
            <w:tcBorders>
              <w:top w:val="single" w:sz="8" w:color="0000FF"/>
              <w:bottom w:val="single" w:sz="8" w:color="0000FF"/>
            </w:tcBorders>
            <w:gridSpan w:val="6"/>
          </w:tcPr>
          <w:p>
            <w:pPr>
              <w:spacing w:after="0" w:line="209" w:lineRule="exact"/>
              <w:rPr>
                <w:sz w:val="20"/>
                <w:szCs w:val="20"/>
                <w:color w:val="auto"/>
              </w:rPr>
            </w:pPr>
            <w:r>
              <w:rPr>
                <w:rFonts w:ascii="Calibri" w:cs="Calibri" w:eastAsia="Calibri" w:hAnsi="Calibri"/>
                <w:sz w:val="18"/>
                <w:szCs w:val="18"/>
                <w:color w:val="0000FF"/>
                <w:w w:val="98"/>
              </w:rPr>
              <w:t>Other Informaton</w:t>
            </w:r>
          </w:p>
        </w:tc>
        <w:tc>
          <w:tcPr>
            <w:tcW w:w="440" w:type="dxa"/>
            <w:vAlign w:val="bottom"/>
            <w:tcBorders>
              <w:top w:val="single" w:sz="8" w:color="0000FF"/>
            </w:tcBorders>
            <w:gridSpan w:val="3"/>
          </w:tcPr>
          <w:p>
            <w:pPr>
              <w:spacing w:after="0"/>
              <w:rPr>
                <w:sz w:val="18"/>
                <w:szCs w:val="18"/>
                <w:color w:val="auto"/>
              </w:rPr>
            </w:pPr>
          </w:p>
        </w:tc>
        <w:tc>
          <w:tcPr>
            <w:tcW w:w="7220" w:type="dxa"/>
            <w:vAlign w:val="bottom"/>
            <w:gridSpan w:val="13"/>
          </w:tcPr>
          <w:p>
            <w:pPr>
              <w:spacing w:after="0"/>
              <w:rPr>
                <w:sz w:val="18"/>
                <w:szCs w:val="18"/>
                <w:color w:val="auto"/>
              </w:rPr>
            </w:pP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64</w:t>
            </w:r>
          </w:p>
        </w:tc>
        <w:tc>
          <w:tcPr>
            <w:tcW w:w="0" w:type="dxa"/>
            <w:vAlign w:val="bottom"/>
          </w:tcPr>
          <w:p>
            <w:pPr>
              <w:spacing w:after="0"/>
              <w:rPr>
                <w:sz w:val="1"/>
                <w:szCs w:val="1"/>
                <w:color w:val="auto"/>
              </w:rPr>
            </w:pPr>
          </w:p>
        </w:tc>
      </w:tr>
      <w:tr>
        <w:trPr>
          <w:trHeight w:val="210"/>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9C.</w:t>
            </w:r>
          </w:p>
        </w:tc>
        <w:tc>
          <w:tcPr>
            <w:tcW w:w="8960" w:type="dxa"/>
            <w:vAlign w:val="bottom"/>
            <w:gridSpan w:val="22"/>
          </w:tcPr>
          <w:p>
            <w:pPr>
              <w:spacing w:after="0" w:line="209" w:lineRule="exact"/>
              <w:rPr>
                <w:sz w:val="20"/>
                <w:szCs w:val="20"/>
                <w:color w:val="auto"/>
              </w:rPr>
            </w:pPr>
            <w:r>
              <w:rPr>
                <w:rFonts w:ascii="Calibri" w:cs="Calibri" w:eastAsia="Calibri" w:hAnsi="Calibri"/>
                <w:sz w:val="18"/>
                <w:szCs w:val="18"/>
                <w:color w:val="0000FF"/>
              </w:rPr>
              <w:t>Disclosure Regarding Foreign Jurisdictons that Prevent Inspectons</w:t>
            </w: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64</w:t>
            </w:r>
          </w:p>
        </w:tc>
        <w:tc>
          <w:tcPr>
            <w:tcW w:w="0" w:type="dxa"/>
            <w:vAlign w:val="bottom"/>
          </w:tcPr>
          <w:p>
            <w:pPr>
              <w:spacing w:after="0"/>
              <w:rPr>
                <w:sz w:val="1"/>
                <w:szCs w:val="1"/>
                <w:color w:val="auto"/>
              </w:rPr>
            </w:pPr>
          </w:p>
        </w:tc>
      </w:tr>
      <w:tr>
        <w:trPr>
          <w:trHeight w:val="510"/>
        </w:trPr>
        <w:tc>
          <w:tcPr>
            <w:tcW w:w="1380" w:type="dxa"/>
            <w:vAlign w:val="bottom"/>
          </w:tcPr>
          <w:p>
            <w:pPr>
              <w:ind w:left="20"/>
              <w:spacing w:after="0"/>
              <w:rPr>
                <w:sz w:val="20"/>
                <w:szCs w:val="20"/>
                <w:color w:val="auto"/>
              </w:rPr>
            </w:pPr>
            <w:r>
              <w:rPr>
                <w:rFonts w:ascii="Calibri" w:cs="Calibri" w:eastAsia="Calibri" w:hAnsi="Calibri"/>
                <w:sz w:val="18"/>
                <w:szCs w:val="18"/>
                <w:b w:val="1"/>
                <w:bCs w:val="1"/>
                <w:color w:val="auto"/>
              </w:rPr>
              <w:t>PART III</w:t>
            </w: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380" w:type="dxa"/>
            <w:vAlign w:val="bottom"/>
          </w:tcPr>
          <w:p>
            <w:pPr>
              <w:ind w:left="140"/>
              <w:spacing w:after="0" w:line="199" w:lineRule="exact"/>
              <w:rPr>
                <w:sz w:val="20"/>
                <w:szCs w:val="20"/>
                <w:color w:val="auto"/>
              </w:rPr>
            </w:pPr>
            <w:r>
              <w:rPr>
                <w:rFonts w:ascii="Calibri" w:cs="Calibri" w:eastAsia="Calibri" w:hAnsi="Calibri"/>
                <w:sz w:val="18"/>
                <w:szCs w:val="18"/>
                <w:color w:val="auto"/>
              </w:rPr>
              <w:t>Item 10.</w:t>
            </w:r>
          </w:p>
        </w:tc>
        <w:tc>
          <w:tcPr>
            <w:tcW w:w="8960" w:type="dxa"/>
            <w:vAlign w:val="bottom"/>
            <w:gridSpan w:val="22"/>
          </w:tcPr>
          <w:p>
            <w:pPr>
              <w:spacing w:after="0" w:line="199" w:lineRule="exact"/>
              <w:rPr>
                <w:sz w:val="20"/>
                <w:szCs w:val="20"/>
                <w:color w:val="auto"/>
              </w:rPr>
            </w:pPr>
            <w:r>
              <w:rPr>
                <w:rFonts w:ascii="Calibri" w:cs="Calibri" w:eastAsia="Calibri" w:hAnsi="Calibri"/>
                <w:sz w:val="18"/>
                <w:szCs w:val="18"/>
                <w:color w:val="0000FF"/>
              </w:rPr>
              <w:t>Directors, Executve Ofcers and Corporate Governance</w:t>
            </w:r>
          </w:p>
        </w:tc>
        <w:tc>
          <w:tcPr>
            <w:tcW w:w="900" w:type="dxa"/>
            <w:vAlign w:val="bottom"/>
          </w:tcPr>
          <w:p>
            <w:pPr>
              <w:jc w:val="right"/>
              <w:spacing w:after="0" w:line="199" w:lineRule="exact"/>
              <w:rPr>
                <w:sz w:val="20"/>
                <w:szCs w:val="20"/>
                <w:color w:val="auto"/>
              </w:rPr>
            </w:pPr>
            <w:r>
              <w:rPr>
                <w:rFonts w:ascii="Calibri" w:cs="Calibri" w:eastAsia="Calibri" w:hAnsi="Calibri"/>
                <w:sz w:val="18"/>
                <w:szCs w:val="18"/>
                <w:color w:val="auto"/>
              </w:rPr>
              <w:t>65</w:t>
            </w:r>
          </w:p>
        </w:tc>
        <w:tc>
          <w:tcPr>
            <w:tcW w:w="0" w:type="dxa"/>
            <w:vAlign w:val="bottom"/>
          </w:tcPr>
          <w:p>
            <w:pPr>
              <w:spacing w:after="0"/>
              <w:rPr>
                <w:sz w:val="1"/>
                <w:szCs w:val="1"/>
                <w:color w:val="auto"/>
              </w:rPr>
            </w:pPr>
          </w:p>
        </w:tc>
      </w:tr>
      <w:tr>
        <w:trPr>
          <w:trHeight w:val="210"/>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11.</w:t>
            </w:r>
          </w:p>
        </w:tc>
        <w:tc>
          <w:tcPr>
            <w:tcW w:w="3940" w:type="dxa"/>
            <w:vAlign w:val="bottom"/>
            <w:tcBorders>
              <w:top w:val="single" w:sz="8" w:color="0000FF"/>
            </w:tcBorders>
            <w:gridSpan w:val="14"/>
          </w:tcPr>
          <w:p>
            <w:pPr>
              <w:spacing w:after="0" w:line="209" w:lineRule="exact"/>
              <w:rPr>
                <w:sz w:val="20"/>
                <w:szCs w:val="20"/>
                <w:color w:val="auto"/>
              </w:rPr>
            </w:pPr>
            <w:r>
              <w:rPr>
                <w:rFonts w:ascii="Calibri" w:cs="Calibri" w:eastAsia="Calibri" w:hAnsi="Calibri"/>
                <w:sz w:val="18"/>
                <w:szCs w:val="18"/>
                <w:color w:val="0000FF"/>
              </w:rPr>
              <w:t>Executve Compensaton</w:t>
            </w:r>
          </w:p>
        </w:tc>
        <w:tc>
          <w:tcPr>
            <w:tcW w:w="5020" w:type="dxa"/>
            <w:vAlign w:val="bottom"/>
            <w:gridSpan w:val="8"/>
          </w:tcPr>
          <w:p>
            <w:pPr>
              <w:spacing w:after="0"/>
              <w:rPr>
                <w:sz w:val="18"/>
                <w:szCs w:val="18"/>
                <w:color w:val="auto"/>
              </w:rPr>
            </w:pP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65</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12.</w:t>
            </w:r>
          </w:p>
        </w:tc>
        <w:tc>
          <w:tcPr>
            <w:tcW w:w="7120" w:type="dxa"/>
            <w:vAlign w:val="bottom"/>
            <w:tcBorders>
              <w:bottom w:val="single" w:sz="8" w:color="0000FF"/>
            </w:tcBorders>
            <w:gridSpan w:val="20"/>
          </w:tcPr>
          <w:p>
            <w:pPr>
              <w:spacing w:after="0" w:line="209" w:lineRule="exact"/>
              <w:rPr>
                <w:sz w:val="20"/>
                <w:szCs w:val="20"/>
                <w:color w:val="auto"/>
              </w:rPr>
            </w:pPr>
            <w:r>
              <w:rPr>
                <w:rFonts w:ascii="Calibri" w:cs="Calibri" w:eastAsia="Calibri" w:hAnsi="Calibri"/>
                <w:sz w:val="18"/>
                <w:szCs w:val="18"/>
                <w:color w:val="0000FF"/>
                <w:w w:val="98"/>
              </w:rPr>
              <w:t>Security Ownership of Certain Benefcial Owners and Management and Related Stockholder Maters</w:t>
            </w:r>
          </w:p>
        </w:tc>
        <w:tc>
          <w:tcPr>
            <w:tcW w:w="1840" w:type="dxa"/>
            <w:vAlign w:val="bottom"/>
            <w:gridSpan w:val="2"/>
          </w:tcPr>
          <w:p>
            <w:pPr>
              <w:spacing w:after="0"/>
              <w:rPr>
                <w:sz w:val="18"/>
                <w:szCs w:val="18"/>
                <w:color w:val="auto"/>
              </w:rPr>
            </w:pP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65</w:t>
            </w:r>
          </w:p>
        </w:tc>
        <w:tc>
          <w:tcPr>
            <w:tcW w:w="0" w:type="dxa"/>
            <w:vAlign w:val="bottom"/>
          </w:tcPr>
          <w:p>
            <w:pPr>
              <w:spacing w:after="0"/>
              <w:rPr>
                <w:sz w:val="1"/>
                <w:szCs w:val="1"/>
                <w:color w:val="auto"/>
              </w:rPr>
            </w:pPr>
          </w:p>
        </w:tc>
      </w:tr>
      <w:tr>
        <w:trPr>
          <w:trHeight w:val="209"/>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13.</w:t>
            </w:r>
          </w:p>
        </w:tc>
        <w:tc>
          <w:tcPr>
            <w:tcW w:w="8960" w:type="dxa"/>
            <w:vAlign w:val="bottom"/>
            <w:gridSpan w:val="22"/>
          </w:tcPr>
          <w:p>
            <w:pPr>
              <w:spacing w:after="0" w:line="209" w:lineRule="exact"/>
              <w:rPr>
                <w:sz w:val="20"/>
                <w:szCs w:val="20"/>
                <w:color w:val="auto"/>
              </w:rPr>
            </w:pPr>
            <w:r>
              <w:rPr>
                <w:rFonts w:ascii="Calibri" w:cs="Calibri" w:eastAsia="Calibri" w:hAnsi="Calibri"/>
                <w:sz w:val="18"/>
                <w:szCs w:val="18"/>
                <w:color w:val="0000FF"/>
              </w:rPr>
              <w:t>Certain Relatonships and Related Transactons, and Director Independence</w:t>
            </w: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65</w:t>
            </w:r>
          </w:p>
        </w:tc>
        <w:tc>
          <w:tcPr>
            <w:tcW w:w="0" w:type="dxa"/>
            <w:vAlign w:val="bottom"/>
          </w:tcPr>
          <w:p>
            <w:pPr>
              <w:spacing w:after="0"/>
              <w:rPr>
                <w:sz w:val="1"/>
                <w:szCs w:val="1"/>
                <w:color w:val="auto"/>
              </w:rPr>
            </w:pPr>
          </w:p>
        </w:tc>
      </w:tr>
      <w:tr>
        <w:trPr>
          <w:trHeight w:val="210"/>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14.</w:t>
            </w:r>
          </w:p>
        </w:tc>
        <w:tc>
          <w:tcPr>
            <w:tcW w:w="5340" w:type="dxa"/>
            <w:vAlign w:val="bottom"/>
            <w:tcBorders>
              <w:top w:val="single" w:sz="8" w:color="0000FF"/>
            </w:tcBorders>
            <w:gridSpan w:val="17"/>
          </w:tcPr>
          <w:p>
            <w:pPr>
              <w:spacing w:after="0" w:line="209" w:lineRule="exact"/>
              <w:rPr>
                <w:sz w:val="20"/>
                <w:szCs w:val="20"/>
                <w:color w:val="auto"/>
              </w:rPr>
            </w:pPr>
            <w:r>
              <w:rPr>
                <w:rFonts w:ascii="Calibri" w:cs="Calibri" w:eastAsia="Calibri" w:hAnsi="Calibri"/>
                <w:sz w:val="18"/>
                <w:szCs w:val="18"/>
                <w:color w:val="0000FF"/>
              </w:rPr>
              <w:t>Principal Accountng Fees and Services</w:t>
            </w:r>
          </w:p>
        </w:tc>
        <w:tc>
          <w:tcPr>
            <w:tcW w:w="3620" w:type="dxa"/>
            <w:vAlign w:val="bottom"/>
            <w:gridSpan w:val="5"/>
          </w:tcPr>
          <w:p>
            <w:pPr>
              <w:spacing w:after="0"/>
              <w:rPr>
                <w:sz w:val="18"/>
                <w:szCs w:val="18"/>
                <w:color w:val="auto"/>
              </w:rPr>
            </w:pP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65</w:t>
            </w:r>
          </w:p>
        </w:tc>
        <w:tc>
          <w:tcPr>
            <w:tcW w:w="0" w:type="dxa"/>
            <w:vAlign w:val="bottom"/>
          </w:tcPr>
          <w:p>
            <w:pPr>
              <w:spacing w:after="0"/>
              <w:rPr>
                <w:sz w:val="1"/>
                <w:szCs w:val="1"/>
                <w:color w:val="auto"/>
              </w:rPr>
            </w:pPr>
          </w:p>
        </w:tc>
      </w:tr>
      <w:tr>
        <w:trPr>
          <w:trHeight w:val="510"/>
        </w:trPr>
        <w:tc>
          <w:tcPr>
            <w:tcW w:w="1380" w:type="dxa"/>
            <w:vAlign w:val="bottom"/>
          </w:tcPr>
          <w:p>
            <w:pPr>
              <w:ind w:left="20"/>
              <w:spacing w:after="0"/>
              <w:rPr>
                <w:sz w:val="20"/>
                <w:szCs w:val="20"/>
                <w:color w:val="auto"/>
              </w:rPr>
            </w:pPr>
            <w:r>
              <w:rPr>
                <w:rFonts w:ascii="Calibri" w:cs="Calibri" w:eastAsia="Calibri" w:hAnsi="Calibri"/>
                <w:sz w:val="18"/>
                <w:szCs w:val="18"/>
                <w:b w:val="1"/>
                <w:bCs w:val="1"/>
                <w:color w:val="auto"/>
              </w:rPr>
              <w:t>PART IV</w:t>
            </w: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380" w:type="dxa"/>
            <w:vAlign w:val="bottom"/>
          </w:tcPr>
          <w:p>
            <w:pPr>
              <w:ind w:left="140"/>
              <w:spacing w:after="0" w:line="199" w:lineRule="exact"/>
              <w:rPr>
                <w:sz w:val="20"/>
                <w:szCs w:val="20"/>
                <w:color w:val="auto"/>
              </w:rPr>
            </w:pPr>
            <w:r>
              <w:rPr>
                <w:rFonts w:ascii="Calibri" w:cs="Calibri" w:eastAsia="Calibri" w:hAnsi="Calibri"/>
                <w:sz w:val="18"/>
                <w:szCs w:val="18"/>
                <w:color w:val="auto"/>
              </w:rPr>
              <w:t>Item 15.</w:t>
            </w:r>
          </w:p>
        </w:tc>
        <w:tc>
          <w:tcPr>
            <w:tcW w:w="8960" w:type="dxa"/>
            <w:vAlign w:val="bottom"/>
            <w:gridSpan w:val="22"/>
          </w:tcPr>
          <w:p>
            <w:pPr>
              <w:spacing w:after="0" w:line="199" w:lineRule="exact"/>
              <w:rPr>
                <w:sz w:val="20"/>
                <w:szCs w:val="20"/>
                <w:color w:val="auto"/>
              </w:rPr>
            </w:pPr>
            <w:r>
              <w:rPr>
                <w:rFonts w:ascii="Calibri" w:cs="Calibri" w:eastAsia="Calibri" w:hAnsi="Calibri"/>
                <w:sz w:val="18"/>
                <w:szCs w:val="18"/>
                <w:color w:val="0000FF"/>
              </w:rPr>
              <w:t>Exhibits and Financial Statement Schedules</w:t>
            </w:r>
          </w:p>
        </w:tc>
        <w:tc>
          <w:tcPr>
            <w:tcW w:w="900" w:type="dxa"/>
            <w:vAlign w:val="bottom"/>
          </w:tcPr>
          <w:p>
            <w:pPr>
              <w:jc w:val="right"/>
              <w:spacing w:after="0" w:line="199" w:lineRule="exact"/>
              <w:rPr>
                <w:sz w:val="20"/>
                <w:szCs w:val="20"/>
                <w:color w:val="auto"/>
              </w:rPr>
            </w:pPr>
            <w:r>
              <w:rPr>
                <w:rFonts w:ascii="Calibri" w:cs="Calibri" w:eastAsia="Calibri" w:hAnsi="Calibri"/>
                <w:sz w:val="18"/>
                <w:szCs w:val="18"/>
                <w:color w:val="auto"/>
              </w:rPr>
              <w:t>66</w:t>
            </w:r>
          </w:p>
        </w:tc>
        <w:tc>
          <w:tcPr>
            <w:tcW w:w="0" w:type="dxa"/>
            <w:vAlign w:val="bottom"/>
          </w:tcPr>
          <w:p>
            <w:pPr>
              <w:spacing w:after="0"/>
              <w:rPr>
                <w:sz w:val="1"/>
                <w:szCs w:val="1"/>
                <w:color w:val="auto"/>
              </w:rPr>
            </w:pPr>
          </w:p>
        </w:tc>
      </w:tr>
      <w:tr>
        <w:trPr>
          <w:trHeight w:val="209"/>
        </w:trPr>
        <w:tc>
          <w:tcPr>
            <w:tcW w:w="1380" w:type="dxa"/>
            <w:vAlign w:val="bottom"/>
          </w:tcPr>
          <w:p>
            <w:pPr>
              <w:ind w:left="140"/>
              <w:spacing w:after="0" w:line="209" w:lineRule="exact"/>
              <w:rPr>
                <w:sz w:val="20"/>
                <w:szCs w:val="20"/>
                <w:color w:val="auto"/>
              </w:rPr>
            </w:pPr>
            <w:r>
              <w:rPr>
                <w:rFonts w:ascii="Calibri" w:cs="Calibri" w:eastAsia="Calibri" w:hAnsi="Calibri"/>
                <w:sz w:val="18"/>
                <w:szCs w:val="18"/>
                <w:color w:val="auto"/>
              </w:rPr>
              <w:t>Item 16.</w:t>
            </w:r>
          </w:p>
        </w:tc>
        <w:tc>
          <w:tcPr>
            <w:tcW w:w="3060" w:type="dxa"/>
            <w:vAlign w:val="bottom"/>
            <w:tcBorders>
              <w:top w:val="single" w:sz="8" w:color="0000FF"/>
            </w:tcBorders>
            <w:gridSpan w:val="12"/>
          </w:tcPr>
          <w:p>
            <w:pPr>
              <w:spacing w:after="0" w:line="209" w:lineRule="exact"/>
              <w:rPr>
                <w:sz w:val="20"/>
                <w:szCs w:val="20"/>
                <w:color w:val="auto"/>
              </w:rPr>
            </w:pPr>
            <w:r>
              <w:rPr>
                <w:rFonts w:ascii="Calibri" w:cs="Calibri" w:eastAsia="Calibri" w:hAnsi="Calibri"/>
                <w:sz w:val="18"/>
                <w:szCs w:val="18"/>
                <w:color w:val="0000FF"/>
              </w:rPr>
              <w:t>Form 10-K Summary</w:t>
            </w:r>
          </w:p>
        </w:tc>
        <w:tc>
          <w:tcPr>
            <w:tcW w:w="5900" w:type="dxa"/>
            <w:vAlign w:val="bottom"/>
            <w:gridSpan w:val="10"/>
          </w:tcPr>
          <w:p>
            <w:pPr>
              <w:spacing w:after="0"/>
              <w:rPr>
                <w:sz w:val="18"/>
                <w:szCs w:val="18"/>
                <w:color w:val="auto"/>
              </w:rPr>
            </w:pP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69</w:t>
            </w:r>
          </w:p>
        </w:tc>
        <w:tc>
          <w:tcPr>
            <w:tcW w:w="0" w:type="dxa"/>
            <w:vAlign w:val="bottom"/>
          </w:tcPr>
          <w:p>
            <w:pPr>
              <w:spacing w:after="0"/>
              <w:rPr>
                <w:sz w:val="1"/>
                <w:szCs w:val="1"/>
                <w:color w:val="auto"/>
              </w:rPr>
            </w:pPr>
          </w:p>
        </w:tc>
      </w:tr>
      <w:tr>
        <w:trPr>
          <w:trHeight w:val="939"/>
        </w:trPr>
        <w:tc>
          <w:tcPr>
            <w:tcW w:w="1380" w:type="dxa"/>
            <w:vAlign w:val="bottom"/>
          </w:tcPr>
          <w:p>
            <w:pPr>
              <w:spacing w:after="0"/>
              <w:rPr>
                <w:sz w:val="24"/>
                <w:szCs w:val="24"/>
                <w:color w:val="auto"/>
              </w:rPr>
            </w:pPr>
          </w:p>
        </w:tc>
        <w:tc>
          <w:tcPr>
            <w:tcW w:w="1440" w:type="dxa"/>
            <w:vAlign w:val="bottom"/>
            <w:tcBorders>
              <w:top w:val="single" w:sz="8" w:color="0000FF"/>
            </w:tcBorders>
            <w:gridSpan w:val="7"/>
          </w:tcPr>
          <w:p>
            <w:pPr>
              <w:spacing w:after="0"/>
              <w:rPr>
                <w:sz w:val="24"/>
                <w:szCs w:val="24"/>
                <w:color w:val="auto"/>
              </w:rPr>
            </w:pPr>
          </w:p>
        </w:tc>
        <w:tc>
          <w:tcPr>
            <w:tcW w:w="3300" w:type="dxa"/>
            <w:vAlign w:val="bottom"/>
            <w:gridSpan w:val="9"/>
          </w:tcPr>
          <w:p>
            <w:pPr>
              <w:jc w:val="right"/>
              <w:ind w:right="46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3" w:name="page4"/>
    <w:bookmarkEnd w:id="3"/>
    <w:p>
      <w:pPr>
        <w:ind w:right="80"/>
        <w:spacing w:after="0" w:line="215" w:lineRule="auto"/>
        <w:rPr>
          <w:sz w:val="20"/>
          <w:szCs w:val="20"/>
          <w:color w:val="auto"/>
        </w:rPr>
      </w:pPr>
      <w:r>
        <w:rPr>
          <w:rFonts w:ascii="Calibri" w:cs="Calibri" w:eastAsia="Calibri" w:hAnsi="Calibri"/>
          <w:sz w:val="18"/>
          <w:szCs w:val="18"/>
          <w:color w:val="auto"/>
        </w:rPr>
        <w:t>Unless otherwise indicated or the context otherwise requires, all references in this annual report on Form 10-K (this “Annual Report”) to the “Company,” “Greenidge,” “we,” “us,” “our” and similar terms refer to Greenidge Generaton Holdings Inc., together with its consolidated subsidiaries. All share and per share data in this Annual Report have been retroactvely adjusted to refect the one-for-ten reverse stock split that we efected on our Class A common stock, par value $0.0001 per share (“Class A common stock”) and our Class B common stock, par value $0.0001 per share (“Class B common stock”), on May 16, 2023.</w:t>
      </w:r>
    </w:p>
    <w:p>
      <w:pPr>
        <w:spacing w:after="0" w:line="30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CAUTIONARY STATEMENT REGARDING FORWARD-LOOKING STATEMENTS</w:t>
      </w:r>
    </w:p>
    <w:p>
      <w:pPr>
        <w:spacing w:after="0" w:line="21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This report includes certain statements that may consttute "forward-looking statements" within the meaning of Secton 27A of the Securites Act of 1933, as amended (the "Securites Act"), and Secton 21E of the Securites Exchange Act of 1934, as amended (the "Exchange Act"). All statements other than statements of historical fact are forward-looking statements for purposes of federal and state securites laws. These forward-looking statements involve uncertaintes that could signifcantly afect our fnancial or operatng results. These forward-looking statements may be identfed by terms such as "antcipate," "believe," "contnue," "foresee," "expect," "intend," "plan," "may," "will," "would," "could" and "should" and the negatve of these terms or other similar expressions. Forward-looking statements are based on current beliefs and assumptons that are subject to risks and uncertaintes and are not guarantees of future performance. Forward-looking statements in this document include, among other things, statements regarding our business plan, business strategy and operatons in the future. In additon, all statements that address operatng performance and future performance, events or developments that are expected or antcipated to occur in the future, including statements relatng to creatng value for stockholders are forward-looking statements.</w:t>
      </w:r>
    </w:p>
    <w:p>
      <w:pPr>
        <w:spacing w:after="0" w:line="224"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Forward-looking statements are subject to a number of risks, uncertaintes and assumptons. Maters and factors that could cause actual results to difer materially from those expressed or implied in such forward-looking statements include but are not limited to the maters and factors described in Item 1A, "</w:t>
      </w:r>
      <w:r>
        <w:rPr>
          <w:rFonts w:ascii="Calibri" w:cs="Calibri" w:eastAsia="Calibri" w:hAnsi="Calibri"/>
          <w:sz w:val="18"/>
          <w:szCs w:val="18"/>
          <w:i w:val="1"/>
          <w:iCs w:val="1"/>
          <w:color w:val="auto"/>
        </w:rPr>
        <w:t>Risk Factors</w:t>
      </w:r>
      <w:r>
        <w:rPr>
          <w:rFonts w:ascii="Calibri" w:cs="Calibri" w:eastAsia="Calibri" w:hAnsi="Calibri"/>
          <w:sz w:val="18"/>
          <w:szCs w:val="18"/>
          <w:color w:val="auto"/>
        </w:rPr>
        <w:t>" of this Annual Report, as well as statements about or relatng to or otherwise afected by:</w:t>
      </w:r>
    </w:p>
    <w:p>
      <w:pPr>
        <w:spacing w:after="0" w:line="119" w:lineRule="exact"/>
        <w:rPr>
          <w:sz w:val="20"/>
          <w:szCs w:val="20"/>
          <w:color w:val="auto"/>
        </w:rPr>
      </w:pPr>
    </w:p>
    <w:p>
      <w:pPr>
        <w:ind w:left="900" w:hanging="406"/>
        <w:spacing w:after="0"/>
        <w:tabs>
          <w:tab w:leader="none" w:pos="900"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our ability to meet our existng long-term debt obligatons with the Company’s current projected operatng cash fows in the long term;</w:t>
      </w:r>
    </w:p>
    <w:p>
      <w:pPr>
        <w:spacing w:after="0" w:line="136" w:lineRule="exact"/>
        <w:rPr>
          <w:rFonts w:ascii="Calibri" w:cs="Calibri" w:eastAsia="Calibri" w:hAnsi="Calibri"/>
          <w:sz w:val="18"/>
          <w:szCs w:val="18"/>
          <w:color w:val="auto"/>
        </w:rPr>
      </w:pPr>
    </w:p>
    <w:p>
      <w:pPr>
        <w:ind w:left="900" w:right="480" w:hanging="406"/>
        <w:spacing w:after="0" w:line="235" w:lineRule="auto"/>
        <w:tabs>
          <w:tab w:leader="none" w:pos="893"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our ability to successfully maintain our power and hostng arrangements on acceptable terms, or our operatons may be disrupted, and our business results may sufer, which could have a material adverse efect on our business, fnancial conditon, and results of operatons;</w:t>
      </w:r>
    </w:p>
    <w:p>
      <w:pPr>
        <w:spacing w:after="0" w:line="118" w:lineRule="exact"/>
        <w:rPr>
          <w:rFonts w:ascii="Calibri" w:cs="Calibri" w:eastAsia="Calibri" w:hAnsi="Calibri"/>
          <w:sz w:val="18"/>
          <w:szCs w:val="18"/>
          <w:color w:val="auto"/>
        </w:rPr>
      </w:pPr>
    </w:p>
    <w:p>
      <w:pPr>
        <w:ind w:left="900" w:hanging="406"/>
        <w:spacing w:after="0"/>
        <w:tabs>
          <w:tab w:leader="none" w:pos="900"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fuctuatons and volatlity in the price of bitcoin and other cryptocurrencies;</w:t>
      </w:r>
    </w:p>
    <w:p>
      <w:pPr>
        <w:spacing w:after="0" w:line="131" w:lineRule="exact"/>
        <w:rPr>
          <w:rFonts w:ascii="Calibri" w:cs="Calibri" w:eastAsia="Calibri" w:hAnsi="Calibri"/>
          <w:sz w:val="18"/>
          <w:szCs w:val="18"/>
          <w:color w:val="auto"/>
        </w:rPr>
      </w:pPr>
    </w:p>
    <w:p>
      <w:pPr>
        <w:ind w:left="900" w:hanging="406"/>
        <w:spacing w:after="0"/>
        <w:tabs>
          <w:tab w:leader="none" w:pos="900"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any failure by us to obtain acceptable fnancing with regard to our growth strategies or operatons;</w:t>
      </w:r>
    </w:p>
    <w:p>
      <w:pPr>
        <w:spacing w:after="0" w:line="136" w:lineRule="exact"/>
        <w:rPr>
          <w:rFonts w:ascii="Calibri" w:cs="Calibri" w:eastAsia="Calibri" w:hAnsi="Calibri"/>
          <w:sz w:val="18"/>
          <w:szCs w:val="18"/>
          <w:color w:val="auto"/>
        </w:rPr>
      </w:pPr>
    </w:p>
    <w:p>
      <w:pPr>
        <w:ind w:left="900" w:hanging="406"/>
        <w:spacing w:after="0" w:line="235" w:lineRule="auto"/>
        <w:tabs>
          <w:tab w:leader="none" w:pos="893"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the ability to negotate or execute defnitve documentaton with respect to potental expansion sites on terms and conditons that are acceptable to Greenidge, whether on a tmely basis or at all;</w:t>
      </w:r>
    </w:p>
    <w:p>
      <w:pPr>
        <w:spacing w:after="0" w:line="109" w:lineRule="exact"/>
        <w:rPr>
          <w:rFonts w:ascii="Calibri" w:cs="Calibri" w:eastAsia="Calibri" w:hAnsi="Calibri"/>
          <w:sz w:val="18"/>
          <w:szCs w:val="18"/>
          <w:color w:val="auto"/>
        </w:rPr>
      </w:pPr>
    </w:p>
    <w:p>
      <w:pPr>
        <w:ind w:left="900" w:right="360" w:hanging="406"/>
        <w:spacing w:after="0" w:line="235" w:lineRule="auto"/>
        <w:tabs>
          <w:tab w:leader="none" w:pos="893"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changes in applicable laws, regulatons, or permits, including ongoing litgaton and administratve proceedings with respect to our Title V Air Permit renewal applicaton, afectng our operatons or the industries in which we operate, including regulaton regarding power generaton, environmental laws, cryptocurrency usage and/or cryptocurrency mining, and a regulatory trend toward stricter oversight of crypto asset platorms and the cryptocurrency industry;</w:t>
      </w:r>
    </w:p>
    <w:p>
      <w:pPr>
        <w:spacing w:after="0" w:line="120" w:lineRule="exact"/>
        <w:rPr>
          <w:rFonts w:ascii="Calibri" w:cs="Calibri" w:eastAsia="Calibri" w:hAnsi="Calibri"/>
          <w:sz w:val="18"/>
          <w:szCs w:val="18"/>
          <w:color w:val="auto"/>
        </w:rPr>
      </w:pPr>
    </w:p>
    <w:p>
      <w:pPr>
        <w:ind w:left="900" w:hanging="406"/>
        <w:spacing w:after="0"/>
        <w:tabs>
          <w:tab w:leader="none" w:pos="900"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loss of public confdence in, or use cases of, bitcoin and other cryptocurrencies;</w:t>
      </w:r>
    </w:p>
    <w:p>
      <w:pPr>
        <w:spacing w:after="0" w:line="131" w:lineRule="exact"/>
        <w:rPr>
          <w:rFonts w:ascii="Calibri" w:cs="Calibri" w:eastAsia="Calibri" w:hAnsi="Calibri"/>
          <w:sz w:val="18"/>
          <w:szCs w:val="18"/>
          <w:color w:val="auto"/>
        </w:rPr>
      </w:pPr>
    </w:p>
    <w:p>
      <w:pPr>
        <w:ind w:left="900" w:hanging="406"/>
        <w:spacing w:after="0"/>
        <w:tabs>
          <w:tab w:leader="none" w:pos="900"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the potental of cryptocurrency market manipulaton;</w:t>
      </w:r>
    </w:p>
    <w:p>
      <w:pPr>
        <w:spacing w:after="0" w:line="136" w:lineRule="exact"/>
        <w:rPr>
          <w:rFonts w:ascii="Calibri" w:cs="Calibri" w:eastAsia="Calibri" w:hAnsi="Calibri"/>
          <w:sz w:val="18"/>
          <w:szCs w:val="18"/>
          <w:color w:val="auto"/>
        </w:rPr>
      </w:pPr>
    </w:p>
    <w:p>
      <w:pPr>
        <w:ind w:left="900" w:right="180" w:hanging="406"/>
        <w:spacing w:after="0" w:line="235" w:lineRule="auto"/>
        <w:tabs>
          <w:tab w:leader="none" w:pos="893" w:val="left"/>
        </w:tabs>
        <w:numPr>
          <w:ilvl w:val="0"/>
          <w:numId w:val="1"/>
        </w:numPr>
        <w:rPr>
          <w:rFonts w:ascii="Calibri" w:cs="Calibri" w:eastAsia="Calibri" w:hAnsi="Calibri"/>
          <w:sz w:val="18"/>
          <w:szCs w:val="18"/>
          <w:color w:val="auto"/>
          <w:strike w:val="1"/>
        </w:rPr>
      </w:pPr>
      <w:r>
        <w:rPr>
          <w:rFonts w:ascii="Calibri" w:cs="Calibri" w:eastAsia="Calibri" w:hAnsi="Calibri"/>
          <w:sz w:val="18"/>
          <w:szCs w:val="18"/>
          <w:color w:val="auto"/>
        </w:rPr>
        <w:t>the economics of hostng cryptocurrency miners, including as to variables or factors afectng the cost, efciency and proftability of our hostng arrangements;</w:t>
      </w:r>
    </w:p>
    <w:p>
      <w:pPr>
        <w:spacing w:after="0" w:line="109" w:lineRule="exact"/>
        <w:rPr>
          <w:rFonts w:ascii="Calibri" w:cs="Calibri" w:eastAsia="Calibri" w:hAnsi="Calibri"/>
          <w:sz w:val="18"/>
          <w:szCs w:val="18"/>
          <w:color w:val="auto"/>
          <w:strike w:val="1"/>
        </w:rPr>
      </w:pPr>
    </w:p>
    <w:p>
      <w:pPr>
        <w:ind w:left="900" w:right="420" w:hanging="406"/>
        <w:spacing w:after="0" w:line="235" w:lineRule="auto"/>
        <w:tabs>
          <w:tab w:leader="none" w:pos="893"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the availability, delivery schedule, and cost of equipment necessary to maintain and grow our business and operatons, including datacenter equipment and equipment meetng the technical or other specifcatons required to achieve our growth strategy;</w:t>
      </w:r>
    </w:p>
    <w:p>
      <w:pPr>
        <w:spacing w:after="0" w:line="109" w:lineRule="exact"/>
        <w:rPr>
          <w:rFonts w:ascii="Calibri" w:cs="Calibri" w:eastAsia="Calibri" w:hAnsi="Calibri"/>
          <w:sz w:val="18"/>
          <w:szCs w:val="18"/>
          <w:color w:val="auto"/>
        </w:rPr>
      </w:pPr>
    </w:p>
    <w:p>
      <w:pPr>
        <w:ind w:left="900" w:right="60" w:hanging="406"/>
        <w:spacing w:after="0" w:line="235" w:lineRule="auto"/>
        <w:tabs>
          <w:tab w:leader="none" w:pos="893"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the possibility that we may be adversely afected by other economic, business, or compettve factors, including factors afectng the industries in which we operate or upon which we rely and are dependent;</w:t>
      </w:r>
    </w:p>
    <w:p>
      <w:pPr>
        <w:spacing w:after="0" w:line="109" w:lineRule="exact"/>
        <w:rPr>
          <w:rFonts w:ascii="Calibri" w:cs="Calibri" w:eastAsia="Calibri" w:hAnsi="Calibri"/>
          <w:sz w:val="18"/>
          <w:szCs w:val="18"/>
          <w:color w:val="auto"/>
        </w:rPr>
      </w:pPr>
    </w:p>
    <w:p>
      <w:pPr>
        <w:ind w:left="900" w:right="60" w:hanging="406"/>
        <w:spacing w:after="0" w:line="235" w:lineRule="auto"/>
        <w:tabs>
          <w:tab w:leader="none" w:pos="893"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the ability to expand successfully to other facilites, efectvely integrate and manage acquired businesses or assets, mine other cryptocurrencies, or otherwise expand our business;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 w:name="page5"/>
    <w:bookmarkEnd w:id="4"/>
    <w:p>
      <w:pPr>
        <w:ind w:left="900" w:hanging="406"/>
        <w:spacing w:after="0"/>
        <w:tabs>
          <w:tab w:leader="none" w:pos="90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changes in tax regulatons applicable to us, our assets or cryptocurrencies, including bitcoin;</w:t>
      </w:r>
    </w:p>
    <w:p>
      <w:pPr>
        <w:spacing w:after="0" w:line="136" w:lineRule="exact"/>
        <w:rPr>
          <w:rFonts w:ascii="Calibri" w:cs="Calibri" w:eastAsia="Calibri" w:hAnsi="Calibri"/>
          <w:sz w:val="18"/>
          <w:szCs w:val="18"/>
          <w:color w:val="auto"/>
        </w:rPr>
      </w:pPr>
    </w:p>
    <w:p>
      <w:pPr>
        <w:ind w:left="900" w:right="280" w:hanging="406"/>
        <w:spacing w:after="0" w:line="235" w:lineRule="auto"/>
        <w:tabs>
          <w:tab w:leader="none" w:pos="893"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if we fail to comply, or regain compliance, with the contnued listng standards of The Nasdaq Stock Market LLC (“Nasdaq”), Nasdaq may delist our Class A common stock;</w:t>
      </w:r>
    </w:p>
    <w:p>
      <w:pPr>
        <w:spacing w:after="0" w:line="118" w:lineRule="exact"/>
        <w:rPr>
          <w:rFonts w:ascii="Calibri" w:cs="Calibri" w:eastAsia="Calibri" w:hAnsi="Calibri"/>
          <w:sz w:val="18"/>
          <w:szCs w:val="18"/>
          <w:color w:val="auto"/>
        </w:rPr>
      </w:pPr>
    </w:p>
    <w:p>
      <w:pPr>
        <w:ind w:left="900" w:hanging="406"/>
        <w:spacing w:after="0"/>
        <w:tabs>
          <w:tab w:leader="none" w:pos="90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any litgaton involving us;</w:t>
      </w:r>
    </w:p>
    <w:p>
      <w:pPr>
        <w:spacing w:after="0" w:line="117" w:lineRule="exact"/>
        <w:rPr>
          <w:rFonts w:ascii="Calibri" w:cs="Calibri" w:eastAsia="Calibri" w:hAnsi="Calibri"/>
          <w:sz w:val="18"/>
          <w:szCs w:val="18"/>
          <w:color w:val="auto"/>
        </w:rPr>
      </w:pPr>
    </w:p>
    <w:p>
      <w:pPr>
        <w:ind w:left="900" w:hanging="406"/>
        <w:spacing w:after="0"/>
        <w:tabs>
          <w:tab w:leader="none" w:pos="90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costs and expenses relatng to cryptocurrency transacton fees and fuctuaton in cryptocurrency transacton fees; and</w:t>
      </w:r>
    </w:p>
    <w:p>
      <w:pPr>
        <w:spacing w:after="0" w:line="109" w:lineRule="exact"/>
        <w:rPr>
          <w:rFonts w:ascii="Calibri" w:cs="Calibri" w:eastAsia="Calibri" w:hAnsi="Calibri"/>
          <w:sz w:val="18"/>
          <w:szCs w:val="18"/>
          <w:color w:val="auto"/>
        </w:rPr>
      </w:pPr>
    </w:p>
    <w:p>
      <w:pPr>
        <w:ind w:left="900" w:right="440" w:hanging="406"/>
        <w:spacing w:after="0" w:line="235" w:lineRule="auto"/>
        <w:tabs>
          <w:tab w:leader="none" w:pos="893"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the conditon of our physical assets, including that our operatng facility may realize material, if not total, loss and interference as a result of equipment malfuncton or break-down, physical disaster, data security breach, computer malfuncton or sabotage.</w:t>
      </w:r>
    </w:p>
    <w:p>
      <w:pPr>
        <w:spacing w:after="0" w:line="21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Consequently, all of the forward-looking statements made in this Annual Report are qualifed by the informaton contained herein, including the informaton contained under this capton and the informaton in Item 1A, "</w:t>
      </w:r>
      <w:r>
        <w:rPr>
          <w:rFonts w:ascii="Calibri" w:cs="Calibri" w:eastAsia="Calibri" w:hAnsi="Calibri"/>
          <w:sz w:val="18"/>
          <w:szCs w:val="18"/>
          <w:i w:val="1"/>
          <w:iCs w:val="1"/>
          <w:color w:val="auto"/>
        </w:rPr>
        <w:t>Risk Factors</w:t>
      </w:r>
      <w:r>
        <w:rPr>
          <w:rFonts w:ascii="Calibri" w:cs="Calibri" w:eastAsia="Calibri" w:hAnsi="Calibri"/>
          <w:sz w:val="18"/>
          <w:szCs w:val="18"/>
          <w:color w:val="auto"/>
        </w:rPr>
        <w:t>" of this Annual Report. We can provide no assurance can be given that these are all of the factors that could cause actual results to vary materially from the forward-looking statements.</w:t>
      </w:r>
    </w:p>
    <w:p>
      <w:pPr>
        <w:spacing w:after="0" w:line="219" w:lineRule="exact"/>
        <w:rPr>
          <w:sz w:val="20"/>
          <w:szCs w:val="20"/>
          <w:color w:val="auto"/>
        </w:rPr>
      </w:pPr>
    </w:p>
    <w:p>
      <w:pPr>
        <w:ind w:right="40"/>
        <w:spacing w:after="0" w:line="251" w:lineRule="auto"/>
        <w:rPr>
          <w:sz w:val="20"/>
          <w:szCs w:val="20"/>
          <w:color w:val="auto"/>
        </w:rPr>
      </w:pPr>
      <w:r>
        <w:rPr>
          <w:rFonts w:ascii="Calibri" w:cs="Calibri" w:eastAsia="Calibri" w:hAnsi="Calibri"/>
          <w:sz w:val="17"/>
          <w:szCs w:val="17"/>
          <w:color w:val="auto"/>
        </w:rPr>
        <w:t>Additonally, we may provide informaton in this Annual Report that is not necessarily “material” under the federal securites laws for SEC reportng purposes, but that is informed by various environmental, social, and governance (“ESG”) standards and frameworks (including standards for the measurement of underlying data), and the interests of various stakeholders. Much of this informaton is subject to assumptons, estmates or third-party informaton that is stll evolving and subject to change. For example, our disclosures based on any standards may change due to revisions in framework requirements, availability of informaton, changes in our business or applicable government policies, or other factors, some of which may be beyond our control.</w:t>
      </w:r>
    </w:p>
    <w:p>
      <w:pPr>
        <w:spacing w:after="0" w:line="21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You should not put undue reliance on forward-looking statements. We can provide no assurance that any of the events antcipated by the forward-looking statements will transpire or occur, or if any of them do occur, what impact they will have on the results of our operatons, fnancial conditon or cash fows. Actual results may difer materially from those discussed in this Annual Report. All forward-looking statements speak only as of the date of this Annual Report and, except as required by law, we do not assume any duty to update or revise forward-looking statements, whether as a result of new informaton, future events, uncertaintes or otherwise, as of any future date.</w:t>
      </w:r>
    </w:p>
    <w:p>
      <w:pPr>
        <w:spacing w:after="0" w:line="3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u w:val="single" w:color="auto"/>
          <w:color w:val="auto"/>
        </w:rPr>
        <w:t>RISK FACTOR SUMMARY</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business is subject to numerous risks and uncertaintes, which illuminate challenges that we face in connecton with the successful implementaton of our strategy and the growth of our business. The following consideratons, among others, may ofset our compettve strengths or have a negatve efect on our business strategy, which could adversely impact our results of operatons, fnancial conditon, or cash fows, our ability to meet our long-term debt obligatons, or cause a decline in the price of our Class A common stock:</w:t>
      </w:r>
    </w:p>
    <w:p>
      <w:pPr>
        <w:spacing w:after="0" w:line="111" w:lineRule="exact"/>
        <w:rPr>
          <w:sz w:val="20"/>
          <w:szCs w:val="20"/>
          <w:color w:val="auto"/>
        </w:rPr>
      </w:pPr>
    </w:p>
    <w:p>
      <w:pPr>
        <w:ind w:left="900" w:right="440" w:hanging="406"/>
        <w:spacing w:after="0" w:line="235" w:lineRule="auto"/>
        <w:tabs>
          <w:tab w:leader="none" w:pos="8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We have experienced fnancial difcultes and an investment in our common stock is highly speculatve. Holders of our common stock could sufer a total loss of their investment.</w:t>
      </w:r>
    </w:p>
    <w:p>
      <w:pPr>
        <w:spacing w:after="0" w:line="109" w:lineRule="exact"/>
        <w:rPr>
          <w:rFonts w:ascii="Calibri" w:cs="Calibri" w:eastAsia="Calibri" w:hAnsi="Calibri"/>
          <w:sz w:val="18"/>
          <w:szCs w:val="18"/>
          <w:color w:val="auto"/>
        </w:rPr>
      </w:pPr>
    </w:p>
    <w:p>
      <w:pPr>
        <w:ind w:left="900" w:right="20" w:hanging="406"/>
        <w:spacing w:after="0" w:line="235" w:lineRule="auto"/>
        <w:tabs>
          <w:tab w:leader="none" w:pos="8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We may need to raise additonal capital to grow our business and may not be able to do so on favorable terms, if at all. Future issuances of equity or debt securites may adversely afect the value of our common stock.</w:t>
      </w:r>
    </w:p>
    <w:p>
      <w:pPr>
        <w:spacing w:after="0" w:line="109" w:lineRule="exact"/>
        <w:rPr>
          <w:rFonts w:ascii="Calibri" w:cs="Calibri" w:eastAsia="Calibri" w:hAnsi="Calibri"/>
          <w:sz w:val="18"/>
          <w:szCs w:val="18"/>
          <w:color w:val="auto"/>
        </w:rPr>
      </w:pPr>
    </w:p>
    <w:p>
      <w:pPr>
        <w:ind w:left="900" w:right="40" w:hanging="406"/>
        <w:spacing w:after="0" w:line="235" w:lineRule="auto"/>
        <w:tabs>
          <w:tab w:leader="none" w:pos="8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We may not have sufcient resources to repay our 8.50% Senior Notes due 2026 upon their maturity in October 2026, and we will face additonal risks if we incur additonal indebtedness.</w:t>
      </w:r>
    </w:p>
    <w:p>
      <w:pPr>
        <w:spacing w:after="0" w:line="42" w:lineRule="exact"/>
        <w:rPr>
          <w:rFonts w:ascii="Calibri" w:cs="Calibri" w:eastAsia="Calibri" w:hAnsi="Calibri"/>
          <w:sz w:val="18"/>
          <w:szCs w:val="18"/>
          <w:color w:val="auto"/>
        </w:rPr>
      </w:pPr>
    </w:p>
    <w:p>
      <w:pPr>
        <w:ind w:left="900" w:right="60" w:hanging="406"/>
        <w:spacing w:after="0" w:line="211" w:lineRule="auto"/>
        <w:tabs>
          <w:tab w:leader="none" w:pos="895" w:val="left"/>
        </w:tabs>
        <w:numPr>
          <w:ilvl w:val="0"/>
          <w:numId w:val="3"/>
        </w:numPr>
        <w:rPr>
          <w:rFonts w:ascii="Arial" w:cs="Arial" w:eastAsia="Arial" w:hAnsi="Arial"/>
          <w:sz w:val="22"/>
          <w:szCs w:val="22"/>
          <w:color w:val="auto"/>
        </w:rPr>
      </w:pPr>
      <w:r>
        <w:rPr>
          <w:rFonts w:ascii="Calibri" w:cs="Calibri" w:eastAsia="Calibri" w:hAnsi="Calibri"/>
          <w:sz w:val="18"/>
          <w:szCs w:val="18"/>
          <w:color w:val="auto"/>
        </w:rPr>
        <w:t>We have a history of operatng losses. If we are unable to sustain greater revenues than our operatng costs and support our expansion plans, we may contnue to experience operatng losses, which could negatvely impact our results of operatons, strategy and fnancial performance.</w:t>
      </w:r>
    </w:p>
    <w:p>
      <w:pPr>
        <w:spacing w:after="0" w:line="118" w:lineRule="exact"/>
        <w:rPr>
          <w:rFonts w:ascii="Arial" w:cs="Arial" w:eastAsia="Arial" w:hAnsi="Arial"/>
          <w:sz w:val="22"/>
          <w:szCs w:val="22"/>
          <w:color w:val="auto"/>
        </w:rPr>
      </w:pPr>
    </w:p>
    <w:p>
      <w:pPr>
        <w:ind w:left="900" w:hanging="406"/>
        <w:spacing w:after="0"/>
        <w:tabs>
          <w:tab w:leader="none" w:pos="90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If we fail to comply, or regain compliance, with the Nasdaq contnued listng standards, Nasdaq may delist our Class A common stock.</w:t>
      </w:r>
    </w:p>
    <w:p>
      <w:pPr>
        <w:spacing w:after="0" w:line="14" w:lineRule="exact"/>
        <w:rPr>
          <w:rFonts w:ascii="Calibri" w:cs="Calibri" w:eastAsia="Calibri" w:hAnsi="Calibri"/>
          <w:sz w:val="18"/>
          <w:szCs w:val="18"/>
          <w:color w:val="auto"/>
        </w:rPr>
      </w:pPr>
    </w:p>
    <w:p>
      <w:pPr>
        <w:ind w:left="900" w:right="100" w:hanging="406"/>
        <w:spacing w:after="0" w:line="235" w:lineRule="auto"/>
        <w:tabs>
          <w:tab w:leader="none" w:pos="8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We have material environmental liabilites, and the costs of compliance with existng and new environmental laws could have a material adverse efect on us.</w:t>
      </w:r>
    </w:p>
    <w:p>
      <w:pPr>
        <w:spacing w:after="0" w:line="96" w:lineRule="exact"/>
        <w:rPr>
          <w:rFonts w:ascii="Calibri" w:cs="Calibri" w:eastAsia="Calibri" w:hAnsi="Calibri"/>
          <w:sz w:val="18"/>
          <w:szCs w:val="18"/>
          <w:color w:val="auto"/>
        </w:rPr>
      </w:pPr>
    </w:p>
    <w:p>
      <w:pPr>
        <w:ind w:left="900" w:right="340" w:hanging="406"/>
        <w:spacing w:after="0" w:line="235" w:lineRule="auto"/>
        <w:tabs>
          <w:tab w:leader="none" w:pos="8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We are exposed to customer concentraton risk, substantally dependent on our sole hostng services customer, and exposed to counterparty nonperformance risk for our hostng services arrangement.</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5" w:name="page6"/>
    <w:bookmarkEnd w:id="5"/>
    <w:p>
      <w:pPr>
        <w:ind w:left="406" w:right="120" w:hanging="406"/>
        <w:spacing w:after="0" w:line="235" w:lineRule="auto"/>
        <w:tabs>
          <w:tab w:leader="none" w:pos="399"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It may take signifcant tme, expenditure, or efort for us to grow our business, including our bitcoin datacenter operatons, through acquisitons, which we must efectvely integrate and manage and which may present unantcipated liabilites or challenges, and our eforts may not be successful.</w:t>
      </w:r>
    </w:p>
    <w:p>
      <w:pPr>
        <w:spacing w:after="0" w:line="110" w:lineRule="exact"/>
        <w:rPr>
          <w:rFonts w:ascii="Calibri" w:cs="Calibri" w:eastAsia="Calibri" w:hAnsi="Calibri"/>
          <w:sz w:val="18"/>
          <w:szCs w:val="18"/>
          <w:color w:val="auto"/>
        </w:rPr>
      </w:pPr>
    </w:p>
    <w:p>
      <w:pPr>
        <w:ind w:left="406" w:right="260" w:hanging="406"/>
        <w:spacing w:after="0" w:line="235" w:lineRule="auto"/>
        <w:tabs>
          <w:tab w:leader="none" w:pos="399"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We have experienced turnover in our senior management team and reduced our headcount in 2023 and 2024. If we fail to retain key talent or are unable to atract and retain other qualifed personnel, our results of operatons, strategy, and fnancial performance could be adversely afected.</w:t>
      </w:r>
    </w:p>
    <w:p>
      <w:pPr>
        <w:spacing w:after="0" w:line="110" w:lineRule="exact"/>
        <w:rPr>
          <w:rFonts w:ascii="Calibri" w:cs="Calibri" w:eastAsia="Calibri" w:hAnsi="Calibri"/>
          <w:sz w:val="18"/>
          <w:szCs w:val="18"/>
          <w:color w:val="auto"/>
        </w:rPr>
      </w:pPr>
    </w:p>
    <w:p>
      <w:pPr>
        <w:ind w:left="406" w:right="440" w:hanging="406"/>
        <w:spacing w:after="0" w:line="235" w:lineRule="auto"/>
        <w:tabs>
          <w:tab w:leader="none" w:pos="399"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We have been, are currently, and may be in the future, the subject of legal proceedings, administratve proceedings and inquiries, audits, or probes conducted by various government agencies or regulatory bodies.</w:t>
      </w:r>
    </w:p>
    <w:p>
      <w:pPr>
        <w:spacing w:after="0" w:line="109" w:lineRule="exact"/>
        <w:rPr>
          <w:rFonts w:ascii="Calibri" w:cs="Calibri" w:eastAsia="Calibri" w:hAnsi="Calibri"/>
          <w:sz w:val="18"/>
          <w:szCs w:val="18"/>
          <w:color w:val="auto"/>
        </w:rPr>
      </w:pPr>
    </w:p>
    <w:p>
      <w:pPr>
        <w:jc w:val="both"/>
        <w:ind w:left="406" w:right="20" w:hanging="406"/>
        <w:spacing w:after="0" w:line="235" w:lineRule="auto"/>
        <w:tabs>
          <w:tab w:leader="none" w:pos="399"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Our revenues are largely dependent on the single natural gas power generaton facility that we operate. Any disrupton to our single power plant, or a substantal porton of our other limited sources of revenues, would have a material adverse efect on our business and operatons, as well as our results of operatons and fnancial conditon.</w:t>
      </w:r>
    </w:p>
    <w:p>
      <w:pPr>
        <w:spacing w:after="0" w:line="105" w:lineRule="exact"/>
        <w:rPr>
          <w:rFonts w:ascii="Calibri" w:cs="Calibri" w:eastAsia="Calibri" w:hAnsi="Calibri"/>
          <w:sz w:val="18"/>
          <w:szCs w:val="18"/>
          <w:color w:val="auto"/>
        </w:rPr>
      </w:pPr>
    </w:p>
    <w:p>
      <w:pPr>
        <w:ind w:left="406" w:hanging="406"/>
        <w:spacing w:after="0"/>
        <w:tabs>
          <w:tab w:leader="none" w:pos="406"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We may not be able to compete efectvely against other companies, some of whom have greater resources and experience.</w:t>
      </w:r>
    </w:p>
    <w:p>
      <w:pPr>
        <w:spacing w:after="0" w:line="109" w:lineRule="exact"/>
        <w:rPr>
          <w:rFonts w:ascii="Calibri" w:cs="Calibri" w:eastAsia="Calibri" w:hAnsi="Calibri"/>
          <w:sz w:val="18"/>
          <w:szCs w:val="18"/>
          <w:color w:val="auto"/>
        </w:rPr>
      </w:pPr>
    </w:p>
    <w:p>
      <w:pPr>
        <w:ind w:left="406" w:right="60" w:hanging="406"/>
        <w:spacing w:after="0" w:line="258" w:lineRule="auto"/>
        <w:tabs>
          <w:tab w:leader="none" w:pos="399" w:val="left"/>
        </w:tabs>
        <w:numPr>
          <w:ilvl w:val="0"/>
          <w:numId w:val="4"/>
        </w:numPr>
        <w:rPr>
          <w:rFonts w:ascii="Calibri" w:cs="Calibri" w:eastAsia="Calibri" w:hAnsi="Calibri"/>
          <w:sz w:val="17"/>
          <w:szCs w:val="17"/>
          <w:color w:val="auto"/>
        </w:rPr>
      </w:pPr>
      <w:r>
        <w:rPr>
          <w:rFonts w:ascii="Calibri" w:cs="Calibri" w:eastAsia="Calibri" w:hAnsi="Calibri"/>
          <w:sz w:val="17"/>
          <w:szCs w:val="17"/>
          <w:color w:val="auto"/>
        </w:rPr>
        <w:t>As the aggregate amount of computng power, or hashrate, in the bitcoin network increases, the amount of bitcoin earned per unit of hashrate decreases; as a result, in order to maintain our market share, we may have to incur signifcant capital expenditures to expand our feet of miners.</w:t>
      </w:r>
    </w:p>
    <w:p>
      <w:pPr>
        <w:spacing w:after="0" w:line="93" w:lineRule="exact"/>
        <w:rPr>
          <w:rFonts w:ascii="Calibri" w:cs="Calibri" w:eastAsia="Calibri" w:hAnsi="Calibri"/>
          <w:sz w:val="17"/>
          <w:szCs w:val="17"/>
          <w:color w:val="auto"/>
        </w:rPr>
      </w:pPr>
    </w:p>
    <w:p>
      <w:pPr>
        <w:ind w:left="406" w:right="220" w:hanging="406"/>
        <w:spacing w:after="0" w:line="235" w:lineRule="auto"/>
        <w:tabs>
          <w:tab w:leader="none" w:pos="399"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Our future success will depend signifcantly on the price of bitcoin, which is subject to risk and has historically been subject to wide swings and signifcant volatlity.</w:t>
      </w:r>
    </w:p>
    <w:p>
      <w:pPr>
        <w:spacing w:after="0" w:line="109" w:lineRule="exact"/>
        <w:rPr>
          <w:rFonts w:ascii="Calibri" w:cs="Calibri" w:eastAsia="Calibri" w:hAnsi="Calibri"/>
          <w:sz w:val="18"/>
          <w:szCs w:val="18"/>
          <w:color w:val="auto"/>
        </w:rPr>
      </w:pPr>
    </w:p>
    <w:p>
      <w:pPr>
        <w:ind w:left="406" w:hanging="406"/>
        <w:spacing w:after="0" w:line="235" w:lineRule="auto"/>
        <w:tabs>
          <w:tab w:leader="none" w:pos="399"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The bitcoin reward for successfully uncovering a block will halve several tmes in the future and bitcoin value may not adjust to compensate us for the reducton in the rewards we receive from our bitcoin mining eforts;</w:t>
      </w:r>
    </w:p>
    <w:p>
      <w:pPr>
        <w:spacing w:after="0" w:line="109" w:lineRule="exact"/>
        <w:rPr>
          <w:rFonts w:ascii="Calibri" w:cs="Calibri" w:eastAsia="Calibri" w:hAnsi="Calibri"/>
          <w:sz w:val="18"/>
          <w:szCs w:val="18"/>
          <w:color w:val="auto"/>
        </w:rPr>
      </w:pPr>
    </w:p>
    <w:p>
      <w:pPr>
        <w:ind w:left="406" w:right="120" w:hanging="406"/>
        <w:spacing w:after="0" w:line="235" w:lineRule="auto"/>
        <w:tabs>
          <w:tab w:leader="none" w:pos="399"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The digital asset exchanges on which cryptocurrencies, including bitcoin, trade are relatvely new and largely unregulated, and thus may be exposed to fraud and business failure, as demonstrated by recent shutdowns of certain digital asset exchanges and trading platorms, which has negatvely impacted confdence in the digital asset industry as a whole. Such failures may result in a reducton in the price of bitcoin and other cryptocurrencies and can adversely afect an investment in us.</w:t>
      </w:r>
    </w:p>
    <w:p>
      <w:pPr>
        <w:spacing w:after="0" w:line="111" w:lineRule="exact"/>
        <w:rPr>
          <w:rFonts w:ascii="Calibri" w:cs="Calibri" w:eastAsia="Calibri" w:hAnsi="Calibri"/>
          <w:sz w:val="18"/>
          <w:szCs w:val="18"/>
          <w:color w:val="auto"/>
        </w:rPr>
      </w:pPr>
    </w:p>
    <w:p>
      <w:pPr>
        <w:ind w:left="406" w:hanging="406"/>
        <w:spacing w:after="0"/>
        <w:tabs>
          <w:tab w:leader="none" w:pos="406" w:val="left"/>
        </w:tabs>
        <w:numPr>
          <w:ilvl w:val="0"/>
          <w:numId w:val="4"/>
        </w:numPr>
        <w:rPr>
          <w:rFonts w:ascii="Calibri" w:cs="Calibri" w:eastAsia="Calibri" w:hAnsi="Calibri"/>
          <w:sz w:val="17"/>
          <w:szCs w:val="17"/>
          <w:color w:val="auto"/>
        </w:rPr>
      </w:pPr>
      <w:r>
        <w:rPr>
          <w:rFonts w:ascii="Calibri" w:cs="Calibri" w:eastAsia="Calibri" w:hAnsi="Calibri"/>
          <w:sz w:val="17"/>
          <w:szCs w:val="17"/>
          <w:color w:val="auto"/>
        </w:rPr>
        <w:t>The propertes utlized by us in our cryptocurrency datacenter and hostng may experience damage, including damage not covered by insurance.</w:t>
      </w:r>
    </w:p>
    <w:p>
      <w:pPr>
        <w:spacing w:after="0" w:line="116" w:lineRule="exact"/>
        <w:rPr>
          <w:rFonts w:ascii="Calibri" w:cs="Calibri" w:eastAsia="Calibri" w:hAnsi="Calibri"/>
          <w:sz w:val="17"/>
          <w:szCs w:val="17"/>
          <w:color w:val="auto"/>
        </w:rPr>
      </w:pPr>
    </w:p>
    <w:p>
      <w:pPr>
        <w:ind w:left="406" w:right="140" w:hanging="406"/>
        <w:spacing w:after="0" w:line="235" w:lineRule="auto"/>
        <w:tabs>
          <w:tab w:leader="none" w:pos="399"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While no formal regulatons have been proposed to classify bitcoin as a security, if regulatory changes or interpretatons classify bitcoin or other cryptocurrencies as investment securites, and we hold a signifcant porton of our assets in bitcoin or acquire and hold such other cryptocurrencies, we may inadvertently violate the Investment Company Act or other securites laws. We could incur large losses to modify our operatons to avoid the need to register as an investment company or could incur signifcant expenses to register as an investment company or could terminate operatons altogether.</w:t>
      </w:r>
    </w:p>
    <w:p>
      <w:pPr>
        <w:spacing w:after="0" w:line="112" w:lineRule="exact"/>
        <w:rPr>
          <w:rFonts w:ascii="Calibri" w:cs="Calibri" w:eastAsia="Calibri" w:hAnsi="Calibri"/>
          <w:sz w:val="18"/>
          <w:szCs w:val="18"/>
          <w:color w:val="auto"/>
        </w:rPr>
      </w:pPr>
    </w:p>
    <w:p>
      <w:pPr>
        <w:ind w:left="406" w:right="360" w:hanging="406"/>
        <w:spacing w:after="0" w:line="235" w:lineRule="auto"/>
        <w:tabs>
          <w:tab w:leader="none" w:pos="399"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Regulatory changes or actons may alter the nature of an investment in us or restrict the use of bitcoin in a manner that adversely afects our business prospects, results of operatons, and fnancial conditon.</w:t>
      </w:r>
    </w:p>
    <w:p>
      <w:pPr>
        <w:spacing w:after="0" w:line="109" w:lineRule="exact"/>
        <w:rPr>
          <w:rFonts w:ascii="Calibri" w:cs="Calibri" w:eastAsia="Calibri" w:hAnsi="Calibri"/>
          <w:sz w:val="18"/>
          <w:szCs w:val="18"/>
          <w:color w:val="auto"/>
        </w:rPr>
      </w:pPr>
    </w:p>
    <w:p>
      <w:pPr>
        <w:ind w:left="406" w:right="500" w:hanging="406"/>
        <w:spacing w:after="0" w:line="235" w:lineRule="auto"/>
        <w:tabs>
          <w:tab w:leader="none" w:pos="399"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We are subject to risks related to Internet disruptons, which could have an adverse efect on our ability to host bitcoin miners and to mine bitcoin.</w:t>
      </w:r>
    </w:p>
    <w:p>
      <w:pPr>
        <w:spacing w:after="0" w:line="109" w:lineRule="exact"/>
        <w:rPr>
          <w:rFonts w:ascii="Calibri" w:cs="Calibri" w:eastAsia="Calibri" w:hAnsi="Calibri"/>
          <w:sz w:val="18"/>
          <w:szCs w:val="18"/>
          <w:color w:val="auto"/>
        </w:rPr>
      </w:pPr>
    </w:p>
    <w:p>
      <w:pPr>
        <w:ind w:left="406" w:right="120" w:hanging="406"/>
        <w:spacing w:after="0" w:line="258" w:lineRule="auto"/>
        <w:tabs>
          <w:tab w:leader="none" w:pos="399" w:val="left"/>
        </w:tabs>
        <w:numPr>
          <w:ilvl w:val="0"/>
          <w:numId w:val="4"/>
        </w:numPr>
        <w:rPr>
          <w:rFonts w:ascii="Calibri" w:cs="Calibri" w:eastAsia="Calibri" w:hAnsi="Calibri"/>
          <w:sz w:val="17"/>
          <w:szCs w:val="17"/>
          <w:color w:val="auto"/>
        </w:rPr>
      </w:pPr>
      <w:r>
        <w:rPr>
          <w:rFonts w:ascii="Calibri" w:cs="Calibri" w:eastAsia="Calibri" w:hAnsi="Calibri"/>
          <w:sz w:val="17"/>
          <w:szCs w:val="17"/>
          <w:color w:val="auto"/>
        </w:rPr>
        <w:t>Maintenance, expansion, and refurbishment of power generaton facilites involve signifcant risks that could result in unplanned power outages or reduced output and could have a material adverse efect on our revenues, results of operatons, cash fows, and fnancial conditon.</w:t>
      </w:r>
    </w:p>
    <w:p>
      <w:pPr>
        <w:spacing w:after="0" w:line="93" w:lineRule="exact"/>
        <w:rPr>
          <w:rFonts w:ascii="Calibri" w:cs="Calibri" w:eastAsia="Calibri" w:hAnsi="Calibri"/>
          <w:sz w:val="17"/>
          <w:szCs w:val="17"/>
          <w:color w:val="auto"/>
        </w:rPr>
      </w:pPr>
    </w:p>
    <w:p>
      <w:pPr>
        <w:ind w:left="406" w:right="440" w:hanging="406"/>
        <w:spacing w:after="0" w:line="235" w:lineRule="auto"/>
        <w:tabs>
          <w:tab w:leader="none" w:pos="399"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Banks and fnancial insttutons may not provide bank accounts, or may cut of certain banking or other fnancial services, to cryptocurrency investors or businesses that engage in bitcoin-related actvites or that accept bitcoin as payment.</w:t>
      </w:r>
    </w:p>
    <w:p>
      <w:pPr>
        <w:spacing w:after="0" w:line="118" w:lineRule="exact"/>
        <w:rPr>
          <w:rFonts w:ascii="Calibri" w:cs="Calibri" w:eastAsia="Calibri" w:hAnsi="Calibri"/>
          <w:sz w:val="18"/>
          <w:szCs w:val="18"/>
          <w:color w:val="auto"/>
        </w:rPr>
      </w:pPr>
    </w:p>
    <w:p>
      <w:pPr>
        <w:ind w:left="406" w:hanging="406"/>
        <w:spacing w:after="0"/>
        <w:tabs>
          <w:tab w:leader="none" w:pos="406"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The impact of geopolitcal and economic events on the supply and demand for bitcoin is uncertain.</w:t>
      </w:r>
    </w:p>
    <w:p>
      <w:pPr>
        <w:spacing w:after="0" w:line="136" w:lineRule="exact"/>
        <w:rPr>
          <w:rFonts w:ascii="Calibri" w:cs="Calibri" w:eastAsia="Calibri" w:hAnsi="Calibri"/>
          <w:sz w:val="18"/>
          <w:szCs w:val="18"/>
          <w:color w:val="auto"/>
        </w:rPr>
      </w:pPr>
    </w:p>
    <w:p>
      <w:pPr>
        <w:ind w:left="406" w:right="140" w:hanging="406"/>
        <w:spacing w:after="0" w:line="235" w:lineRule="auto"/>
        <w:tabs>
          <w:tab w:leader="none" w:pos="399"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Bitcoin miners and other necessary hardware are subject to malfuncton, technological obsolescence, the global supply chain, and difculty and cost in obtaining new hardware.</w:t>
      </w:r>
    </w:p>
    <w:p>
      <w:pPr>
        <w:spacing w:after="0" w:line="239" w:lineRule="exact"/>
        <w:rPr>
          <w:rFonts w:ascii="Calibri" w:cs="Calibri" w:eastAsia="Calibri" w:hAnsi="Calibri"/>
          <w:sz w:val="18"/>
          <w:szCs w:val="18"/>
          <w:color w:val="auto"/>
        </w:rPr>
      </w:pPr>
    </w:p>
    <w:p>
      <w:pPr>
        <w:ind w:left="406" w:hanging="406"/>
        <w:spacing w:after="0"/>
        <w:tabs>
          <w:tab w:leader="none" w:pos="406"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We are exposed to the impact of market price changes in bitcoin on our bitcoin holdings.</w:t>
      </w:r>
    </w:p>
    <w:p>
      <w:pPr>
        <w:spacing w:after="0" w:line="356"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219075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1035" w:right="339" w:bottom="1440" w:gutter="0" w:footer="0" w:header="0"/>
        </w:sectPr>
      </w:pPr>
    </w:p>
    <w:bookmarkStart w:id="6" w:name="page7"/>
    <w:bookmarkEnd w:id="6"/>
    <w:p>
      <w:pPr>
        <w:ind w:left="900" w:hanging="406"/>
        <w:spacing w:after="0"/>
        <w:tabs>
          <w:tab w:leader="none" w:pos="90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We may not adequately respond to rapidly changing technology.</w:t>
      </w:r>
    </w:p>
    <w:p>
      <w:pPr>
        <w:spacing w:after="0" w:line="136" w:lineRule="exact"/>
        <w:rPr>
          <w:rFonts w:ascii="Calibri" w:cs="Calibri" w:eastAsia="Calibri" w:hAnsi="Calibri"/>
          <w:sz w:val="18"/>
          <w:szCs w:val="18"/>
          <w:color w:val="auto"/>
        </w:rPr>
      </w:pPr>
    </w:p>
    <w:p>
      <w:pPr>
        <w:ind w:left="900" w:right="80" w:hanging="406"/>
        <w:spacing w:after="0" w:line="235" w:lineRule="auto"/>
        <w:tabs>
          <w:tab w:leader="none" w:pos="89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A failure to properly monitor and upgrade the bitcoin network protocol could damage the bitcoin network which could, in turn, have an adverse efect on our business.</w:t>
      </w:r>
    </w:p>
    <w:p>
      <w:pPr>
        <w:spacing w:after="0" w:line="109" w:lineRule="exact"/>
        <w:rPr>
          <w:rFonts w:ascii="Calibri" w:cs="Calibri" w:eastAsia="Calibri" w:hAnsi="Calibri"/>
          <w:sz w:val="18"/>
          <w:szCs w:val="18"/>
          <w:color w:val="auto"/>
        </w:rPr>
      </w:pPr>
    </w:p>
    <w:p>
      <w:pPr>
        <w:ind w:left="900" w:right="200" w:hanging="406"/>
        <w:spacing w:after="0" w:line="235" w:lineRule="auto"/>
        <w:tabs>
          <w:tab w:leader="none" w:pos="89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Over tme, incentves for bitcoin miners to contnue to contribute processing power to the bitcoin network may transiton from a set reward to transacton fees. If the incentves for bitcoin mining are not sufciently high, we may not have an adequate incentve to contnue datacenter operatons.</w:t>
      </w:r>
    </w:p>
    <w:p>
      <w:pPr>
        <w:spacing w:after="0" w:line="110" w:lineRule="exact"/>
        <w:rPr>
          <w:rFonts w:ascii="Calibri" w:cs="Calibri" w:eastAsia="Calibri" w:hAnsi="Calibri"/>
          <w:sz w:val="18"/>
          <w:szCs w:val="18"/>
          <w:color w:val="auto"/>
        </w:rPr>
      </w:pPr>
    </w:p>
    <w:p>
      <w:pPr>
        <w:ind w:left="900" w:right="40" w:hanging="406"/>
        <w:spacing w:after="0" w:line="235" w:lineRule="auto"/>
        <w:tabs>
          <w:tab w:leader="none" w:pos="89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Our operatons and fnancial performance may be impacted by fuel supply disruptons, price fuctuatons in the wholesale power and natural gas markets, and fuctuatons in other market factors that are beyond our control.</w:t>
      </w:r>
    </w:p>
    <w:p>
      <w:pPr>
        <w:spacing w:after="0" w:line="11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risks described above should be read together with the text of the full risk factors described in Item 1A, "</w:t>
      </w:r>
      <w:r>
        <w:rPr>
          <w:rFonts w:ascii="Calibri" w:cs="Calibri" w:eastAsia="Calibri" w:hAnsi="Calibri"/>
          <w:sz w:val="18"/>
          <w:szCs w:val="18"/>
          <w:i w:val="1"/>
          <w:iCs w:val="1"/>
          <w:color w:val="auto"/>
        </w:rPr>
        <w:t>Risk Factors</w:t>
      </w:r>
      <w:r>
        <w:rPr>
          <w:rFonts w:ascii="Calibri" w:cs="Calibri" w:eastAsia="Calibri" w:hAnsi="Calibri"/>
          <w:sz w:val="18"/>
          <w:szCs w:val="18"/>
          <w:color w:val="auto"/>
        </w:rPr>
        <w:t xml:space="preserve">" and the other informaton set forth in this report, including our consolidated fnancial statements and the related notes, as well as in other documents that we fle with Securites and Exchange Commission (the "SEC"). Our business, prospects, results of operatons or fnancial conditon could be harmed by any of these risks, as well as other risks not currently known to us or that we currently consider immaterial. Certain statements in "Risk </w:t>
      </w:r>
      <w:r>
        <w:rPr>
          <w:rFonts w:ascii="Calibri" w:cs="Calibri" w:eastAsia="Calibri" w:hAnsi="Calibri"/>
          <w:sz w:val="18"/>
          <w:szCs w:val="18"/>
          <w:i w:val="1"/>
          <w:iCs w:val="1"/>
          <w:color w:val="auto"/>
        </w:rPr>
        <w:t>Factors</w:t>
      </w:r>
      <w:r>
        <w:rPr>
          <w:rFonts w:ascii="Calibri" w:cs="Calibri" w:eastAsia="Calibri" w:hAnsi="Calibri"/>
          <w:sz w:val="18"/>
          <w:szCs w:val="18"/>
          <w:color w:val="auto"/>
        </w:rPr>
        <w:t>" are forward-looking statements. See "</w:t>
      </w:r>
      <w:r>
        <w:rPr>
          <w:rFonts w:ascii="Calibri" w:cs="Calibri" w:eastAsia="Calibri" w:hAnsi="Calibri"/>
          <w:sz w:val="18"/>
          <w:szCs w:val="18"/>
          <w:i w:val="1"/>
          <w:iCs w:val="1"/>
          <w:color w:val="auto"/>
        </w:rPr>
        <w:t>Cautonary</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Statement Regarding Forward-Looking Statements" </w:t>
      </w:r>
      <w:r>
        <w:rPr>
          <w:rFonts w:ascii="Calibri" w:cs="Calibri" w:eastAsia="Calibri" w:hAnsi="Calibri"/>
          <w:sz w:val="18"/>
          <w:szCs w:val="18"/>
          <w:color w:val="auto"/>
        </w:rPr>
        <w:t>above.</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4" w:right="37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28" w:lineRule="exact"/>
        <w:rPr>
          <w:sz w:val="20"/>
          <w:szCs w:val="20"/>
          <w:color w:val="auto"/>
        </w:rPr>
      </w:pPr>
    </w:p>
    <w:p>
      <w:pPr>
        <w:spacing w:after="0" w:line="239" w:lineRule="auto"/>
        <w:rPr>
          <w:sz w:val="20"/>
          <w:szCs w:val="20"/>
          <w:color w:val="auto"/>
        </w:rPr>
      </w:pPr>
      <w:r>
        <w:rPr>
          <w:rFonts w:ascii="Calibri" w:cs="Calibri" w:eastAsia="Calibri" w:hAnsi="Calibri"/>
          <w:sz w:val="18"/>
          <w:szCs w:val="18"/>
          <w:color w:val="auto"/>
        </w:rPr>
        <w:t>We are a developer and operator of datacenters focused on cryptocurrency mining and infrastructure development. We currently build, maintain and operate data centers focused on bitcoin mining, along with related power and electric infrastructure. We generate revenue from (1) datacenter hostng, (2) cryptocurrency self-mining, and (3) power and capacity sales. We are focused on utlizing our power generaton and datacenter operaton expertse to connect datacenter power demand with stranded electrical assets through the identfcaton and development of new datacenter sites.</w:t>
      </w:r>
    </w:p>
    <w:p>
      <w:pPr>
        <w:spacing w:after="0" w:line="245" w:lineRule="exact"/>
        <w:rPr>
          <w:sz w:val="20"/>
          <w:szCs w:val="20"/>
          <w:color w:val="auto"/>
        </w:rPr>
      </w:pPr>
    </w:p>
    <w:p>
      <w:pPr>
        <w:ind w:right="80"/>
        <w:spacing w:after="0" w:line="273" w:lineRule="auto"/>
        <w:rPr>
          <w:sz w:val="20"/>
          <w:szCs w:val="20"/>
          <w:color w:val="auto"/>
        </w:rPr>
      </w:pPr>
      <w:r>
        <w:rPr>
          <w:rFonts w:ascii="Calibri" w:cs="Calibri" w:eastAsia="Calibri" w:hAnsi="Calibri"/>
          <w:sz w:val="17"/>
          <w:szCs w:val="17"/>
          <w:color w:val="auto"/>
        </w:rPr>
        <w:t xml:space="preserve">We own and operate a vertcally integrated cryptocurrency datacenter and power generaton facility in Torrey, New York (the “New York Facility”), with an approximately 106 megawat (“MW”) nameplate capacity natural gas power generaton plant. </w:t>
      </w:r>
      <w:r>
        <w:rPr>
          <w:rFonts w:ascii="Calibri" w:cs="Calibri" w:eastAsia="Calibri" w:hAnsi="Calibri"/>
          <w:sz w:val="20"/>
          <w:szCs w:val="20"/>
          <w:color w:val="auto"/>
        </w:rPr>
        <w:t>I</w:t>
      </w:r>
      <w:r>
        <w:rPr>
          <w:rFonts w:ascii="Calibri" w:cs="Calibri" w:eastAsia="Calibri" w:hAnsi="Calibri"/>
          <w:sz w:val="17"/>
          <w:szCs w:val="17"/>
          <w:color w:val="auto"/>
        </w:rPr>
        <w:t>n 2024, we expanded our operatons through the purchase of 12 acres of land in Columbus, Mississippi with 73,000 square feet of industrial warehouse space (the “Mississippi Facility”), which provided us with access to an additonal 32.5 MW of power capacity. In the second quarter of 2024, we deployed 7 MW of miners for use in self-mining at the Mississippi Facility. Additonally, we added 7.5 MW of self-mining capacity through a fve-year lease which provides us with energy access to power mining. To maximize our hashrate capacity, we have deployed, and may contnue to deploy, excess miners in our feet to third-party hosted sites under short-term arrangements.</w:t>
      </w:r>
    </w:p>
    <w:p>
      <w:pPr>
        <w:spacing w:after="0" w:line="17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Developments</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South Carolina Facility Transactons</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On November 9, 2023, we closed the sale of our facility in Spartanburg, South Carolina (the "South Carolina Facility") to NYDIG ABL LLC ("NYDIG") to complete a deleveraging transacton. In exchange for selling our upgraded 44 MW South Carolina mining facilites and approximately 22 acres of subdivided real estate to NYDIG, we received total consideraton of $28 million, as follows:</w:t>
      </w:r>
    </w:p>
    <w:p>
      <w:pPr>
        <w:spacing w:after="0" w:line="349" w:lineRule="exact"/>
        <w:rPr>
          <w:sz w:val="20"/>
          <w:szCs w:val="20"/>
          <w:color w:val="auto"/>
        </w:rPr>
      </w:pPr>
    </w:p>
    <w:p>
      <w:pPr>
        <w:ind w:left="640" w:hanging="308"/>
        <w:spacing w:after="0"/>
        <w:tabs>
          <w:tab w:leader="none" w:pos="6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The remaining principal balance of $17.7 million on our Senior Secured Loan with NYDIG, entered into on January 30, 2023, was extnguished;</w:t>
      </w:r>
    </w:p>
    <w:p>
      <w:pPr>
        <w:spacing w:after="0" w:line="230" w:lineRule="exact"/>
        <w:rPr>
          <w:rFonts w:ascii="Calibri" w:cs="Calibri" w:eastAsia="Calibri" w:hAnsi="Calibri"/>
          <w:sz w:val="18"/>
          <w:szCs w:val="18"/>
          <w:color w:val="auto"/>
        </w:rPr>
      </w:pPr>
    </w:p>
    <w:p>
      <w:pPr>
        <w:ind w:left="660" w:right="200" w:hanging="328"/>
        <w:spacing w:after="0" w:line="227"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The remaining principal balance of $4.1 million on our Secured Promissory Note, originally issued to B. Riley Commercial Capital, LLC on March 18, 2022, and later purchased by NYDIG at par on July 20, 2023, was extnguished;</w:t>
      </w:r>
    </w:p>
    <w:p>
      <w:pPr>
        <w:spacing w:after="0" w:line="241" w:lineRule="exact"/>
        <w:rPr>
          <w:rFonts w:ascii="Calibri" w:cs="Calibri" w:eastAsia="Calibri" w:hAnsi="Calibri"/>
          <w:sz w:val="18"/>
          <w:szCs w:val="18"/>
          <w:color w:val="auto"/>
        </w:rPr>
      </w:pPr>
    </w:p>
    <w:p>
      <w:pPr>
        <w:ind w:left="640" w:hanging="308"/>
        <w:spacing w:after="0"/>
        <w:tabs>
          <w:tab w:leader="none" w:pos="6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A cash payment of approximately $4.5 million; and</w:t>
      </w:r>
    </w:p>
    <w:p>
      <w:pPr>
        <w:spacing w:after="0" w:line="230" w:lineRule="exact"/>
        <w:rPr>
          <w:rFonts w:ascii="Calibri" w:cs="Calibri" w:eastAsia="Calibri" w:hAnsi="Calibri"/>
          <w:sz w:val="18"/>
          <w:szCs w:val="18"/>
          <w:color w:val="auto"/>
        </w:rPr>
      </w:pPr>
    </w:p>
    <w:p>
      <w:pPr>
        <w:ind w:left="640" w:hanging="308"/>
        <w:spacing w:after="0"/>
        <w:tabs>
          <w:tab w:leader="none" w:pos="640"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A bonus payment of approximately $1.6 million as a result of the completon of the upgraded mining facility expansion and its uptme performance.</w:t>
      </w:r>
    </w:p>
    <w:p>
      <w:pPr>
        <w:spacing w:after="0" w:line="238" w:lineRule="exact"/>
        <w:rPr>
          <w:sz w:val="20"/>
          <w:szCs w:val="20"/>
          <w:color w:val="auto"/>
        </w:rPr>
      </w:pPr>
    </w:p>
    <w:p>
      <w:pPr>
        <w:ind w:right="800"/>
        <w:spacing w:after="0" w:line="235" w:lineRule="auto"/>
        <w:rPr>
          <w:sz w:val="20"/>
          <w:szCs w:val="20"/>
          <w:color w:val="auto"/>
        </w:rPr>
      </w:pPr>
      <w:r>
        <w:rPr>
          <w:rFonts w:ascii="Calibri" w:cs="Calibri" w:eastAsia="Calibri" w:hAnsi="Calibri"/>
          <w:sz w:val="18"/>
          <w:szCs w:val="18"/>
          <w:color w:val="auto"/>
        </w:rPr>
        <w:t>The Company recognized a gain on the sale of the South Carolina Facility of $8.2 million. Subsequent to such sale, we retained 152 acres of land for development.</w:t>
      </w:r>
    </w:p>
    <w:p>
      <w:pPr>
        <w:spacing w:after="0" w:line="231" w:lineRule="exact"/>
        <w:rPr>
          <w:sz w:val="20"/>
          <w:szCs w:val="20"/>
          <w:color w:val="auto"/>
        </w:rPr>
      </w:pPr>
    </w:p>
    <w:p>
      <w:pPr>
        <w:ind w:right="20"/>
        <w:spacing w:after="0" w:line="227" w:lineRule="auto"/>
        <w:rPr>
          <w:sz w:val="20"/>
          <w:szCs w:val="20"/>
          <w:color w:val="auto"/>
        </w:rPr>
      </w:pPr>
      <w:r>
        <w:rPr>
          <w:rFonts w:ascii="Calibri" w:cs="Calibri" w:eastAsia="Calibri" w:hAnsi="Calibri"/>
          <w:sz w:val="18"/>
          <w:szCs w:val="18"/>
          <w:color w:val="auto"/>
        </w:rPr>
        <w:t>On November 27, 2024, we entered into a purchase and sale agreement to sell the remaining 152 acres to Data Journey LLC ("Data Journey") for $12.1 million in cash and an 8% proft partcipaton interest in the property's planned data center. We expect the sale to close in 2025.</w:t>
      </w: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Infnite Reality, Inc. Equity Exchange Agreement</w:t>
      </w:r>
    </w:p>
    <w:p>
      <w:pPr>
        <w:spacing w:after="0" w:line="204" w:lineRule="exact"/>
        <w:rPr>
          <w:sz w:val="20"/>
          <w:szCs w:val="20"/>
          <w:color w:val="auto"/>
        </w:rPr>
      </w:pPr>
    </w:p>
    <w:p>
      <w:pPr>
        <w:ind w:right="200"/>
        <w:spacing w:after="0" w:line="228" w:lineRule="auto"/>
        <w:rPr>
          <w:sz w:val="20"/>
          <w:szCs w:val="20"/>
          <w:color w:val="auto"/>
        </w:rPr>
      </w:pPr>
      <w:r>
        <w:rPr>
          <w:rFonts w:ascii="Calibri" w:cs="Calibri" w:eastAsia="Calibri" w:hAnsi="Calibri"/>
          <w:sz w:val="18"/>
          <w:szCs w:val="18"/>
          <w:color w:val="auto"/>
        </w:rPr>
        <w:t>On December 11, 2023, we entered into an Equity Exchange Agreement (the “Equity Exchange Agreement”) with Infnite Reality, Inc. (“Infnite Reality”), pursuant to which, among other things, (i) we issued to Infnite Reality a one-year warrant to purchase 180,000 shares of our Class A common stock at an exercise price of $7.00 per share (the “1-Year Warrant”), the proceeds of which, upon exercise, are required to be used for the development of a proposed new data center contemplated by a Master Services Agreement entered into between us and Infnite Reality on December 11, 2023, and (ii) we issued 180,000 shares of our Class A common stock to Infnite Reality, which shares will not be registered with the SEC. The shares of Class A common stock issued under the Equity Exchange Agreement and that may be issued pursuant</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 w:name="page9"/>
    <w:bookmarkEnd w:id="8"/>
    <w:p>
      <w:pPr>
        <w:spacing w:after="0" w:line="227" w:lineRule="auto"/>
        <w:rPr>
          <w:sz w:val="20"/>
          <w:szCs w:val="20"/>
          <w:color w:val="auto"/>
        </w:rPr>
      </w:pPr>
      <w:r>
        <w:rPr>
          <w:rFonts w:ascii="Calibri" w:cs="Calibri" w:eastAsia="Calibri" w:hAnsi="Calibri"/>
          <w:sz w:val="18"/>
          <w:szCs w:val="18"/>
          <w:color w:val="auto"/>
        </w:rPr>
        <w:t>to the exercise of the 1-Year Warrant were ofered and sold in a transacton exempt from registraton under the Securites Act, in reliance on Secton 4(a)(2) of the Securites Act. On December 11, 2024, the 1-Year Warrant expired unexercised.</w:t>
      </w:r>
    </w:p>
    <w:p>
      <w:pPr>
        <w:spacing w:after="0" w:line="219" w:lineRule="exact"/>
        <w:rPr>
          <w:sz w:val="20"/>
          <w:szCs w:val="20"/>
          <w:color w:val="auto"/>
        </w:rPr>
      </w:pPr>
    </w:p>
    <w:p>
      <w:pPr>
        <w:ind w:right="220"/>
        <w:spacing w:after="0" w:line="228" w:lineRule="auto"/>
        <w:rPr>
          <w:sz w:val="20"/>
          <w:szCs w:val="20"/>
          <w:color w:val="auto"/>
        </w:rPr>
      </w:pPr>
      <w:r>
        <w:rPr>
          <w:rFonts w:ascii="Calibri" w:cs="Calibri" w:eastAsia="Calibri" w:hAnsi="Calibri"/>
          <w:sz w:val="18"/>
          <w:szCs w:val="18"/>
          <w:color w:val="auto"/>
        </w:rPr>
        <w:t>In exchange for issuing the 1-Year Warrant and Class A common stock, we received (i) a one-year warrant to purchase 235,754 shares of Infnite Reality's common stock at an exercise price of $5.35 per share (the "Infnite Reality Warrant") and (ii) 280,374 shares of Infnite Reality's common stock. The Infnite Reality Warrant was automatcally exercise on a net setlement basis immediately prior to expiraton on December 11, 2024. As of the date of this Annual Report, we have not received the exercised shares in connecton with the Infnite Reality Warrant.</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Armistce Capital Master Fund Ltd. Securites Purchase Agreement</w:t>
      </w:r>
    </w:p>
    <w:p>
      <w:pPr>
        <w:spacing w:after="0" w:line="204" w:lineRule="exact"/>
        <w:rPr>
          <w:sz w:val="20"/>
          <w:szCs w:val="20"/>
          <w:color w:val="auto"/>
        </w:rPr>
      </w:pPr>
    </w:p>
    <w:p>
      <w:pPr>
        <w:ind w:right="80"/>
        <w:spacing w:after="0" w:line="221" w:lineRule="auto"/>
        <w:rPr>
          <w:sz w:val="20"/>
          <w:szCs w:val="20"/>
          <w:color w:val="auto"/>
        </w:rPr>
      </w:pPr>
      <w:r>
        <w:rPr>
          <w:rFonts w:ascii="Calibri" w:cs="Calibri" w:eastAsia="Calibri" w:hAnsi="Calibri"/>
          <w:sz w:val="18"/>
          <w:szCs w:val="18"/>
          <w:color w:val="auto"/>
        </w:rPr>
        <w:t>On February 12, 2024, we entered into a securites purchase agreement (the “Armistce SPA”) with Armistce Capital Master Fund Ltd. (“Armistce”). Pursuant to the Armistce SPA, Armistce purchased (i) 450,300 shares of our Class A common stock (the “SPA Shares”), and (ii) a pre-funded warrant (the “Pre-Funded Warrant”) to purchase 810,205 shares of our Class A common stock (the “Pre-Funded Warrant Shares”). The per share purchase price of the SPA Shares and the Pre-Funded Warrant Shares was $4.76, resultng in aggregate gross proceeds of $6.0 million, and afer giving efect to the exercise price of $0.0001 per Pre-Funded Warrant Share, we received net proceeds of $6.0 million. In additon, we issued to Armistce a fve-year warrant (the “5-Year Warrant”) to purchase up to 1,260,505 shares of Class A common stock, exercisable commencing on August 14, 2024 at an exercise price of $5.25 per share (the “Warrant Shares”). During the year ended December 31, 2024, the Company issued 810,205 upon receiving notce of exercise in connecton with the Pre-Funded Warrant. As of the date of this Annual Report, the 5-Year Warrant remains unexercised.</w:t>
      </w:r>
    </w:p>
    <w:p>
      <w:pPr>
        <w:spacing w:after="0" w:line="217"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Pursuant to the Armistce SPA, we were obligated to fle a resale registraton statement covering the SPA Shares, the Pre-Funded Warrant Shares, and the Warrant Shares no later than ten (10) days afer fling of our Annual Report for the year ended December 31, 2023.</w:t>
      </w:r>
    </w:p>
    <w:p>
      <w:pPr>
        <w:spacing w:after="0" w:line="204" w:lineRule="exact"/>
        <w:rPr>
          <w:sz w:val="20"/>
          <w:szCs w:val="20"/>
          <w:color w:val="auto"/>
        </w:rPr>
      </w:pPr>
    </w:p>
    <w:p>
      <w:pPr>
        <w:spacing w:after="0" w:line="227" w:lineRule="auto"/>
        <w:rPr>
          <w:sz w:val="20"/>
          <w:szCs w:val="20"/>
          <w:color w:val="auto"/>
        </w:rPr>
      </w:pPr>
      <w:r>
        <w:rPr>
          <w:rFonts w:ascii="Calibri" w:cs="Calibri" w:eastAsia="Calibri" w:hAnsi="Calibri"/>
          <w:sz w:val="18"/>
          <w:szCs w:val="18"/>
          <w:color w:val="auto"/>
        </w:rPr>
        <w:t>The SPA Shares and the shares of Class A common stock issued pursuant to the Pre-Funded Warrant and issuable pursuant to the 5-Year Warrant were ofered and sold in a transacton exempt from registraton under the Securites Act, in reliance on Secton 4(a)(2) of the Securites Act.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Mississippi Expansion</w:t>
      </w:r>
    </w:p>
    <w:p>
      <w:pPr>
        <w:spacing w:after="0" w:line="204"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On April 10, 2024, we closed on the purchase of a parcel of land containing approximately 12 acres located in Columbus, Mississippi, including over 73,000 square feet of industrial warehouse space (the “Columbus Property”). The Columbus Property provides us with access to 32.5 MW of additonal power capacity and we deployed 7 MW of miners on the Columbus Property in the second quarter of 2024. We have also deployed additonal miners in conjuncton with a 7.5 MW mining capacity lease in North Dakota, which has a term of fve years and provides us with energy to power mining.</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Launch of Pod X Portable Mining Soluton</w:t>
      </w:r>
    </w:p>
    <w:p>
      <w:pPr>
        <w:spacing w:after="0" w:line="217" w:lineRule="exact"/>
        <w:rPr>
          <w:sz w:val="20"/>
          <w:szCs w:val="20"/>
          <w:color w:val="auto"/>
        </w:rPr>
      </w:pPr>
    </w:p>
    <w:p>
      <w:pPr>
        <w:ind w:right="400"/>
        <w:spacing w:after="0" w:line="258" w:lineRule="auto"/>
        <w:rPr>
          <w:sz w:val="20"/>
          <w:szCs w:val="20"/>
          <w:color w:val="auto"/>
        </w:rPr>
      </w:pPr>
      <w:r>
        <w:rPr>
          <w:rFonts w:ascii="Calibri" w:cs="Calibri" w:eastAsia="Calibri" w:hAnsi="Calibri"/>
          <w:sz w:val="17"/>
          <w:szCs w:val="17"/>
          <w:color w:val="auto"/>
        </w:rPr>
        <w:t>In July 2024, we announced the launch of our Pod X portable cryptocurrency mining infrastructure soluton, which is deployed at our facilites across the United States and refects a culminaton of our experience in maintaining optmal temperature control and uptme using portable mining equipment.</w:t>
      </w:r>
    </w:p>
    <w:p>
      <w:pPr>
        <w:spacing w:after="0" w:line="197"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Common Stock Purchase Agreement with B. Riley Principal Capital II, LLC</w:t>
      </w:r>
    </w:p>
    <w:p>
      <w:pPr>
        <w:spacing w:after="0" w:line="217" w:lineRule="exact"/>
        <w:rPr>
          <w:sz w:val="20"/>
          <w:szCs w:val="20"/>
          <w:color w:val="auto"/>
        </w:rPr>
      </w:pPr>
    </w:p>
    <w:p>
      <w:pPr>
        <w:jc w:val="both"/>
        <w:ind w:right="80"/>
        <w:spacing w:after="0" w:line="235" w:lineRule="auto"/>
        <w:rPr>
          <w:sz w:val="20"/>
          <w:szCs w:val="20"/>
          <w:color w:val="auto"/>
        </w:rPr>
      </w:pPr>
      <w:r>
        <w:rPr>
          <w:rFonts w:ascii="Calibri" w:cs="Calibri" w:eastAsia="Calibri" w:hAnsi="Calibri"/>
          <w:sz w:val="18"/>
          <w:szCs w:val="18"/>
          <w:color w:val="auto"/>
        </w:rPr>
        <w:t>On July 30, 2024, we entered into a common stock purchase agreement (the "Common Stock Purchase Agreement") with B. Riley Principal Capital II, LLC, "B. Riley Principal II"), an afliate of B. Riley Principal Capital, LLC ("B. Riley Principal"). Pursuant to the Common Stock Purchase Agreement, we have the right to sell to B. Riley Principal II up to $20 million in shares of its Class A common stock, subject to certain limitatons and the satsfacton of specifed conditons in the Common Stock Purchase Agreement, from tme to tme over the 36-month period commencing September 24, 2024.</w:t>
      </w:r>
    </w:p>
    <w:p>
      <w:pPr>
        <w:spacing w:after="0" w:line="219" w:lineRule="exact"/>
        <w:rPr>
          <w:sz w:val="20"/>
          <w:szCs w:val="20"/>
          <w:color w:val="auto"/>
        </w:rPr>
      </w:pPr>
    </w:p>
    <w:p>
      <w:pPr>
        <w:ind w:right="200"/>
        <w:spacing w:after="0" w:line="228" w:lineRule="auto"/>
        <w:rPr>
          <w:sz w:val="20"/>
          <w:szCs w:val="20"/>
          <w:color w:val="auto"/>
        </w:rPr>
      </w:pPr>
      <w:r>
        <w:rPr>
          <w:rFonts w:ascii="Calibri" w:cs="Calibri" w:eastAsia="Calibri" w:hAnsi="Calibri"/>
          <w:sz w:val="18"/>
          <w:szCs w:val="18"/>
          <w:color w:val="auto"/>
        </w:rPr>
        <w:t>In connecton with the Common Stock Purchase Agreement, we entered into a registraton rights agreement with B. Riley Principal II, pursuant to which we agreed to prepare and fle a registraton statement registering the resale by B. Riley Principal II of those shares of our Class A common stock to be issued under the Common Stock Purchase Agreement. The registraton statement became efectve on September 24, 2024 (the "Efectve Date"), relatng to the resale of 7,300,000 shares of Greenidge's Class A common stock in connecton with the Common Stock Purchase Agreement.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9" w:name="page10"/>
    <w:bookmarkEnd w:id="9"/>
    <w:p>
      <w:pPr>
        <w:ind w:right="60"/>
        <w:spacing w:after="0" w:line="227" w:lineRule="auto"/>
        <w:rPr>
          <w:sz w:val="20"/>
          <w:szCs w:val="20"/>
          <w:color w:val="auto"/>
        </w:rPr>
      </w:pPr>
      <w:r>
        <w:rPr>
          <w:rFonts w:ascii="Calibri" w:cs="Calibri" w:eastAsia="Calibri" w:hAnsi="Calibri"/>
          <w:sz w:val="18"/>
          <w:szCs w:val="18"/>
          <w:color w:val="auto"/>
        </w:rPr>
        <w:t>From the Efectve Date through March 25, 2025, we issued 1,595,855 shares under the Common Stock Purchase Agreement for net proceeds of $4.3 million, of which all shares were issued and net proceeds were received during the year ended December 31, 2024.</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Announcement of Bitcoin Self-Mining Retenton Strategy</w:t>
      </w:r>
    </w:p>
    <w:p>
      <w:pPr>
        <w:spacing w:after="0" w:line="21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On August 1, 2024, we announced our new bitcoin self-mining retenton strategy, which enables us to accumulate bitcoin from our owned miners in order to increase our bitcoin holdings.</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Privately Negotated Debt Exchange Agreements</w:t>
      </w:r>
    </w:p>
    <w:p>
      <w:pPr>
        <w:spacing w:after="0" w:line="204" w:lineRule="exact"/>
        <w:rPr>
          <w:sz w:val="20"/>
          <w:szCs w:val="20"/>
          <w:color w:val="auto"/>
        </w:rPr>
      </w:pPr>
    </w:p>
    <w:p>
      <w:pPr>
        <w:spacing w:after="0" w:line="220" w:lineRule="auto"/>
        <w:rPr>
          <w:sz w:val="20"/>
          <w:szCs w:val="20"/>
          <w:color w:val="auto"/>
        </w:rPr>
      </w:pPr>
      <w:r>
        <w:rPr>
          <w:rFonts w:ascii="Calibri" w:cs="Calibri" w:eastAsia="Calibri" w:hAnsi="Calibri"/>
          <w:sz w:val="18"/>
          <w:szCs w:val="18"/>
          <w:color w:val="auto"/>
        </w:rPr>
        <w:t>During the fourth quarter of 2024, we entered into privately negotated exchange agreements, pursuant to which we issued shares of our Class A common stock in exchange for principal amounts of our Senior Notes. From the date of the frst exchange to the date of this Annual Report, we issued 1,335,889 shares of our Class A common stock in exchange for $5.5 million aggregate principal amount of our Senior Notes, of which 692,433 shares were exchanged for $3.7 million aggregate principal amount of our Senior Notes during the year ended December 31, 2024. Such transactons were exempt from registraton under Secton 3(a)(9) of the Securites Act.</w:t>
      </w:r>
    </w:p>
    <w:p>
      <w:pPr>
        <w:spacing w:after="0" w:line="20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Equity Interest Payment Agreement</w:t>
      </w:r>
    </w:p>
    <w:p>
      <w:pPr>
        <w:spacing w:after="0" w:line="204" w:lineRule="exact"/>
        <w:rPr>
          <w:sz w:val="20"/>
          <w:szCs w:val="20"/>
          <w:color w:val="auto"/>
        </w:rPr>
      </w:pPr>
    </w:p>
    <w:p>
      <w:pPr>
        <w:ind w:right="120"/>
        <w:spacing w:after="0" w:line="223" w:lineRule="auto"/>
        <w:rPr>
          <w:sz w:val="20"/>
          <w:szCs w:val="20"/>
          <w:color w:val="auto"/>
        </w:rPr>
      </w:pPr>
      <w:r>
        <w:rPr>
          <w:rFonts w:ascii="Calibri" w:cs="Calibri" w:eastAsia="Calibri" w:hAnsi="Calibri"/>
          <w:sz w:val="18"/>
          <w:szCs w:val="18"/>
          <w:color w:val="auto"/>
        </w:rPr>
        <w:t>On January 24, 2025, we entered into an Equity Interest Payment Agreement, that as consideraton for Atlas' contnued credit support with respect to leters of credit it maintains, we agreed to pay interest at a rate of 8.5% per annum. Payments will be made by issuing shares of our Class A common stock, with the total cumulatve shares not to exceed 19.99% of the sum of the number of Class A common stock and Class B common stock outstanding. Subsequent payments will then be made in cash. In connecton with the Equity Interest Payment Agreement, we agreed to pay, by issuing shares of our Class A common stock, a leter of credit extension payment as further consideraton for Atlas to enter into the Equity Interest Payment Agreement and maintain the leters of credit. From the efectve date to the date of this Annual Report, we issued 752,742 shares of Class A common stock to setle the leter of credit extension payment.</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Growth Opportunites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We view our growth opportunites as primarily related to the following areas:</w:t>
      </w:r>
    </w:p>
    <w:p>
      <w:pPr>
        <w:spacing w:after="0" w:line="104" w:lineRule="exact"/>
        <w:rPr>
          <w:sz w:val="20"/>
          <w:szCs w:val="20"/>
          <w:color w:val="auto"/>
        </w:rPr>
      </w:pPr>
    </w:p>
    <w:p>
      <w:pPr>
        <w:ind w:left="980" w:hanging="648"/>
        <w:spacing w:after="0"/>
        <w:tabs>
          <w:tab w:leader="none" w:pos="98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Acquisiton of propertes with low-cost power</w:t>
      </w:r>
    </w:p>
    <w:p>
      <w:pPr>
        <w:spacing w:after="0" w:line="95" w:lineRule="exact"/>
        <w:rPr>
          <w:rFonts w:ascii="Calibri" w:cs="Calibri" w:eastAsia="Calibri" w:hAnsi="Calibri"/>
          <w:sz w:val="18"/>
          <w:szCs w:val="18"/>
          <w:color w:val="auto"/>
        </w:rPr>
      </w:pPr>
    </w:p>
    <w:p>
      <w:pPr>
        <w:ind w:left="980" w:right="220" w:hanging="648"/>
        <w:spacing w:after="0" w:line="227" w:lineRule="auto"/>
        <w:tabs>
          <w:tab w:leader="none" w:pos="973"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Development of owned propertes for artfcial intelligence ("AI")/graphics processing unit ("GPU") data center, bitcoin self-mining and bitcoin hostng</w:t>
      </w:r>
    </w:p>
    <w:p>
      <w:pPr>
        <w:spacing w:after="0" w:line="106" w:lineRule="exact"/>
        <w:rPr>
          <w:rFonts w:ascii="Calibri" w:cs="Calibri" w:eastAsia="Calibri" w:hAnsi="Calibri"/>
          <w:sz w:val="18"/>
          <w:szCs w:val="18"/>
          <w:color w:val="auto"/>
        </w:rPr>
      </w:pPr>
    </w:p>
    <w:p>
      <w:pPr>
        <w:ind w:left="980" w:hanging="648"/>
        <w:spacing w:after="0"/>
        <w:tabs>
          <w:tab w:leader="none" w:pos="98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Sale of owned propertes for AI/GPU data center constructon</w:t>
      </w:r>
    </w:p>
    <w:p>
      <w:pPr>
        <w:spacing w:after="0" w:line="90" w:lineRule="exact"/>
        <w:rPr>
          <w:rFonts w:ascii="Calibri" w:cs="Calibri" w:eastAsia="Calibri" w:hAnsi="Calibri"/>
          <w:sz w:val="18"/>
          <w:szCs w:val="18"/>
          <w:color w:val="auto"/>
        </w:rPr>
      </w:pPr>
    </w:p>
    <w:p>
      <w:pPr>
        <w:ind w:left="980" w:hanging="648"/>
        <w:spacing w:after="0"/>
        <w:tabs>
          <w:tab w:leader="none" w:pos="98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Infrastructure services and development for AI and high-performance computng ("HPC")</w:t>
      </w:r>
    </w:p>
    <w:p>
      <w:pPr>
        <w:spacing w:after="0" w:line="90" w:lineRule="exact"/>
        <w:rPr>
          <w:rFonts w:ascii="Calibri" w:cs="Calibri" w:eastAsia="Calibri" w:hAnsi="Calibri"/>
          <w:sz w:val="18"/>
          <w:szCs w:val="18"/>
          <w:color w:val="auto"/>
        </w:rPr>
      </w:pPr>
    </w:p>
    <w:p>
      <w:pPr>
        <w:ind w:left="980" w:hanging="648"/>
        <w:spacing w:after="0"/>
        <w:tabs>
          <w:tab w:leader="none" w:pos="98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Purchase and deployment of GPUs for AI and HPC</w:t>
      </w:r>
    </w:p>
    <w:p>
      <w:pPr>
        <w:spacing w:after="0" w:line="104" w:lineRule="exact"/>
        <w:rPr>
          <w:rFonts w:ascii="Calibri" w:cs="Calibri" w:eastAsia="Calibri" w:hAnsi="Calibri"/>
          <w:sz w:val="18"/>
          <w:szCs w:val="18"/>
          <w:color w:val="auto"/>
        </w:rPr>
      </w:pPr>
    </w:p>
    <w:p>
      <w:pPr>
        <w:ind w:left="980" w:hanging="648"/>
        <w:spacing w:after="0"/>
        <w:tabs>
          <w:tab w:leader="none" w:pos="98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Engineering Procurement and Constructon Management (“EPCM”) contracts</w:t>
      </w:r>
    </w:p>
    <w:p>
      <w:pPr>
        <w:spacing w:after="0" w:line="90" w:lineRule="exact"/>
        <w:rPr>
          <w:rFonts w:ascii="Calibri" w:cs="Calibri" w:eastAsia="Calibri" w:hAnsi="Calibri"/>
          <w:sz w:val="18"/>
          <w:szCs w:val="18"/>
          <w:color w:val="auto"/>
        </w:rPr>
      </w:pPr>
    </w:p>
    <w:p>
      <w:pPr>
        <w:ind w:left="980" w:hanging="648"/>
        <w:spacing w:after="0"/>
        <w:tabs>
          <w:tab w:leader="none" w:pos="98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Purchase and deployment of high efciency bitcoin mining rigs</w:t>
      </w:r>
    </w:p>
    <w:p>
      <w:pPr>
        <w:spacing w:after="0" w:line="90" w:lineRule="exact"/>
        <w:rPr>
          <w:rFonts w:ascii="Calibri" w:cs="Calibri" w:eastAsia="Calibri" w:hAnsi="Calibri"/>
          <w:sz w:val="18"/>
          <w:szCs w:val="18"/>
          <w:color w:val="auto"/>
        </w:rPr>
      </w:pPr>
    </w:p>
    <w:p>
      <w:pPr>
        <w:ind w:left="980" w:hanging="648"/>
        <w:spacing w:after="0"/>
        <w:tabs>
          <w:tab w:leader="none" w:pos="98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Hostng services for bitcoin mining</w:t>
      </w:r>
    </w:p>
    <w:p>
      <w:pPr>
        <w:spacing w:after="0" w:line="104" w:lineRule="exact"/>
        <w:rPr>
          <w:rFonts w:ascii="Calibri" w:cs="Calibri" w:eastAsia="Calibri" w:hAnsi="Calibri"/>
          <w:sz w:val="18"/>
          <w:szCs w:val="18"/>
          <w:color w:val="auto"/>
        </w:rPr>
      </w:pPr>
    </w:p>
    <w:p>
      <w:pPr>
        <w:ind w:left="980" w:hanging="648"/>
        <w:spacing w:after="0"/>
        <w:tabs>
          <w:tab w:leader="none" w:pos="98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Acquisiton of private bitcoin mining companies</w:t>
      </w:r>
    </w:p>
    <w:p>
      <w:pPr>
        <w:spacing w:after="0" w:line="204" w:lineRule="exact"/>
        <w:rPr>
          <w:sz w:val="20"/>
          <w:szCs w:val="20"/>
          <w:color w:val="auto"/>
        </w:rPr>
      </w:pPr>
    </w:p>
    <w:p>
      <w:pPr>
        <w:ind w:right="160"/>
        <w:spacing w:after="0" w:line="252" w:lineRule="auto"/>
        <w:rPr>
          <w:sz w:val="20"/>
          <w:szCs w:val="20"/>
          <w:color w:val="auto"/>
        </w:rPr>
      </w:pPr>
      <w:r>
        <w:rPr>
          <w:rFonts w:ascii="Calibri" w:cs="Calibri" w:eastAsia="Calibri" w:hAnsi="Calibri"/>
          <w:sz w:val="17"/>
          <w:szCs w:val="17"/>
          <w:color w:val="auto"/>
        </w:rPr>
        <w:t>The Company is actvely pursuing the acquisiton of additonal propertes with access to low-cost power and appropriate size to allow for efcient expansion of AI/GPU data centers and/or bitcoin mining facilites, such as the Columbus Property. The growth of AI and HPC will provide signifcant demand for development of future data centers utlizing large amounts of energy. We currently have signifcant infrastructure on hand to reduce the cost of site development for various future projects. All current and future propertes will be simultaneously evaluated for internal development or outright sales.</w:t>
      </w:r>
    </w:p>
    <w:p>
      <w:pPr>
        <w:spacing w:after="0" w:line="208"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The Company is contnuing to develop and market its EPCM services in order to provide greater short-term growth. We believe feedback from previous and current clients has shown that we ofer a superior product with respect to the development of bitcoin mining facilites.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We will also contnue to evaluate the benefts of fnding accretve acquisitons, specifcally in the bitcoin mining sector.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b w:val="1"/>
          <w:bCs w:val="1"/>
          <w:color w:val="auto"/>
        </w:rPr>
        <w:t>Products and Services</w:t>
      </w:r>
    </w:p>
    <w:p>
      <w:pPr>
        <w:spacing w:after="0" w:line="150" w:lineRule="exact"/>
        <w:rPr>
          <w:sz w:val="20"/>
          <w:szCs w:val="20"/>
          <w:color w:val="auto"/>
        </w:rPr>
      </w:pPr>
    </w:p>
    <w:p>
      <w:pPr>
        <w:ind w:right="20"/>
        <w:spacing w:after="0" w:line="221" w:lineRule="auto"/>
        <w:rPr>
          <w:sz w:val="20"/>
          <w:szCs w:val="20"/>
          <w:color w:val="auto"/>
        </w:rPr>
      </w:pPr>
      <w:r>
        <w:rPr>
          <w:rFonts w:ascii="Calibri" w:cs="Calibri" w:eastAsia="Calibri" w:hAnsi="Calibri"/>
          <w:sz w:val="18"/>
          <w:szCs w:val="18"/>
          <w:b w:val="1"/>
          <w:bCs w:val="1"/>
          <w:i w:val="1"/>
          <w:iCs w:val="1"/>
          <w:color w:val="auto"/>
        </w:rPr>
        <w:t>NYDIG Hostng Agreement</w:t>
      </w:r>
      <w:r>
        <w:rPr>
          <w:rFonts w:ascii="Calibri" w:cs="Calibri" w:eastAsia="Calibri" w:hAnsi="Calibri"/>
          <w:sz w:val="18"/>
          <w:szCs w:val="18"/>
          <w:color w:val="auto"/>
        </w:rPr>
        <w:t>. On January 30, 2023, we entered into hostng services agreements and related orders with afliates of NYDIG (collectvely as in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efect from tme to tme, the "NYDIG Hostng Agreement"). Under the NYDIG Hostng Agreement, we agreed to host, power, and provide technical support services, and other related services, to NYDIG afliates’ mining equipment at the New York Facility for a term of fve years. The terms of such arrangements require NYDIG afliates to pay a reimbursement fee that covers the cost of power and direct costs associated with management of the mining facilites, a hostng fee as well as a gross proft-sharing arrangement. Under the NYDIG Hostng Agreement, NYDIG afliates are required to provide us an upfront security deposit, pay a confguraton fee for the setup of new or relocated miners, and pay for repairs and parts consumed in non-routne maintenance (i.e., units that are out of service for more than 12 hours). We are required to pay NYDIG a porton of capacity revenue, as well as a porton of the gross margin from any energy sales in excess of mining requirement. Additonally, when market conditons dictate shutng down mining and making market sales of energy, we are required to pay NYDIG the expected value that it would have received as if the cryptocurrency datacenter had operated and a porton of gross margin from energy sales above normal mining requirements. This allows us to partcipate in the upside as bitcoin prices rise, but reduces our downside risk of bitcoin price deterioraton and cost increases related to natural gas.</w:t>
      </w:r>
    </w:p>
    <w:p>
      <w:pPr>
        <w:spacing w:after="0" w:line="245" w:lineRule="exact"/>
        <w:rPr>
          <w:sz w:val="20"/>
          <w:szCs w:val="20"/>
          <w:color w:val="auto"/>
        </w:rPr>
      </w:pPr>
    </w:p>
    <w:p>
      <w:pPr>
        <w:ind w:right="20"/>
        <w:spacing w:after="0" w:line="228" w:lineRule="auto"/>
        <w:rPr>
          <w:sz w:val="20"/>
          <w:szCs w:val="20"/>
          <w:color w:val="auto"/>
        </w:rPr>
      </w:pPr>
      <w:r>
        <w:rPr>
          <w:rFonts w:ascii="Calibri" w:cs="Calibri" w:eastAsia="Calibri" w:hAnsi="Calibri"/>
          <w:sz w:val="18"/>
          <w:szCs w:val="18"/>
          <w:b w:val="1"/>
          <w:bCs w:val="1"/>
          <w:i w:val="1"/>
          <w:iCs w:val="1"/>
          <w:color w:val="auto"/>
        </w:rPr>
        <w:t>Cryptocurrency Mining</w:t>
      </w:r>
      <w:r>
        <w:rPr>
          <w:rFonts w:ascii="Calibri" w:cs="Calibri" w:eastAsia="Calibri" w:hAnsi="Calibri"/>
          <w:sz w:val="18"/>
          <w:szCs w:val="18"/>
          <w:color w:val="auto"/>
        </w:rPr>
        <w:t>. Our cryptocurrency datacenter operatons generate revenue in the form of bitcoin by earning bitcoin as rewards and transacton fees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for supportng the global bitcoin network with applicaton-specifc integrated circuit computers ("ASICs" or "miners") owned or leased by us. We currently contribute our hashrate to a single mining pool, subject to their terms of service. Such partcipaton is generally terminable at any tme by either party, and our risk is limited by our ability to switch pools at any tme or simply not to partcipate in any pools and mine independently. In exchange for providing computng power, we receive a share of the theoretcal global mining rewards based on our percent contributon to the bitcoin mining network, less fees payable to the pool. The mining pool in which we currently partcipate allocates their bitcoin to us on a daily basis.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color w:val="auto"/>
        </w:rPr>
        <w:t>From tme to tme we have deployed excess miners at third-party sites through short-term hostng contracts.</w:t>
      </w:r>
    </w:p>
    <w:p>
      <w:pPr>
        <w:spacing w:after="0" w:line="244" w:lineRule="exact"/>
        <w:rPr>
          <w:sz w:val="20"/>
          <w:szCs w:val="20"/>
          <w:color w:val="auto"/>
        </w:rPr>
      </w:pPr>
    </w:p>
    <w:p>
      <w:pPr>
        <w:jc w:val="both"/>
        <w:ind w:right="460"/>
        <w:spacing w:after="0" w:line="230" w:lineRule="auto"/>
        <w:rPr>
          <w:sz w:val="20"/>
          <w:szCs w:val="20"/>
          <w:color w:val="auto"/>
        </w:rPr>
      </w:pPr>
      <w:r>
        <w:rPr>
          <w:rFonts w:ascii="Calibri" w:cs="Calibri" w:eastAsia="Calibri" w:hAnsi="Calibri"/>
          <w:sz w:val="18"/>
          <w:szCs w:val="18"/>
          <w:color w:val="auto"/>
        </w:rPr>
        <w:t>Our datacenter operatons consist of approximately 30,700 miners with a combined capacity of approximately 3.3 EH/s for both datacenter hostng and cryptocurrency mining, of which 18,200 miners, or 1.8 EH/s, are associated with datacenter hostng and 12,500 miners, or 1.5 EH/s, are associated with cryptocurrency mining.</w:t>
      </w: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Mining Pool Partcipaton</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 signifcant porton of the global hashrate on the bitcoin network has been contributed to a number of "mining pools." In a typical bitcoin mining pool, groups of miners combine their resources, or hashrate, and earn bitcoin together. Mining pools help to smooth the variability of the revenue stream of individual miners by combining the hashrate from multple miners and then paying each miner a pro rata share of the aggregate bitcoin rewards generated by the combined pool.</w:t>
      </w:r>
    </w:p>
    <w:p>
      <w:pPr>
        <w:spacing w:after="0" w:line="219"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mining pool operator is typically paid a fee for maintaining the pool. Miners who partcipate in mining pools are expected to earn their pro rata share of the global bitcoin rewards received by all miners on the bitcoin network, less any fees paid to the mining pool operator.</w:t>
      </w:r>
    </w:p>
    <w:p>
      <w:pPr>
        <w:spacing w:after="0" w:line="110"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We contribute our hashrate to a single mining pool, subject to their terms of service. Such partcipaton is generally terminable at any tme by either party, and our risk is limited by our ability to switch pools at any tme or simply not to partcipate in any pools and mine independently. In exchange for providing computng power, we receive a share of the theoretcal global mining rewards based on our percent contributon to the bitcoin mining network, less fees payable to the pool. The mining pools in which we currently partcipate allocate their bitcoin to us on a daily basis.</w:t>
      </w:r>
    </w:p>
    <w:p>
      <w:pPr>
        <w:spacing w:after="0" w:line="152" w:lineRule="exact"/>
        <w:rPr>
          <w:sz w:val="20"/>
          <w:szCs w:val="20"/>
          <w:color w:val="auto"/>
        </w:rPr>
      </w:pPr>
    </w:p>
    <w:p>
      <w:pPr>
        <w:spacing w:after="0" w:line="236" w:lineRule="auto"/>
        <w:rPr>
          <w:sz w:val="20"/>
          <w:szCs w:val="20"/>
          <w:color w:val="auto"/>
        </w:rPr>
      </w:pPr>
      <w:r>
        <w:rPr>
          <w:rFonts w:ascii="Calibri" w:cs="Calibri" w:eastAsia="Calibri" w:hAnsi="Calibri"/>
          <w:sz w:val="17"/>
          <w:szCs w:val="17"/>
          <w:b w:val="1"/>
          <w:bCs w:val="1"/>
          <w:i w:val="1"/>
          <w:iCs w:val="1"/>
          <w:color w:val="auto"/>
        </w:rPr>
        <w:t>Power and Capacity Sales</w:t>
      </w:r>
      <w:r>
        <w:rPr>
          <w:rFonts w:ascii="Calibri" w:cs="Calibri" w:eastAsia="Calibri" w:hAnsi="Calibri"/>
          <w:sz w:val="17"/>
          <w:szCs w:val="17"/>
          <w:b w:val="1"/>
          <w:bCs w:val="1"/>
          <w:color w:val="auto"/>
        </w:rPr>
        <w:t>.</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We own and operate a 106 MW power generaton facility that is connected to the New York Independent Systems Operator (the</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"NYISO"), which operates New York state’s power grid. We sell electricity to the NYISO at all tmes when the plant is running and we increase or decrease the amount of electricity sold based on prevailing prices in the wholesale electricity market and demand for electricity. Based upon levels of demand and prevailing prices for electricity, we may temporarily curtail our cryptocurrency hostng and self-mining located at our power generaton facility in order to meet the demand for electricity. Revenue generated from the wholesale power market is variable and depends on several factors including but not limited to the supply and demand for electricity, generaton capacity in the market and the prevailing price of natural gas. In additon, we receive revenues from the sale of our capacity and ancillary services in the NYISO wholesale market. Through these sales, we generate three revenue streams: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3" w:right="359" w:bottom="1440" w:gutter="0" w:footer="0" w:header="0"/>
        </w:sectPr>
      </w:pPr>
    </w:p>
    <w:bookmarkStart w:id="11" w:name="page12"/>
    <w:bookmarkEnd w:id="11"/>
    <w:p>
      <w:pPr>
        <w:ind w:left="320" w:hanging="312"/>
        <w:spacing w:after="0"/>
        <w:tabs>
          <w:tab w:leader="none" w:pos="320" w:val="left"/>
        </w:tabs>
        <w:numPr>
          <w:ilvl w:val="0"/>
          <w:numId w:val="8"/>
        </w:numPr>
        <w:rPr>
          <w:rFonts w:ascii="Arial" w:cs="Arial" w:eastAsia="Arial" w:hAnsi="Arial"/>
          <w:sz w:val="18"/>
          <w:szCs w:val="18"/>
          <w:color w:val="auto"/>
        </w:rPr>
      </w:pPr>
      <w:r>
        <w:rPr>
          <w:rFonts w:ascii="Calibri" w:cs="Calibri" w:eastAsia="Calibri" w:hAnsi="Calibri"/>
          <w:sz w:val="18"/>
          <w:szCs w:val="18"/>
          <w:u w:val="single" w:color="auto"/>
          <w:color w:val="auto"/>
        </w:rPr>
        <w:t>Energy revenue</w:t>
      </w:r>
      <w:r>
        <w:rPr>
          <w:rFonts w:ascii="Calibri" w:cs="Calibri" w:eastAsia="Calibri" w:hAnsi="Calibri"/>
          <w:sz w:val="18"/>
          <w:szCs w:val="18"/>
          <w:color w:val="auto"/>
        </w:rPr>
        <w:t>: When dispatched by the NYISO, we receive energy revenue based on the hourly price of power.</w:t>
      </w:r>
    </w:p>
    <w:p>
      <w:pPr>
        <w:spacing w:after="0" w:line="104"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Calibri" w:cs="Calibri" w:eastAsia="Calibri" w:hAnsi="Calibri"/>
          <w:sz w:val="18"/>
          <w:szCs w:val="18"/>
          <w:u w:val="single" w:color="auto"/>
          <w:color w:val="auto"/>
        </w:rPr>
        <w:t>Capacity revenue</w:t>
      </w:r>
      <w:r>
        <w:rPr>
          <w:rFonts w:ascii="Calibri" w:cs="Calibri" w:eastAsia="Calibri" w:hAnsi="Calibri"/>
          <w:sz w:val="18"/>
          <w:szCs w:val="18"/>
          <w:color w:val="auto"/>
        </w:rPr>
        <w:t>: We receive capacity revenue for commitng to sell power to the NYISO when dispatched.</w:t>
      </w:r>
    </w:p>
    <w:p>
      <w:pPr>
        <w:spacing w:after="0" w:line="104"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Calibri" w:cs="Calibri" w:eastAsia="Calibri" w:hAnsi="Calibri"/>
          <w:sz w:val="18"/>
          <w:szCs w:val="18"/>
          <w:u w:val="single" w:color="auto"/>
          <w:color w:val="auto"/>
        </w:rPr>
        <w:t>Ancillary services revenue</w:t>
      </w:r>
      <w:r>
        <w:rPr>
          <w:rFonts w:ascii="Calibri" w:cs="Calibri" w:eastAsia="Calibri" w:hAnsi="Calibri"/>
          <w:sz w:val="18"/>
          <w:szCs w:val="18"/>
          <w:color w:val="auto"/>
        </w:rPr>
        <w:t>: When selected by the NYISO, we receive compensaton for the provision of operatng reserves.</w:t>
      </w:r>
    </w:p>
    <w:p>
      <w:pPr>
        <w:spacing w:after="0" w:line="217" w:lineRule="exact"/>
        <w:rPr>
          <w:sz w:val="20"/>
          <w:szCs w:val="20"/>
          <w:color w:val="auto"/>
        </w:rPr>
      </w:pPr>
    </w:p>
    <w:p>
      <w:pPr>
        <w:ind w:right="20"/>
        <w:spacing w:after="0" w:line="254" w:lineRule="auto"/>
        <w:rPr>
          <w:sz w:val="20"/>
          <w:szCs w:val="20"/>
          <w:color w:val="auto"/>
        </w:rPr>
      </w:pPr>
      <w:r>
        <w:rPr>
          <w:rFonts w:ascii="Calibri" w:cs="Calibri" w:eastAsia="Calibri" w:hAnsi="Calibri"/>
          <w:sz w:val="17"/>
          <w:szCs w:val="17"/>
          <w:color w:val="auto"/>
        </w:rPr>
        <w:t>Our datacenter operatons in New York are powered by electricity generated directly by our power plant, which is referred to as "behind-the-meter" power as it is not subject to transmission and distributon charges from local utlites. As of December 31, 2024, our owned and customer hosted miners at the New York Facility had the capacity to consume approximately 60 MW of electricity. We have approval from NYISO to utlize 64 MW of electricity behind-the-meter.</w:t>
      </w:r>
    </w:p>
    <w:p>
      <w:pPr>
        <w:spacing w:after="0" w:line="205"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Additonally, we have a contract with Empire Pipeline Inc., which provides for the frm transportaton to our pipeline of up to 15,000 dekatherms of natural gas per day. The natural gas is transported to our captve lateral pipeline through which this gas is transported 4.6 miles to our power plant. We have contracts with Emera Energy covering both the purchase of natural gas and the bidding and sale of electricity through the NYISO.</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auto"/>
        </w:rPr>
        <w:t>These sales accounted for approximately 18% and 9% of our total revenue for the years ended December 31, 2024 and 2023, respectvely.</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Cryptocurrency Datacenter Industry Trends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Bitcoin Network Changes</w:t>
      </w:r>
    </w:p>
    <w:p>
      <w:pPr>
        <w:spacing w:after="0" w:line="10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 price of bitcoin experienced signifcant volatlity throughout 2024, primarily driven by the approval of bitcoin spot Exchange Traded Funds ("ETFs") in January 2024 and renewed optmism regarding cryptocurrencies following the results of the U.S. presidental electon. The rise in the price of bitcoin led to a signifcant expansion of bitcoin mining operatons and an increase to the total hashrate on the bitcoin network. This heightened competton within the industry is expected to contnue as long as prices remain elevated.</w:t>
      </w:r>
    </w:p>
    <w:p>
      <w:pPr>
        <w:spacing w:after="0" w:line="11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Network difculty, which is a measure of how hard it is for miners to solve a block on the bitcoin blockchain and earn mining rewards, is directly ted to the network’s total hashrate (or the total computatonal power devoted to solving a block). This difculty is adjusted every 2,016 blocks (with a new block being added approximately every 10 minutes. As more miners join the network and the network’s global hashrate increases, its difculty increases, which adversely afects our total revenue. Conversely, when miners leave the network and its global hashrate decreases, its difculty decreases. Historically, we have observed that during sustained increases in bitcoin's market price (as seen throughout 2024), new miners enter the bitcoin network, driving up its network hashrate and subsequently increasing network difculty.</w:t>
      </w:r>
    </w:p>
    <w:p>
      <w:pPr>
        <w:spacing w:after="0" w:line="248" w:lineRule="exact"/>
        <w:rPr>
          <w:sz w:val="20"/>
          <w:szCs w:val="20"/>
          <w:color w:val="auto"/>
        </w:rPr>
      </w:pPr>
    </w:p>
    <w:p>
      <w:pPr>
        <w:ind w:right="140"/>
        <w:spacing w:after="0" w:line="230" w:lineRule="auto"/>
        <w:rPr>
          <w:sz w:val="20"/>
          <w:szCs w:val="20"/>
          <w:color w:val="auto"/>
        </w:rPr>
      </w:pPr>
      <w:r>
        <w:rPr>
          <w:rFonts w:ascii="Calibri" w:cs="Calibri" w:eastAsia="Calibri" w:hAnsi="Calibri"/>
          <w:sz w:val="18"/>
          <w:szCs w:val="18"/>
          <w:color w:val="auto"/>
        </w:rPr>
        <w:t>Accordingly, as market prices for bitcoin rise and more miners join the bitcoin network, increasing the total hashrate, network difculty and competton will contnue to grow. As a result, existng miners like us will need to increase our hashrate to maintain and improve our chances of earning bitcoin mining rewards.</w:t>
      </w:r>
    </w:p>
    <w:p>
      <w:pPr>
        <w:spacing w:after="0" w:line="93"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April 2024 Halving Event</w:t>
      </w:r>
    </w:p>
    <w:p>
      <w:pPr>
        <w:spacing w:after="0" w:line="10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Halving is a mechanism designed to regulate the total supply, and mitgate infaton, of cryptocurrencies using a proof of work consensus algorithm. At a predetermined block, the bitcoin mining reward is cut in half, hence the term "halving." This is fxed, preprogrammed event occurs approximately every four years. The most recent halving for bitcoin occurred on April 19, 2024 at block 840,000, reducing the mining reward to 3.125 bitcoin. This reducton in mining rewards has a direct impact on the supply of bitcoin in the market and, if increases in prices as a result of the supply changes do not fully ofset the reducton in rewards, it can negatvely impact bitcoin mining revenue.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Digital Assets Custody</w:t>
      </w:r>
    </w:p>
    <w:p>
      <w:pPr>
        <w:spacing w:after="0" w:line="10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Our bitcoin is held in cold-storage and trading wallets by Coinbase, Inc., a well-known U.S.-based third-party digital asset-focused custodian, on behalf of itself, Coinbase Custody Trust Company, LLC, and, if applicable, Coinbase Credit, Inc. ("Coinbase Credit," and collectvely with Coinbase and Coinbase Custody, the "Coinbase Enttes”). We may also sell our bitcoin using our Custodian's U.S. brokerage services. The cold storage wallets in which our bitcoin are held are located in the United States. Any of our funds that may be held by the Custodian are legally segregated at the account, sub-account, and on-chain wallet address level. Digital Assets credited to the Trading Balance are held in one of three ways: (i) in omnibus hot wallets (each, an “Omnibus Hot Wallet”); (ii) in omnibus cold wallets (each, an “Omnibus Cold Wallet”); and (iii) in Coinbase’s accounts with the Connected Trading Venues (“Coinbase Connected Trading Venue Digital Asset</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sectPr>
      </w:pPr>
    </w:p>
    <w:bookmarkStart w:id="12" w:name="page13"/>
    <w:bookmarkEnd w:id="12"/>
    <w:p>
      <w:pPr>
        <w:ind w:right="60"/>
        <w:spacing w:after="0" w:line="251" w:lineRule="auto"/>
        <w:rPr>
          <w:sz w:val="20"/>
          <w:szCs w:val="20"/>
          <w:color w:val="auto"/>
        </w:rPr>
      </w:pPr>
      <w:r>
        <w:rPr>
          <w:rFonts w:ascii="Calibri" w:cs="Calibri" w:eastAsia="Calibri" w:hAnsi="Calibri"/>
          <w:sz w:val="17"/>
          <w:szCs w:val="17"/>
          <w:color w:val="auto"/>
        </w:rPr>
        <w:t>Balance”). While we believe that our custodial agreement provides our business with reasonable protectons for our operatons and the safe storage of our digital assets, there can be no assurance that storing our digital assets with the Custodian is free from risk. To the best of our knowledge, Coinbase safely stores our digital assets in segregated accounts as represented in the Coinbase Prime Broker Agreement; however, if the Custodian were to be in breach of its agreement, our digital assets could be compromised. Similarly, if the Custodian were to cease operatons, declare insolvency or fle for bankruptcy, there is a reasonable risk that recovery of our assets, despite being kept in segregated accounts, could be delayed or unrecoverable. For further discussion of our custodial agreements, see Part II, Item 7. "Management’s Discussion and Analysis of Financial Conditon and Results of Operatons” of this Annual Report.</w:t>
      </w:r>
    </w:p>
    <w:p>
      <w:pPr>
        <w:spacing w:after="0" w:line="237" w:lineRule="exact"/>
        <w:rPr>
          <w:sz w:val="20"/>
          <w:szCs w:val="20"/>
          <w:color w:val="auto"/>
        </w:rPr>
      </w:pPr>
    </w:p>
    <w:p>
      <w:pPr>
        <w:ind w:right="60"/>
        <w:spacing w:after="0"/>
        <w:rPr>
          <w:sz w:val="20"/>
          <w:szCs w:val="20"/>
          <w:color w:val="auto"/>
        </w:rPr>
      </w:pPr>
      <w:r>
        <w:rPr>
          <w:rFonts w:ascii="Calibri" w:cs="Calibri" w:eastAsia="Calibri" w:hAnsi="Calibri"/>
          <w:sz w:val="17"/>
          <w:szCs w:val="17"/>
          <w:color w:val="auto"/>
        </w:rPr>
        <w:t>Applicable insolvency law is not fully developed with respect to the holding of digital assets in custodial accounts. If our custodied bitcoin were considered to be the property of the Custodian's estate in the event that the Custodian were to enter bankruptcy, receivership or similar insolvency proceedings, there is a risk that we could be treated as a general unsecured creditor of the Custodian, inhibitng our ability to access our bitcoin. Even if we are able to prevent our bitcoin from being considered the property of the Custodian’s bankruptcy estate as part of an insolvency proceeding, it is possible that we would stll be delayed or may otherwise experience difculty in accessing our bitcoin held by the Custodian during the pendency of the insolvency proceedings. To our knowledge, the Custodian has not pettoned for bankruptcy protecton, been declared insolvent or bankrupt, made any assignment for the beneft of creditors, or had a receiver appointed for its assets, at any point while we have been a customer. Further, none of our bitcoin was, as of the tme of fling this Annual Report, custodied with any entty that has pettoned for bankruptcy protecton, been declared bankrupt or insolvent, made any assignment for the beneft of creditors, or had a receiver appointed for its assets. The recent bankruptcies in the crypto industry and failures of certain fnancial insttutons have not resulted in any loss or misappropriaton of any of our bitcoin nor have such events impacted our access to any of our bitcoin.</w:t>
      </w:r>
    </w:p>
    <w:p>
      <w:pPr>
        <w:spacing w:after="0" w:line="233"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We are not aware of our Custodian's experiencing excessive redemptons or withdrawals, or having suspended redemptons or withdrawals, of any customer assets (bitcoin, crypto, or otherwise). Further, we have not experienced any loss of, or access to, our bitcoin custodied with our Custodian, we have never been unable to account for such bitcoin assets, and we are not aware of our Custodian having ever been unable to account for our bitcoin assets or the crypto assets of its other customers.</w:t>
      </w:r>
    </w:p>
    <w:p>
      <w:pPr>
        <w:spacing w:after="0" w:line="245" w:lineRule="exact"/>
        <w:rPr>
          <w:sz w:val="20"/>
          <w:szCs w:val="20"/>
          <w:color w:val="auto"/>
        </w:rPr>
      </w:pPr>
    </w:p>
    <w:p>
      <w:pPr>
        <w:ind w:right="100"/>
        <w:spacing w:after="0" w:line="225" w:lineRule="auto"/>
        <w:rPr>
          <w:sz w:val="20"/>
          <w:szCs w:val="20"/>
          <w:color w:val="auto"/>
        </w:rPr>
      </w:pPr>
      <w:r>
        <w:rPr>
          <w:rFonts w:ascii="Calibri" w:cs="Calibri" w:eastAsia="Calibri" w:hAnsi="Calibri"/>
          <w:sz w:val="18"/>
          <w:szCs w:val="18"/>
          <w:color w:val="auto"/>
        </w:rPr>
        <w:t>To the extent we sell any of our bitcoin custodied with the Custodian, these transactons are done through the Custodian’s U.S. brokerage services, which are registered with the Financial Crimes Enforcement Network ("FinCEN”) and hold NYDFS Bitlicenses. Such brokered sales are made primarily through market-making transactons with insttutonal grade investors. While we do not know the identty of the purchasers in such brokered sales of our bitcoin, our Custodian has made all customary representatons to us regarding its compliance with all Know Your Customer and Ant-Money Laundering regulatons applicable to such brokered sales of our bitcoin. Our agreements with such brokerage services require them to comply with all applicable FinCEN and NYDFS rules and regulatons.</w:t>
      </w:r>
    </w:p>
    <w:p>
      <w:pPr>
        <w:spacing w:after="0" w:line="32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Competton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Competton in Datacenter Operatons and Power Generaton Segment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Datacenter Operatons</w:t>
      </w:r>
    </w:p>
    <w:p>
      <w:pPr>
        <w:spacing w:after="0" w:line="21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The cryptocurrency industry is a highly compettve and evolving industry, and new compettors or emerging technologies could enter the market and afect our compettveness in the future. The primary drivers impactng competton are the demand for bitcoin, access to sufcient power at economical rates, and the ability to source miners. Our main compettors generally include other large public and private bitcoin mining companies that focus all or a porton of their actvites on bitcoin mining and hostng. Miners ofen organize themselves in mining pools and therefore we compete with other miners also partcipatng in mining pools.</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Power Generaton in New York</w:t>
      </w:r>
    </w:p>
    <w:p>
      <w:pPr>
        <w:spacing w:after="0" w:line="109" w:lineRule="exact"/>
        <w:rPr>
          <w:sz w:val="20"/>
          <w:szCs w:val="20"/>
          <w:color w:val="auto"/>
        </w:rPr>
      </w:pPr>
    </w:p>
    <w:p>
      <w:pPr>
        <w:ind w:right="20"/>
        <w:spacing w:after="0" w:line="251" w:lineRule="auto"/>
        <w:rPr>
          <w:sz w:val="20"/>
          <w:szCs w:val="20"/>
          <w:color w:val="auto"/>
        </w:rPr>
      </w:pPr>
      <w:r>
        <w:rPr>
          <w:rFonts w:ascii="Calibri" w:cs="Calibri" w:eastAsia="Calibri" w:hAnsi="Calibri"/>
          <w:sz w:val="17"/>
          <w:szCs w:val="17"/>
          <w:color w:val="auto"/>
        </w:rPr>
        <w:t>Wholesale markets for energy, capacity and ancillary services in New York State are administered by the NYISO. With respect to wholesale sales of electricity, generators bid into the market the quantty of electricity that they are prepared to produce for each hour of the following day and the corresponding price. Generators’ bids are subject to bid caps and mitgaton rules administered by the NYISO, both of which are designed to ensure that the total bid submited to the NYISO properly refects market conditons. Distributon utlites and other load serving enttes decide how much electricity they wish to purchase for each hour of the following day and how much they are willing to pay for that electricity. The NYISO then selects the proper mix of generators to supply the hourly demand at the least cost while meetng applicable requirements to maintain a reliable electric system. Prices for capacity and ancillary services are also</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 w:name="page14"/>
    <w:bookmarkEnd w:id="13"/>
    <w:p>
      <w:pPr>
        <w:ind w:right="240"/>
        <w:spacing w:after="0" w:line="235" w:lineRule="auto"/>
        <w:rPr>
          <w:sz w:val="20"/>
          <w:szCs w:val="20"/>
          <w:color w:val="auto"/>
        </w:rPr>
      </w:pPr>
      <w:r>
        <w:rPr>
          <w:rFonts w:ascii="Calibri" w:cs="Calibri" w:eastAsia="Calibri" w:hAnsi="Calibri"/>
          <w:sz w:val="18"/>
          <w:szCs w:val="18"/>
          <w:color w:val="auto"/>
        </w:rPr>
        <w:t>set by the interplay between supply and demand in bid-based markets administered by the NYISO, except in the case of certain ancillary services for which the NYISO’s Market Administraton and Control Area Services Tarif establishes cost-based rates.</w:t>
      </w:r>
    </w:p>
    <w:p>
      <w:pPr>
        <w:spacing w:after="0" w:line="110"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The NYISO operates bid-based wholesale markets for electric energy, capacity, and other generaton-related services such as reactve power support and frequency control. We are authorized to partcipate in all of these markets, where our bids are evaluated along with bids from numerous other generatng facilites in or near New York State. In each of these markets, the NYISO sets the market price, which is paid to all bidders, based on the highest priced bid accepted to meet demand.</w:t>
      </w:r>
    </w:p>
    <w:p>
      <w:pPr>
        <w:spacing w:after="0" w:line="21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We compete against all other NYISO generaton resources, which, as of Summer 2024 included approximately 40,872 MW of installed capacity from gas and oil-fred thermal generaton, as well as nuclear, hydro, wind, and other renewable generaton. Our compettveness is based on our variable cost compared to the marginal price in the energy markets, which is set by the bid of the highest-priced resource required to satsfy load requirements. The primary determinants of our variable cost are our efciency (e.g., how much gas is required to produce a given unit of power) and fuel cost.</w:t>
      </w:r>
    </w:p>
    <w:p>
      <w:pPr>
        <w:spacing w:after="0" w:line="219"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Our variable cost relatve to the marginal energy price determines the amount of power we sell. As demand for power increases and as more expensive generaton resources are required to satsfy load requirements, the marginal energy price increases. We beneft from retrements of lower-cost generaton resources in the NYISO and, conversely, become less compettve as more efcient generaton capacity is added.</w:t>
      </w:r>
    </w:p>
    <w:p>
      <w:pPr>
        <w:spacing w:after="0" w:line="219"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A similar dynamic exists in the capacity markets where we are a price-taker. The administratvely determined sloping demand curve ensures that the price paid to suppliers of capacity declines as capacity exceeds reliability requirements. Thus, as other generaton capacity retres, we will beneft from higher prices and conversely, as other generaton capacity is added, we will realize lower capacity revenues. The capacity market is designed to incentvize generaton additons when reserve margins (excess capacity relatve to peak demand) are low and to reduce capacity payments made to generators when reserve margins are high and excess capacity exists.</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Compettve Advantages</w:t>
      </w:r>
    </w:p>
    <w:p>
      <w:pPr>
        <w:spacing w:after="0" w:line="109" w:lineRule="exact"/>
        <w:rPr>
          <w:sz w:val="20"/>
          <w:szCs w:val="20"/>
          <w:color w:val="auto"/>
        </w:rPr>
      </w:pPr>
    </w:p>
    <w:p>
      <w:pPr>
        <w:ind w:right="460"/>
        <w:spacing w:after="0" w:line="235" w:lineRule="auto"/>
        <w:rPr>
          <w:sz w:val="20"/>
          <w:szCs w:val="20"/>
          <w:color w:val="auto"/>
        </w:rPr>
      </w:pPr>
      <w:r>
        <w:rPr>
          <w:rFonts w:ascii="Calibri" w:cs="Calibri" w:eastAsia="Calibri" w:hAnsi="Calibri"/>
          <w:sz w:val="18"/>
          <w:szCs w:val="18"/>
          <w:color w:val="auto"/>
        </w:rPr>
        <w:t>Electricity is the largest input cost for most cryptocurrency datacenter operatons, and we believe owning a power generaton facility provides us with a compettve advantage in our cryptocurrency datacenter operatons. We believe that our business benefts from the following additonal compettve advantages:</w:t>
      </w:r>
    </w:p>
    <w:p>
      <w:pPr>
        <w:spacing w:after="0" w:line="111" w:lineRule="exact"/>
        <w:rPr>
          <w:sz w:val="20"/>
          <w:szCs w:val="20"/>
          <w:color w:val="auto"/>
        </w:rPr>
      </w:pPr>
    </w:p>
    <w:p>
      <w:pPr>
        <w:ind w:left="660" w:right="180" w:hanging="328"/>
        <w:spacing w:after="0" w:line="235" w:lineRule="auto"/>
        <w:tabs>
          <w:tab w:leader="none" w:pos="653" w:val="left"/>
        </w:tabs>
        <w:numPr>
          <w:ilvl w:val="0"/>
          <w:numId w:val="9"/>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Vertcal integraton</w:t>
      </w:r>
      <w:r>
        <w:rPr>
          <w:rFonts w:ascii="Calibri" w:cs="Calibri" w:eastAsia="Calibri" w:hAnsi="Calibri"/>
          <w:sz w:val="18"/>
          <w:szCs w:val="18"/>
          <w:color w:val="auto"/>
        </w:rPr>
        <w:t>. We believe there are relatvely few other public companies in the United States with cryptocurrency datacenter operatons of</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scale in the United States currently using power generated from their own power plants.</w:t>
      </w:r>
    </w:p>
    <w:p>
      <w:pPr>
        <w:spacing w:after="0" w:line="109" w:lineRule="exact"/>
        <w:rPr>
          <w:rFonts w:ascii="Calibri" w:cs="Calibri" w:eastAsia="Calibri" w:hAnsi="Calibri"/>
          <w:sz w:val="18"/>
          <w:szCs w:val="18"/>
          <w:color w:val="auto"/>
        </w:rPr>
      </w:pPr>
    </w:p>
    <w:p>
      <w:pPr>
        <w:ind w:left="660" w:right="180" w:hanging="328"/>
        <w:spacing w:after="0" w:line="254" w:lineRule="auto"/>
        <w:tabs>
          <w:tab w:leader="none" w:pos="653" w:val="left"/>
        </w:tabs>
        <w:numPr>
          <w:ilvl w:val="0"/>
          <w:numId w:val="9"/>
        </w:numPr>
        <w:rPr>
          <w:rFonts w:ascii="Calibri" w:cs="Calibri" w:eastAsia="Calibri" w:hAnsi="Calibri"/>
          <w:sz w:val="17"/>
          <w:szCs w:val="17"/>
          <w:b w:val="1"/>
          <w:bCs w:val="1"/>
          <w:color w:val="auto"/>
          <w:strike w:val="1"/>
        </w:rPr>
      </w:pPr>
      <w:r>
        <w:rPr>
          <w:rFonts w:ascii="Calibri" w:cs="Calibri" w:eastAsia="Calibri" w:hAnsi="Calibri"/>
          <w:sz w:val="17"/>
          <w:szCs w:val="17"/>
          <w:b w:val="1"/>
          <w:bCs w:val="1"/>
          <w:color w:val="auto"/>
        </w:rPr>
        <w:t>Hostng arrangements</w:t>
      </w:r>
      <w:r>
        <w:rPr>
          <w:rFonts w:ascii="Calibri" w:cs="Calibri" w:eastAsia="Calibri" w:hAnsi="Calibri"/>
          <w:sz w:val="17"/>
          <w:szCs w:val="17"/>
          <w:color w:val="auto"/>
        </w:rPr>
        <w:t>. The terms of the NYDIG Hostng Agreement require NYDIG to pay a hostng fee that covers the cost of power and a hostng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fee associated with direct costs of mining facilites management, as well as a gross proft-sharing arrangement. This allows us to partcipate in the upside as bitcoin prices rise, but reduces our downside risk of bitcoin price deterioraton and cost increases related to natural gas.</w:t>
      </w:r>
    </w:p>
    <w:p>
      <w:pPr>
        <w:spacing w:after="0" w:line="97" w:lineRule="exact"/>
        <w:rPr>
          <w:rFonts w:ascii="Calibri" w:cs="Calibri" w:eastAsia="Calibri" w:hAnsi="Calibri"/>
          <w:sz w:val="17"/>
          <w:szCs w:val="17"/>
          <w:b w:val="1"/>
          <w:bCs w:val="1"/>
          <w:color w:val="auto"/>
          <w:strike w:val="1"/>
        </w:rPr>
      </w:pPr>
    </w:p>
    <w:p>
      <w:pPr>
        <w:ind w:left="660" w:right="60" w:hanging="328"/>
        <w:spacing w:after="0" w:line="235" w:lineRule="auto"/>
        <w:tabs>
          <w:tab w:leader="none" w:pos="653" w:val="left"/>
        </w:tabs>
        <w:numPr>
          <w:ilvl w:val="0"/>
          <w:numId w:val="9"/>
        </w:numPr>
        <w:rPr>
          <w:rFonts w:ascii="Calibri" w:cs="Calibri" w:eastAsia="Calibri" w:hAnsi="Calibri"/>
          <w:sz w:val="18"/>
          <w:szCs w:val="18"/>
          <w:b w:val="1"/>
          <w:bCs w:val="1"/>
          <w:i w:val="1"/>
          <w:iCs w:val="1"/>
          <w:color w:val="auto"/>
        </w:rPr>
      </w:pPr>
      <w:r>
        <w:rPr>
          <w:rFonts w:ascii="Calibri" w:cs="Calibri" w:eastAsia="Calibri" w:hAnsi="Calibri"/>
          <w:sz w:val="18"/>
          <w:szCs w:val="18"/>
          <w:b w:val="1"/>
          <w:bCs w:val="1"/>
          <w:i w:val="1"/>
          <w:iCs w:val="1"/>
          <w:color w:val="auto"/>
        </w:rPr>
        <w:t>Low power costs</w:t>
      </w:r>
      <w:r>
        <w:rPr>
          <w:rFonts w:ascii="Calibri" w:cs="Calibri" w:eastAsia="Calibri" w:hAnsi="Calibri"/>
          <w:sz w:val="18"/>
          <w:szCs w:val="18"/>
          <w:color w:val="auto"/>
        </w:rPr>
        <w:t>. Through access to the Millennium Pipeline price hub that provides relatvely low market rates for natural gas and the relatvely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cool climate where our power plant is located, we are able to produce our energy at compettve rates and largely avoid the extra cost of actve cooling of the cryptocurrency datacenter operatons. Our hostng arrangements have reduced the downside risk to us from cost increases related to natural gas.</w:t>
      </w:r>
    </w:p>
    <w:p>
      <w:pPr>
        <w:spacing w:after="0" w:line="106" w:lineRule="exact"/>
        <w:rPr>
          <w:rFonts w:ascii="Calibri" w:cs="Calibri" w:eastAsia="Calibri" w:hAnsi="Calibri"/>
          <w:sz w:val="18"/>
          <w:szCs w:val="18"/>
          <w:b w:val="1"/>
          <w:bCs w:val="1"/>
          <w:i w:val="1"/>
          <w:iCs w:val="1"/>
          <w:color w:val="auto"/>
        </w:rPr>
      </w:pPr>
    </w:p>
    <w:p>
      <w:pPr>
        <w:ind w:left="640" w:hanging="308"/>
        <w:spacing w:after="0"/>
        <w:tabs>
          <w:tab w:leader="none" w:pos="640" w:val="left"/>
        </w:tabs>
        <w:numPr>
          <w:ilvl w:val="0"/>
          <w:numId w:val="9"/>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Power market upside</w:t>
      </w:r>
      <w:r>
        <w:rPr>
          <w:rFonts w:ascii="Calibri" w:cs="Calibri" w:eastAsia="Calibri" w:hAnsi="Calibri"/>
          <w:sz w:val="18"/>
          <w:szCs w:val="18"/>
          <w:color w:val="auto"/>
        </w:rPr>
        <w:t>. Being online 24/7 allows us to optmize between hostng, power, and cryptocurrency datacenter revenue.</w:t>
      </w:r>
    </w:p>
    <w:p>
      <w:pPr>
        <w:spacing w:after="0" w:line="109" w:lineRule="exact"/>
        <w:rPr>
          <w:rFonts w:ascii="Calibri" w:cs="Calibri" w:eastAsia="Calibri" w:hAnsi="Calibri"/>
          <w:sz w:val="18"/>
          <w:szCs w:val="18"/>
          <w:color w:val="auto"/>
        </w:rPr>
      </w:pPr>
    </w:p>
    <w:p>
      <w:pPr>
        <w:ind w:left="660" w:right="480" w:hanging="328"/>
        <w:spacing w:after="0" w:line="235" w:lineRule="auto"/>
        <w:tabs>
          <w:tab w:leader="none" w:pos="653" w:val="left"/>
        </w:tabs>
        <w:numPr>
          <w:ilvl w:val="0"/>
          <w:numId w:val="9"/>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Self-reliance</w:t>
      </w:r>
      <w:r>
        <w:rPr>
          <w:rFonts w:ascii="Calibri" w:cs="Calibri" w:eastAsia="Calibri" w:hAnsi="Calibri"/>
          <w:sz w:val="18"/>
          <w:szCs w:val="18"/>
          <w:color w:val="auto"/>
        </w:rPr>
        <w:t>. All of the power that we use in our New York cryptocurrency datacenter operatons is provided by behind-the-meter generaton,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eliminatng reliance on third-party power purchase agreements that can be modifed or revoked at any tme.</w:t>
      </w:r>
    </w:p>
    <w:p>
      <w:pPr>
        <w:spacing w:after="0" w:line="109"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9"/>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Cryptocurrency experience</w:t>
      </w:r>
      <w:r>
        <w:rPr>
          <w:rFonts w:ascii="Calibri" w:cs="Calibri" w:eastAsia="Calibri" w:hAnsi="Calibri"/>
          <w:sz w:val="18"/>
          <w:szCs w:val="18"/>
          <w:color w:val="auto"/>
        </w:rPr>
        <w:t>. We have been actve as operators of cryptocurrency datacenters for a number of years which we believe provides us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with a compettve advantage over new entrants that have not commenced commercial cryptocurrency datacenter operatons. Having engineers and electricians on staf has enabled us to design our own mining architecture, which in turn allows us to operate and maintain our mining operatons. We believe this leads to beter performance.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4" w:name="page15"/>
    <w:bookmarkEnd w:id="14"/>
    <w:p>
      <w:pPr>
        <w:ind w:left="660" w:right="960" w:hanging="328"/>
        <w:spacing w:after="0" w:line="235" w:lineRule="auto"/>
        <w:tabs>
          <w:tab w:leader="none" w:pos="653" w:val="left"/>
        </w:tabs>
        <w:numPr>
          <w:ilvl w:val="0"/>
          <w:numId w:val="10"/>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Insttutonal backing</w:t>
      </w:r>
      <w:r>
        <w:rPr>
          <w:rFonts w:ascii="Calibri" w:cs="Calibri" w:eastAsia="Calibri" w:hAnsi="Calibri"/>
          <w:sz w:val="18"/>
          <w:szCs w:val="18"/>
          <w:color w:val="auto"/>
        </w:rPr>
        <w:t>. Our controlling stockholder, Atlas, is afliated with an investment frm with more than $6.8 billion of assets under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management and prior experience owning and operatng more than 2,000 MW of power generaton assets.</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Intellectual Property</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We use specifc hardware and sofware for our existng and planned bitcoin mining related operatons. In certain cases, source code and other sofware assets may be subject to an open-source license, as much of the technology development underway in this sector is open source. For such assets, we intend to comply with the terms of all applicable license agreements.</w:t>
      </w:r>
    </w:p>
    <w:p>
      <w:pPr>
        <w:spacing w:after="0" w:line="354" w:lineRule="exact"/>
        <w:rPr>
          <w:sz w:val="20"/>
          <w:szCs w:val="20"/>
          <w:color w:val="auto"/>
        </w:rPr>
      </w:pPr>
    </w:p>
    <w:p>
      <w:pPr>
        <w:ind w:right="160"/>
        <w:spacing w:after="0" w:line="226" w:lineRule="auto"/>
        <w:rPr>
          <w:sz w:val="20"/>
          <w:szCs w:val="20"/>
          <w:color w:val="auto"/>
        </w:rPr>
      </w:pPr>
      <w:r>
        <w:rPr>
          <w:rFonts w:ascii="Calibri" w:cs="Calibri" w:eastAsia="Calibri" w:hAnsi="Calibri"/>
          <w:sz w:val="18"/>
          <w:szCs w:val="18"/>
          <w:color w:val="auto"/>
        </w:rPr>
        <w:t>We do not currently own any patents in connecton with our existng and planned bitcoin mining-related operatons. In the future we may pursue patents in connecton with our Pod X portable bitcoin mining infrastructure soluton or other initatves, but do not have immediate plans to do so. We expect to rely primarily on trade secrets, trademarks, service marks, trade names, copyrights and other intellectual property rights and expect to license the use of intellectual property rights owned and controlled by others. In additon, we have developed and may further develop certain proprietary sofware applicatons for purposes of our bitcoin mining-related operatons.</w:t>
      </w:r>
    </w:p>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Environmental, Social, Governance</w:t>
      </w:r>
    </w:p>
    <w:p>
      <w:pPr>
        <w:spacing w:after="0" w:line="109" w:lineRule="exact"/>
        <w:rPr>
          <w:sz w:val="20"/>
          <w:szCs w:val="20"/>
          <w:color w:val="auto"/>
        </w:rPr>
      </w:pPr>
    </w:p>
    <w:p>
      <w:pPr>
        <w:ind w:right="300"/>
        <w:spacing w:after="0" w:line="227" w:lineRule="auto"/>
        <w:rPr>
          <w:sz w:val="20"/>
          <w:szCs w:val="20"/>
          <w:color w:val="auto"/>
        </w:rPr>
      </w:pPr>
      <w:r>
        <w:rPr>
          <w:rFonts w:ascii="Calibri" w:cs="Calibri" w:eastAsia="Calibri" w:hAnsi="Calibri"/>
          <w:sz w:val="18"/>
          <w:szCs w:val="18"/>
          <w:color w:val="auto"/>
        </w:rPr>
        <w:t>We are commited to making progress on the issues that mater in the ESG areas and, more specifcally, serving as a community partner in the locatons in which we operate. This is a critcal part of our plan for growth and value creaton as we develop our business.</w:t>
      </w:r>
    </w:p>
    <w:p>
      <w:pPr>
        <w:spacing w:after="0" w:line="162" w:lineRule="exact"/>
        <w:rPr>
          <w:sz w:val="20"/>
          <w:szCs w:val="20"/>
          <w:color w:val="auto"/>
        </w:rPr>
      </w:pPr>
    </w:p>
    <w:p>
      <w:pPr>
        <w:ind w:right="300"/>
        <w:spacing w:after="0" w:line="217" w:lineRule="auto"/>
        <w:rPr>
          <w:sz w:val="20"/>
          <w:szCs w:val="20"/>
          <w:color w:val="auto"/>
        </w:rPr>
      </w:pPr>
      <w:r>
        <w:rPr>
          <w:rFonts w:ascii="Calibri" w:cs="Calibri" w:eastAsia="Calibri" w:hAnsi="Calibri"/>
          <w:sz w:val="18"/>
          <w:szCs w:val="18"/>
          <w:color w:val="auto"/>
        </w:rPr>
        <w:t>We partcipate in the Regional Greenhouse Gas Initatve ("RGGI"), a market-based program in which partcipatng states sell carbon dioxide ("CO</w:t>
      </w:r>
      <w:r>
        <w:rPr>
          <w:rFonts w:ascii="Calibri" w:cs="Calibri" w:eastAsia="Calibri" w:hAnsi="Calibri"/>
          <w:sz w:val="23"/>
          <w:szCs w:val="23"/>
          <w:color w:val="auto"/>
          <w:vertAlign w:val="subscript"/>
        </w:rPr>
        <w:t>2</w:t>
      </w:r>
      <w:r>
        <w:rPr>
          <w:rFonts w:ascii="Calibri" w:cs="Calibri" w:eastAsia="Calibri" w:hAnsi="Calibri"/>
          <w:sz w:val="18"/>
          <w:szCs w:val="18"/>
          <w:color w:val="auto"/>
        </w:rPr>
        <w:t>") allowances through auctons and invest proceeds in energy efciency, renewable energy, and other consumer beneft programs to spur innovaton in the clean energy economy and create local green jobs. We purchase RGGI allowances each year to cover 100% of our CO</w:t>
      </w:r>
      <w:r>
        <w:rPr>
          <w:rFonts w:ascii="Calibri" w:cs="Calibri" w:eastAsia="Calibri" w:hAnsi="Calibri"/>
          <w:sz w:val="23"/>
          <w:szCs w:val="23"/>
          <w:color w:val="auto"/>
          <w:vertAlign w:val="subscript"/>
        </w:rPr>
        <w:t>2</w:t>
      </w:r>
      <w:r>
        <w:rPr>
          <w:rFonts w:ascii="Calibri" w:cs="Calibri" w:eastAsia="Calibri" w:hAnsi="Calibri"/>
          <w:sz w:val="18"/>
          <w:szCs w:val="18"/>
          <w:color w:val="auto"/>
        </w:rPr>
        <w:t xml:space="preserve"> emited from power generaton and have done so since we began gas-fred operatons in 2017.</w:t>
      </w:r>
    </w:p>
    <w:p>
      <w:pPr>
        <w:spacing w:after="0" w:line="218"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We contnue to make improvements related to the environmental impact inherited from the legacy coal power plant site and will contnue with our eforts to remediate the legacy coal-ash polluton from our predecessor company. In January 2024, we announced the fnal plans for the removal of the coal-ash pond created by the previous owners of the plant.</w:t>
      </w:r>
    </w:p>
    <w:p>
      <w:pPr>
        <w:spacing w:after="0" w:line="21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additon, we invested more than $6 million in the installaton of cylindrical wedge wire screens at the water intake system for our New York Facility. The completon of the wedge wire screens represents another critcal milestone in Greenidge’s extensive eforts to meet or exceed all of New York State’s naton-leading environmental standards. The constructon work was completed by workers from local unions, including members of the Internatonal Brotherhood of Electrical Workers Local 840, Dockbuilders and Timbermen Local 1556, Carpenters Western New York Local Union 276, Internatonal Union of Operatng Engineers Local 158 &amp; 150 and Millwrights Local 1163.</w:t>
      </w:r>
    </w:p>
    <w:p>
      <w:pPr>
        <w:spacing w:after="0" w:line="247"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We have entered into a Trail License and Management Agreement with a not-for-proft corporaton to permit the constructon of an extension of the public access Keuka Outlet Trail through our property in Torrey, New York to the easterly shore of Seneca Lake.</w:t>
      </w:r>
    </w:p>
    <w:p>
      <w:pPr>
        <w:spacing w:after="0" w:line="3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Seasonality</w:t>
      </w:r>
    </w:p>
    <w:p>
      <w:pPr>
        <w:spacing w:after="0" w:line="109" w:lineRule="exact"/>
        <w:rPr>
          <w:sz w:val="20"/>
          <w:szCs w:val="20"/>
          <w:color w:val="auto"/>
        </w:rPr>
      </w:pPr>
    </w:p>
    <w:p>
      <w:pPr>
        <w:ind w:right="40"/>
        <w:spacing w:after="0" w:line="230" w:lineRule="auto"/>
        <w:rPr>
          <w:sz w:val="20"/>
          <w:szCs w:val="20"/>
          <w:color w:val="auto"/>
        </w:rPr>
      </w:pPr>
      <w:r>
        <w:rPr>
          <w:rFonts w:ascii="Calibri" w:cs="Calibri" w:eastAsia="Calibri" w:hAnsi="Calibri"/>
          <w:sz w:val="18"/>
          <w:szCs w:val="18"/>
          <w:color w:val="auto"/>
        </w:rPr>
        <w:t>Our business is not generally subject to seasonality. However, coin generaton from our mining operatons may vary depending on our total hashrate at a given point in tme relatve to the total hashrate of bitcoin. Our power revenue may vary due to external factors impactng supply and demand of electricity in the region including demand due to seasonal weather.</w:t>
      </w: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Human Capital Management</w:t>
      </w:r>
    </w:p>
    <w:p>
      <w:pPr>
        <w:spacing w:after="0" w:line="109" w:lineRule="exact"/>
        <w:rPr>
          <w:sz w:val="20"/>
          <w:szCs w:val="20"/>
          <w:color w:val="auto"/>
        </w:rPr>
      </w:pPr>
    </w:p>
    <w:p>
      <w:pPr>
        <w:jc w:val="both"/>
        <w:ind w:right="280"/>
        <w:spacing w:after="0" w:line="230" w:lineRule="auto"/>
        <w:rPr>
          <w:sz w:val="20"/>
          <w:szCs w:val="20"/>
          <w:color w:val="auto"/>
        </w:rPr>
      </w:pPr>
      <w:r>
        <w:rPr>
          <w:rFonts w:ascii="Calibri" w:cs="Calibri" w:eastAsia="Calibri" w:hAnsi="Calibri"/>
          <w:sz w:val="18"/>
          <w:szCs w:val="18"/>
          <w:color w:val="auto"/>
        </w:rPr>
        <w:t>As of December 31, 2024, Greenidge had 35 employees. We had no employees based outside of the United States. None of our employees are covered by collectve bargaining agreements; however, in late February 2025, a vote to unionize employees serving as our operators, maintenance technicians, crypto technicians and electrical engineer at our New York</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5" w:name="page16"/>
    <w:bookmarkEnd w:id="15"/>
    <w:p>
      <w:pPr>
        <w:ind w:right="380"/>
        <w:spacing w:after="0" w:line="227" w:lineRule="auto"/>
        <w:rPr>
          <w:sz w:val="20"/>
          <w:szCs w:val="20"/>
          <w:color w:val="auto"/>
        </w:rPr>
      </w:pPr>
      <w:r>
        <w:rPr>
          <w:rFonts w:ascii="Calibri" w:cs="Calibri" w:eastAsia="Calibri" w:hAnsi="Calibri"/>
          <w:sz w:val="18"/>
          <w:szCs w:val="18"/>
          <w:color w:val="auto"/>
        </w:rPr>
        <w:t>Facility was approved and we expect to negotate in good faith and enter into a collectve bargaining agreement with such union in 2025. We believe our relatonship with our employees is satsfactory.</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Workplace Health and Safety</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safety and health of our employees is a top priority for us. We are commited to maintaining an efectve safety culture and to stressing the importance of our employees’ role in identfying, mitgatng, and communicatng safety risks. We believe that the achievement of superior safety performance is both an important short-term and long-term strategic initatve in managing our operatons. In this regard, our policies and operatonal practces promote a culture where all levels of employees are responsible for safety.</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Government Regulaton</w:t>
      </w:r>
    </w:p>
    <w:p>
      <w:pPr>
        <w:spacing w:after="0" w:line="109" w:lineRule="exact"/>
        <w:rPr>
          <w:sz w:val="20"/>
          <w:szCs w:val="20"/>
          <w:color w:val="auto"/>
        </w:rPr>
      </w:pPr>
    </w:p>
    <w:p>
      <w:pPr>
        <w:ind w:right="200"/>
        <w:spacing w:after="0" w:line="226" w:lineRule="auto"/>
        <w:rPr>
          <w:sz w:val="20"/>
          <w:szCs w:val="20"/>
          <w:color w:val="auto"/>
        </w:rPr>
      </w:pPr>
      <w:r>
        <w:rPr>
          <w:rFonts w:ascii="Calibri" w:cs="Calibri" w:eastAsia="Calibri" w:hAnsi="Calibri"/>
          <w:sz w:val="18"/>
          <w:szCs w:val="18"/>
          <w:color w:val="auto"/>
        </w:rPr>
        <w:t>Greenidge Generaton holds a Certfcate of Public Convenience and Necessity issued by the NYS Public Service Commission (the "PSC") under Secton 68 of the Public Service Law. In additon, it has been granted lightened regulaton by the PSC and Market Based Rate Authority by the Federal Energy Regulatory Commission (the "FERC") authorizing it to enter into sales of power in interstate commerce at market-based rates. It is connected to the New York State Electric &amp; Gas Corporaton ("NYSEG") transmission system by virtue of the Large Generaton Interconnecton Agreement among Greenidge Generaton, the NYSEG and the NYISO. All environmental permits are set forth below.</w:t>
      </w:r>
    </w:p>
    <w:p>
      <w:pPr>
        <w:spacing w:after="0" w:line="20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We are a Public Utlity Holding Company under the Public Utlity Holding Company Act of 2005 ("PUHCA"), and have applied for and received exempton from the record keeping and records inspecton regulatons of PUHCA.</w:t>
      </w:r>
    </w:p>
    <w:p>
      <w:pPr>
        <w:spacing w:after="0" w:line="218"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One of our subsidiaries, Greenidge Pipeline LLC ("Greenidge Pipeline"), operates pursuant to a Certfcate of Environmental Compatbility and Public Need issued by the PSC under Artcle VII of the Public Service Law. It is exempt from regulaton by FERC, under the Natonal Gas Act ("NGA") pursuant to Secton 1(c) of the NGA , because all of the gas transmited through the pipeline is delivered within the State of New York and the rates for delivery are regulated by the PSC. There are no environmental permits associated with the operaton of the pipeline.</w:t>
      </w:r>
    </w:p>
    <w:p>
      <w:pPr>
        <w:spacing w:after="0" w:line="21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Below is a summary of the material regulatons that currently apply to our business. Regulatons may substantally change in the future, and it is presently not possible to know how regulatons will apply to our businesses, or when they will be efectve. As the regulatory and legal environment evolves, we may become subject to new laws, further regulaton by the SEC, and other federal or state agencies, which may afect our cryptocurrency datacenter, power generaton and other related actvites. For additonal discussion regarding about the potental risks existng and future regulaton pose to our business, see "</w:t>
      </w:r>
      <w:r>
        <w:rPr>
          <w:rFonts w:ascii="Calibri" w:cs="Calibri" w:eastAsia="Calibri" w:hAnsi="Calibri"/>
          <w:sz w:val="18"/>
          <w:szCs w:val="18"/>
          <w:i w:val="1"/>
          <w:iCs w:val="1"/>
          <w:color w:val="auto"/>
        </w:rPr>
        <w:t>Risk Factors—Risks Related to Our Business</w:t>
      </w:r>
      <w:r>
        <w:rPr>
          <w:rFonts w:ascii="Calibri" w:cs="Calibri" w:eastAsia="Calibri" w:hAnsi="Calibri"/>
          <w:sz w:val="18"/>
          <w:szCs w:val="18"/>
          <w:color w:val="auto"/>
        </w:rPr>
        <w:t>" herein.</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Regulatons Applicable to Cryptocurrency Datacenter Business</w:t>
      </w:r>
    </w:p>
    <w:p>
      <w:pPr>
        <w:spacing w:after="0" w:line="96" w:lineRule="exact"/>
        <w:rPr>
          <w:sz w:val="20"/>
          <w:szCs w:val="20"/>
          <w:color w:val="auto"/>
        </w:rPr>
      </w:pPr>
    </w:p>
    <w:p>
      <w:pPr>
        <w:ind w:right="340"/>
        <w:spacing w:after="0" w:line="224" w:lineRule="auto"/>
        <w:rPr>
          <w:sz w:val="20"/>
          <w:szCs w:val="20"/>
          <w:color w:val="auto"/>
        </w:rPr>
      </w:pPr>
      <w:r>
        <w:rPr>
          <w:rFonts w:ascii="Calibri" w:cs="Calibri" w:eastAsia="Calibri" w:hAnsi="Calibri"/>
          <w:sz w:val="18"/>
          <w:szCs w:val="18"/>
          <w:color w:val="auto"/>
        </w:rPr>
        <w:t>On November 22, 2022, New York State signed Bill S6486D into law which prohibits permits being issued for two years to proof-of-work cryptocurrency mining operatons that are operated through electric generatng facilites that use a carbon-based fuel. The bill prohibits the issuance of new permits and does not address existng permit renewal applicatons that predate the law’s efectve date. Our permit applicaton was accepted by the New York State Department of Environmental Conservaton ("NYSDEC") in September 2021. See "</w:t>
      </w:r>
      <w:r>
        <w:rPr>
          <w:rFonts w:ascii="Calibri" w:cs="Calibri" w:eastAsia="Calibri" w:hAnsi="Calibri"/>
          <w:sz w:val="18"/>
          <w:szCs w:val="18"/>
          <w:i w:val="1"/>
          <w:iCs w:val="1"/>
          <w:color w:val="auto"/>
        </w:rPr>
        <w:t>Permits</w:t>
      </w:r>
      <w:r>
        <w:rPr>
          <w:rFonts w:ascii="Calibri" w:cs="Calibri" w:eastAsia="Calibri" w:hAnsi="Calibri"/>
          <w:sz w:val="18"/>
          <w:szCs w:val="18"/>
          <w:color w:val="auto"/>
        </w:rPr>
        <w:t>" for further details.</w:t>
      </w:r>
    </w:p>
    <w:p>
      <w:pPr>
        <w:spacing w:after="0" w:line="327"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Government regulaton of blockchain and bitcoin is being actvely considered by the State of New York and U.S. government via a number of agencies and regulatory bodies, as well as similar enttes in other countries. Additonal state government regulatons also may apply to our cryptocurrency datacenter actvites and other related actvites in which we partcipate or may partcipate in the future. Certain regulatory bodies have shown an interest in regulatng or investgatng companies engaged in the blockchain or bitcoin business.</w:t>
      </w:r>
    </w:p>
    <w:p>
      <w:pPr>
        <w:spacing w:after="0" w:line="32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At the federal level, cryptocurrency regulaton contnues to evolve. In a recent development, President Donald Trump signed an executve order ttled "Strengthening American Leadership in Digital Financial Technology," aimed at regulatng and promotng the cryptocurrency industry. The order encourages the use of public blockchain networks, partcipaton in mining, and the development of dollar-backed stablecoins. It also seeks to provide regulatory clarity for emerging technologies while prohibitng Central Bank Digital Currencies (CBDCs) in the United States. The President's Working</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6" w:name="page17"/>
    <w:bookmarkEnd w:id="16"/>
    <w:p>
      <w:pPr>
        <w:ind w:right="220"/>
        <w:spacing w:after="0" w:line="235" w:lineRule="auto"/>
        <w:rPr>
          <w:sz w:val="20"/>
          <w:szCs w:val="20"/>
          <w:color w:val="auto"/>
        </w:rPr>
      </w:pPr>
      <w:r>
        <w:rPr>
          <w:rFonts w:ascii="Calibri" w:cs="Calibri" w:eastAsia="Calibri" w:hAnsi="Calibri"/>
          <w:sz w:val="18"/>
          <w:szCs w:val="18"/>
          <w:color w:val="auto"/>
        </w:rPr>
        <w:t>Group on Digital Asset Markets has been established to recommend regulatory frameworks for digital assets and evaluate a potental natonal digital-asset stockpile.</w:t>
      </w:r>
    </w:p>
    <w:p>
      <w:pPr>
        <w:spacing w:after="0" w:line="218"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Regulatons may substantally change in the future, and it is not possible to know how new regulatons will apply to our businesses, or when they will be efectve. As the regulatory and legal environment evolves, we may become subject to new laws, further regulaton by the SEC and other federal or state agencies, which may afect our cryptocurrency datacenter and other related actvites. For additonal discussion regarding our belief about the potental risks existng and future regulaton pose to our business, see "</w:t>
      </w:r>
      <w:r>
        <w:rPr>
          <w:rFonts w:ascii="Calibri" w:cs="Calibri" w:eastAsia="Calibri" w:hAnsi="Calibri"/>
          <w:sz w:val="18"/>
          <w:szCs w:val="18"/>
          <w:i w:val="1"/>
          <w:iCs w:val="1"/>
          <w:color w:val="auto"/>
        </w:rPr>
        <w:t>Risk Factors</w:t>
      </w:r>
      <w:r>
        <w:rPr>
          <w:rFonts w:ascii="Calibri" w:cs="Calibri" w:eastAsia="Calibri" w:hAnsi="Calibri"/>
          <w:sz w:val="18"/>
          <w:szCs w:val="18"/>
          <w:color w:val="auto"/>
        </w:rPr>
        <w:t>—</w:t>
      </w:r>
      <w:r>
        <w:rPr>
          <w:rFonts w:ascii="Calibri" w:cs="Calibri" w:eastAsia="Calibri" w:hAnsi="Calibri"/>
          <w:sz w:val="18"/>
          <w:szCs w:val="18"/>
          <w:i w:val="1"/>
          <w:iCs w:val="1"/>
          <w:color w:val="auto"/>
        </w:rPr>
        <w:t>Risks Related to Our Business"</w:t>
      </w:r>
      <w:r>
        <w:rPr>
          <w:rFonts w:ascii="Calibri" w:cs="Calibri" w:eastAsia="Calibri" w:hAnsi="Calibri"/>
          <w:sz w:val="18"/>
          <w:szCs w:val="18"/>
          <w:color w:val="auto"/>
        </w:rPr>
        <w:t xml:space="preserve"> herein.</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Regulatons Applicable to Power Generaton Business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We operate our electricity generatng business subject to the following regulatory regimes:</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The New York State Public Service Commission</w:t>
      </w:r>
    </w:p>
    <w:p>
      <w:pPr>
        <w:spacing w:after="0" w:line="10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Greenidge, GGH LLC and Greenidge Generaton are each defned as "electric corporatons" subject to regulaton by the PSC under New York’s Public Service Law. The PSC regulates both the issuance by electric corporatons of "stocks, bonds and other evidence of indebtedness" and the purchase and sale of either the assets of or the ownership interests in electric corporatons.</w:t>
      </w:r>
    </w:p>
    <w:p>
      <w:pPr>
        <w:spacing w:after="0" w:line="340" w:lineRule="exact"/>
        <w:rPr>
          <w:sz w:val="20"/>
          <w:szCs w:val="20"/>
          <w:color w:val="auto"/>
        </w:rPr>
      </w:pPr>
    </w:p>
    <w:p>
      <w:pPr>
        <w:spacing w:after="0" w:line="241" w:lineRule="auto"/>
        <w:rPr>
          <w:sz w:val="20"/>
          <w:szCs w:val="20"/>
          <w:color w:val="auto"/>
        </w:rPr>
      </w:pPr>
      <w:r>
        <w:rPr>
          <w:rFonts w:ascii="Calibri" w:cs="Calibri" w:eastAsia="Calibri" w:hAnsi="Calibri"/>
          <w:sz w:val="18"/>
          <w:szCs w:val="18"/>
          <w:color w:val="auto"/>
        </w:rPr>
        <w:t>Greenidge Pipeline and Greenidge Pipeline Propertes Corporaton are "gas corporatons" subject to regulaton by the PSC under New York’s Public Service Law. The PSC regulates both the issuance by gas corporatons of "stocks, bonds and other evidences of indebtedness" and the purchase and sale of either the assets of or the ownership interests in gas corporatons. Greenidge Pipeline and Greenidge Pipeline Propertes Corporaton operate their approximately 4.6 - mile gas pipeline under the terms of a certfcate of environmental compatbility and public need issued by the PSC. The terms of that certfcate govern the safe operaton of the facility and minimizaton of the impacts of that facility on the environment.</w:t>
      </w:r>
    </w:p>
    <w:p>
      <w:pPr>
        <w:spacing w:after="0" w:line="22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Greenidge Generaton currently has permission from the PSC to issue up to $50 million in "indebtedness," which may include non-votng stock. To the extent that Greenidge Generaton seeks to issue more than $50 million in such instruments (net of the amount of any instruments already issued), approval must be obtained from the PSC. Issuances of any such instruments by Greenidge Generaton do not require the PSC’s prior approval, as long as the power generatng assets held by Greenidge Generaton are not pledged as security under those instruments. Currently these power-generatng assets are not pledged as security under any of our outstanding debt agreements.</w:t>
      </w:r>
    </w:p>
    <w:p>
      <w:pPr>
        <w:spacing w:after="0" w:line="220" w:lineRule="exact"/>
        <w:rPr>
          <w:sz w:val="20"/>
          <w:szCs w:val="20"/>
          <w:color w:val="auto"/>
        </w:rPr>
      </w:pPr>
    </w:p>
    <w:p>
      <w:pPr>
        <w:ind w:right="20"/>
        <w:spacing w:after="0" w:line="251" w:lineRule="auto"/>
        <w:rPr>
          <w:sz w:val="20"/>
          <w:szCs w:val="20"/>
          <w:color w:val="auto"/>
        </w:rPr>
      </w:pPr>
      <w:r>
        <w:rPr>
          <w:rFonts w:ascii="Calibri" w:cs="Calibri" w:eastAsia="Calibri" w:hAnsi="Calibri"/>
          <w:sz w:val="17"/>
          <w:szCs w:val="17"/>
          <w:color w:val="auto"/>
        </w:rPr>
        <w:t>The PSC has established a rebutable presumpton that a third party that is not itself an electric or gas corporaton may purchase up to 10% of the ownership interests in an electric corporaton without: (1) requiring PSC approval; or (2) becoming an electric corporaton itself. This presumpton may be rebuted if the facts demonstrate that an entty holding less than 10% of the ownership interests in an electric corporaton is nonetheless controlling the day-to-day operatons of that electric corporaton. Acquisiton of more than 50% of the ownership interests in an electric corporaton will require PSC approval and will make the acquiring entty an electric corporaton itself. Acquisitons between 10% and 50% are reviewed by the PSC on a case-by-case basis.</w:t>
      </w:r>
    </w:p>
    <w:p>
      <w:pPr>
        <w:spacing w:after="0" w:line="211"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One excepton to these requirements is that an electric or gas corporaton that is under common ownership with one or more other enttes may be merged with such other enttes without requiring PSC approval, provided that such transacton does not result in any change in the ultmate ownership of the public utlity in queston.</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The Federal Energy Regulatory Commission</w:t>
      </w:r>
    </w:p>
    <w:p>
      <w:pPr>
        <w:spacing w:after="0" w:line="10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Greenidge Generaton is a public utlity subject to regulaton by FERC under the Federal Power Act (the "FPA"). Like the PSC, FERC regulates both the issuance of securites and the purchase and sale of assets and ownership interests in public utlites. The FPA generally:</w:t>
      </w:r>
    </w:p>
    <w:p>
      <w:pPr>
        <w:spacing w:after="0" w:line="110" w:lineRule="exact"/>
        <w:rPr>
          <w:sz w:val="20"/>
          <w:szCs w:val="20"/>
          <w:color w:val="auto"/>
        </w:rPr>
      </w:pPr>
    </w:p>
    <w:p>
      <w:pPr>
        <w:ind w:left="660" w:right="260" w:hanging="328"/>
        <w:spacing w:after="0" w:line="235" w:lineRule="auto"/>
        <w:tabs>
          <w:tab w:leader="none" w:pos="645"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Limits public utlites from selling, leasing or otherwise disposing of facilites with a value in excess of $10 million and used for wholesale sales of electric energy or electric transmission ("Jurisdictonal Facilites") without the prior authorizaton of FERC, and dispositons resultng in a direct or indirect change of control over a public utlity generally require prior FERC authorizaton.</w:t>
      </w: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17" w:name="page18"/>
    <w:bookmarkEnd w:id="17"/>
    <w:p>
      <w:pPr>
        <w:ind w:left="660" w:right="320" w:hanging="328"/>
        <w:spacing w:after="0" w:line="235" w:lineRule="auto"/>
        <w:tabs>
          <w:tab w:leader="none" w:pos="645"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Prohibits a public utlity from merging or consolidatng Jurisdictonal Facilites with any other public utlity’s Jurisdictonal Facilites with a value in excess of $10 million, without prior FERC authorizaton.</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Requires FERC authorizaton before a public utlity may acquire any security with a value in excess of $10 million of any other public utlity.</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Requires FERC authorizaton before a public utlity may acquire or lease a generaton facility with a value in excess of $10 million.</w:t>
      </w:r>
    </w:p>
    <w:p>
      <w:pPr>
        <w:spacing w:after="0" w:line="109" w:lineRule="exact"/>
        <w:rPr>
          <w:rFonts w:ascii="Calibri" w:cs="Calibri" w:eastAsia="Calibri" w:hAnsi="Calibri"/>
          <w:sz w:val="18"/>
          <w:szCs w:val="18"/>
          <w:color w:val="auto"/>
        </w:rPr>
      </w:pPr>
    </w:p>
    <w:p>
      <w:pPr>
        <w:ind w:left="660" w:right="200" w:hanging="328"/>
        <w:spacing w:after="0" w:line="235" w:lineRule="auto"/>
        <w:tabs>
          <w:tab w:leader="none" w:pos="645"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Requires FERC approval before a holding company in a system which includes an electric transmission or generaton company may acquire any security with a value in excess of $10 million of an electric transmission or generaton company or a holding company with a value in excess of $10 million.</w:t>
      </w:r>
    </w:p>
    <w:p>
      <w:pPr>
        <w:spacing w:after="0" w:line="110" w:lineRule="exact"/>
        <w:rPr>
          <w:rFonts w:ascii="Calibri" w:cs="Calibri" w:eastAsia="Calibri" w:hAnsi="Calibri"/>
          <w:sz w:val="18"/>
          <w:szCs w:val="18"/>
          <w:color w:val="auto"/>
        </w:rPr>
      </w:pPr>
    </w:p>
    <w:p>
      <w:pPr>
        <w:ind w:left="660" w:right="340" w:hanging="328"/>
        <w:spacing w:after="0" w:line="235" w:lineRule="auto"/>
        <w:tabs>
          <w:tab w:leader="none" w:pos="645"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Requires FERC authorizaton before a holding company in a system which includes an electric transmission or generaton company may merge or consolidate with an electric transmission or generaton company or a holding company with a value in excess of $10 million.</w:t>
      </w:r>
    </w:p>
    <w:p>
      <w:pPr>
        <w:spacing w:after="0" w:line="218"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FPA also requires reportng of certain asset sales which do not otherwise require FERC authorizaton. FERC approval would also be required in advance of a dispositon or change of control over Greenidge through the sale of shares.</w:t>
      </w:r>
    </w:p>
    <w:p>
      <w:pPr>
        <w:spacing w:after="0" w:line="218"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FERC has granted Greenidge Generaton blanket authorizaton to issue securites and assume obligatons or liabilites as guarantor, endorser, surety, or otherwise in respect of any security of another person; provided that such issue or assumpton is for some lawful object within the corporate purposes of Greenidge Generaton, compatble with the public interest, and reasonably necessary or appropriate for such purposes. FERC also administers the Public Utlity Holding Company Act of 2005, which imposes certain record keeping and records access requirements on public utlity holding companies. We are a public utlity holding company but have received an exempton from such record keeping and records access requirements. Any entty acquiring more than 10% of the votng securites of either us or Greenidge Generaton is likely to be regarded by FERC as a public utlity holding company. Such enttes can obtain an exempton from such record keeping and records access requirements if they are able to demonstrate that they are not afliated with any jurisdictonal utlity that has captve customers, and that they do not own commission-jurisdictonal transmission facilites or provide commission-jurisdictonal transmission services and that they are not afliated with persons that own such facilites or provide such services.</w:t>
      </w:r>
    </w:p>
    <w:p>
      <w:pPr>
        <w:spacing w:after="0" w:line="22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Although the gas pipeline owned and operated by Greenidge Pipeline transports gas supplies fowing in interstate commerce, it is regulated by the PSC rather than by FERC because all of the pipeline’s facilites are located in, and all of the gas it delivers is consumed in, New York State and its rates are regulated by the PSC. Accordingly, no FERC approvals are required for any fnancing or transfers of ownership interests in Greenidge Pipeline.</w:t>
      </w:r>
    </w:p>
    <w:p>
      <w:pPr>
        <w:spacing w:after="0" w:line="219" w:lineRule="exact"/>
        <w:rPr>
          <w:sz w:val="20"/>
          <w:szCs w:val="20"/>
          <w:color w:val="auto"/>
        </w:rPr>
      </w:pPr>
    </w:p>
    <w:p>
      <w:pPr>
        <w:ind w:right="40"/>
        <w:spacing w:after="0" w:line="251" w:lineRule="auto"/>
        <w:rPr>
          <w:sz w:val="20"/>
          <w:szCs w:val="20"/>
          <w:color w:val="auto"/>
        </w:rPr>
      </w:pPr>
      <w:r>
        <w:rPr>
          <w:rFonts w:ascii="Calibri" w:cs="Calibri" w:eastAsia="Calibri" w:hAnsi="Calibri"/>
          <w:sz w:val="17"/>
          <w:szCs w:val="17"/>
          <w:color w:val="auto"/>
        </w:rPr>
        <w:t>Because Greenidge Pipeline operates exclusively as a provider of delivery services for gas supplies owned by others, it is not a "gas utlity company" under the Public Utlity Holding Company Act of 2005 which expands the authority of FERC to oversee transactons and other fnancial actvites of public utlity holding companies through grants of access to those companies’ books and records. As a result, purchasers directly or indirectly acquiring 10% or more of the votng securites of Greenidge Pipeline would not become subject to FERC recordkeeping and records access requirements of that law. Any such acquisiton should be reviewed under FPA Secton 203 and the NYPSL Secton 70 to determine if an authorizaton is needed in advance of the transacton.</w:t>
      </w:r>
    </w:p>
    <w:p>
      <w:pPr>
        <w:spacing w:after="0" w:line="211" w:lineRule="exact"/>
        <w:rPr>
          <w:sz w:val="20"/>
          <w:szCs w:val="20"/>
          <w:color w:val="auto"/>
        </w:rPr>
      </w:pPr>
    </w:p>
    <w:p>
      <w:pPr>
        <w:jc w:val="both"/>
        <w:ind w:right="320"/>
        <w:spacing w:after="0" w:line="235" w:lineRule="auto"/>
        <w:rPr>
          <w:sz w:val="20"/>
          <w:szCs w:val="20"/>
          <w:color w:val="auto"/>
        </w:rPr>
      </w:pPr>
      <w:r>
        <w:rPr>
          <w:rFonts w:ascii="Calibri" w:cs="Calibri" w:eastAsia="Calibri" w:hAnsi="Calibri"/>
          <w:sz w:val="18"/>
          <w:szCs w:val="18"/>
          <w:color w:val="auto"/>
        </w:rPr>
        <w:t>In additon, we, GGH, and Atlas and certain of its afliates are all holding companies under the PUHCA, which is also administered by FERC. Each of these enttes has fled a Notce with FERC of their exempton from the books and record-keeping requirements of PUHCA 2005 and are therefore not subject to those requirements.</w:t>
      </w:r>
    </w:p>
    <w:p>
      <w:pPr>
        <w:spacing w:after="0" w:line="219" w:lineRule="exact"/>
        <w:rPr>
          <w:sz w:val="20"/>
          <w:szCs w:val="20"/>
          <w:color w:val="auto"/>
        </w:rPr>
      </w:pPr>
    </w:p>
    <w:p>
      <w:pPr>
        <w:ind w:right="420"/>
        <w:spacing w:after="0" w:line="258" w:lineRule="auto"/>
        <w:rPr>
          <w:sz w:val="20"/>
          <w:szCs w:val="20"/>
          <w:color w:val="auto"/>
        </w:rPr>
      </w:pPr>
      <w:r>
        <w:rPr>
          <w:rFonts w:ascii="Calibri" w:cs="Calibri" w:eastAsia="Calibri" w:hAnsi="Calibri"/>
          <w:sz w:val="17"/>
          <w:szCs w:val="17"/>
          <w:color w:val="auto"/>
        </w:rPr>
        <w:t xml:space="preserve">A failure to comply with FERC regulatory requirements can result in penaltes and in extreme cases, acton to unwind a transacton or to impose criminal sanctons. See </w:t>
      </w:r>
      <w:r>
        <w:rPr>
          <w:rFonts w:ascii="Calibri" w:cs="Calibri" w:eastAsia="Calibri" w:hAnsi="Calibri"/>
          <w:sz w:val="17"/>
          <w:szCs w:val="17"/>
          <w:i w:val="1"/>
          <w:iCs w:val="1"/>
          <w:color w:val="auto"/>
        </w:rPr>
        <w:t>"Risk Factors—Risks Related to Our Business—Risks Related to our Datacenter and Power Generaton Operatons"</w:t>
      </w:r>
      <w:r>
        <w:rPr>
          <w:rFonts w:ascii="Calibri" w:cs="Calibri" w:eastAsia="Calibri" w:hAnsi="Calibri"/>
          <w:sz w:val="17"/>
          <w:szCs w:val="17"/>
          <w:color w:val="auto"/>
        </w:rPr>
        <w:t xml:space="preserve"> for further details.</w:t>
      </w:r>
    </w:p>
    <w:p>
      <w:pPr>
        <w:spacing w:after="0" w:line="305"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The New York State Independent System Operator</w:t>
      </w:r>
    </w:p>
    <w:p>
      <w:pPr>
        <w:spacing w:after="0" w:line="109"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color w:val="auto"/>
        </w:rPr>
        <w:t>So long as Greenidge Generaton remains the owner of the New York Facility, we expect that no approvals from the NYISO should be required for any restructuring of the ownership of us or Greenidge Generaton. In the event of a transfer of ownership of its facility to a new owner, the interconnecton agreement with the NYISO and NYSEG currently held by Greenidge Generaton can be assigned to the new owner, so long as the assignee in such a transacton directly assumes in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color w:val="auto"/>
        </w:rPr>
        <w:t>writng all rights, dutes and obligatons arising under that agreement and agrees to comply with all of the NYISO’s applicable market rules.</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Yates County Industrial Development Agency</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Both Greenidge Generaton and Greenidge Pipeline have lease/leaseback relatonships in place with the Yates County Industrial Development Agency, which relatonships also include a payment in lieu of tax agreement. Consent of the Yates County Industrial Development Agency would be required for both Greenidge Generaton and Greenidge Pipeline for any type of merger, consolidaton or change of control, which consent must be obtained prior to completon of such transacton.</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The New York State Department of Environmental Conservaton</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operatons of each of Greenidge Generaton and the landfll owned by another subsidiary of Greenidge, Lockwood Hills LLC ("Lockwood Hills"), are subject to numerous NYSDEC and United States Environmental Protecton Agency (the "EPA") regulatons and requirements. Lockwood Hills operates a landfll and leachate management facility (the "Landfll"). Most of the EPA requirements that Greenidge Generaton and Lockwood Hills are subject to are delegated to the NYSDEC and are regulated through permits issued by NYSDEC. Future laws or regulatons may require the additon of environmental controls or impose restrictons on Greenidge Generaton and Lockwood Hills operatons, which could afect our operatons.</w:t>
      </w:r>
    </w:p>
    <w:p>
      <w:pPr>
        <w:spacing w:after="0" w:line="220"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Complying with environmental laws ofen involves signifcant capital and operatng expenses. See "</w:t>
      </w:r>
      <w:r>
        <w:rPr>
          <w:rFonts w:ascii="Calibri" w:cs="Calibri" w:eastAsia="Calibri" w:hAnsi="Calibri"/>
          <w:sz w:val="18"/>
          <w:szCs w:val="18"/>
          <w:i w:val="1"/>
          <w:iCs w:val="1"/>
          <w:color w:val="auto"/>
        </w:rPr>
        <w:t>Risk Factors—Risks Related to Our Business—Risks Related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to Our Business Generally" and "—Risks Related to our Datacenter and Power Generaton Operatons" </w:t>
      </w:r>
      <w:r>
        <w:rPr>
          <w:rFonts w:ascii="Calibri" w:cs="Calibri" w:eastAsia="Calibri" w:hAnsi="Calibri"/>
          <w:sz w:val="18"/>
          <w:szCs w:val="18"/>
          <w:color w:val="auto"/>
        </w:rPr>
        <w:t>for further details.</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Permits</w:t>
      </w:r>
    </w:p>
    <w:p>
      <w:pPr>
        <w:spacing w:after="0" w:line="10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Greenidge Generaton’s operatons are subject to the following NYSDEC-issued permits: Clean Air Act Title IV and Title V permits, Clean Water Act SPDES, and New York State Water Withdrawal Permit. Greenidge Generaton also holds a Petroleum Bulk Storage registraton issued by NYSDEC, which includes requirements applicable to the petroleum storage tanks located at the facility. The Landfll is subject to the following NYSDEC-issued permits: SPDES Permit and Part 360 Solid Waste Management Permit.</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Air</w:t>
      </w:r>
    </w:p>
    <w:p>
      <w:pPr>
        <w:spacing w:after="0" w:line="109" w:lineRule="exact"/>
        <w:rPr>
          <w:sz w:val="20"/>
          <w:szCs w:val="20"/>
          <w:color w:val="auto"/>
        </w:rPr>
      </w:pPr>
    </w:p>
    <w:p>
      <w:pPr>
        <w:ind w:right="140"/>
        <w:spacing w:after="0" w:line="218" w:lineRule="auto"/>
        <w:rPr>
          <w:sz w:val="20"/>
          <w:szCs w:val="20"/>
          <w:color w:val="auto"/>
        </w:rPr>
      </w:pPr>
      <w:r>
        <w:rPr>
          <w:rFonts w:ascii="Calibri" w:cs="Calibri" w:eastAsia="Calibri" w:hAnsi="Calibri"/>
          <w:sz w:val="18"/>
          <w:szCs w:val="18"/>
          <w:color w:val="auto"/>
        </w:rPr>
        <w:t>The Clean Air Act Title IV and Title V permits authorize Greenidge Generaton to fre natural gas (with up to 19% biomass co-fring) to produce electricity in accordance with the requirements of these permits. These permits regulate air emissions associated with our operatons and include all applicable Clean Air Act and New York State requirements. Greenidge Generaton is also subject to the RGGI, which is a mult-state cap and trade program for carbon dioxide emissions that requires Greenidge Generaton to purchase one RGGI allowance for every ton of CO</w:t>
      </w:r>
      <w:r>
        <w:rPr>
          <w:rFonts w:ascii="Calibri" w:cs="Calibri" w:eastAsia="Calibri" w:hAnsi="Calibri"/>
          <w:sz w:val="23"/>
          <w:szCs w:val="23"/>
          <w:color w:val="auto"/>
          <w:vertAlign w:val="subscript"/>
        </w:rPr>
        <w:t>2</w:t>
      </w:r>
      <w:r>
        <w:rPr>
          <w:rFonts w:ascii="Calibri" w:cs="Calibri" w:eastAsia="Calibri" w:hAnsi="Calibri"/>
          <w:sz w:val="18"/>
          <w:szCs w:val="18"/>
          <w:color w:val="auto"/>
        </w:rPr>
        <w:t xml:space="preserve"> emited from the New York Facility. RGGI allowances are ofered in quarterly auctons and are available from third partes. In 2019, New York State passed the Climate Leadership and Community Protecton Act ("CLCPA"), which requires the NYSDEC and PSC to promulgate regulatons and programs for the state to meet greenhouse gas emission reducton requirements and targets. NYSDEC and PSC have not fully implemented the CLCPA.</w:t>
      </w:r>
    </w:p>
    <w:p>
      <w:pPr>
        <w:spacing w:after="0" w:line="154" w:lineRule="exact"/>
        <w:rPr>
          <w:sz w:val="20"/>
          <w:szCs w:val="20"/>
          <w:color w:val="auto"/>
        </w:rPr>
      </w:pPr>
    </w:p>
    <w:p>
      <w:pPr>
        <w:ind w:right="200"/>
        <w:spacing w:after="0" w:line="229" w:lineRule="auto"/>
        <w:rPr>
          <w:sz w:val="20"/>
          <w:szCs w:val="20"/>
          <w:color w:val="auto"/>
        </w:rPr>
      </w:pPr>
      <w:r>
        <w:rPr>
          <w:rFonts w:ascii="Calibri" w:cs="Calibri" w:eastAsia="Calibri" w:hAnsi="Calibri"/>
          <w:sz w:val="18"/>
          <w:szCs w:val="18"/>
          <w:color w:val="auto"/>
        </w:rPr>
        <w:t>In late June 2022, the NYSDEC announced its denial of the Title V air permit renewal for our New York Facility. We fled a notce with the NYSDEC in 2022 requestng an adjudicatory hearing on NYSDEC’s decision. Having tmely completed our applicaton to renew our Title V air permit, we are permited to operate uninterrupted under a State Administratve Procedures Act extension, in full compliance with our existng Title V Air Permit, untl fnal resoluton of the adjudicatory hearing and appeals processes, which we believe may take a number of years to resolve. See Note 10, "</w:t>
      </w:r>
      <w:r>
        <w:rPr>
          <w:rFonts w:ascii="Calibri" w:cs="Calibri" w:eastAsia="Calibri" w:hAnsi="Calibri"/>
          <w:sz w:val="18"/>
          <w:szCs w:val="18"/>
          <w:i w:val="1"/>
          <w:iCs w:val="1"/>
          <w:color w:val="auto"/>
        </w:rPr>
        <w:t>Commitments and Contngencies—</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Legal Maters</w:t>
      </w:r>
      <w:r>
        <w:rPr>
          <w:rFonts w:ascii="Calibri" w:cs="Calibri" w:eastAsia="Calibri" w:hAnsi="Calibri"/>
          <w:sz w:val="18"/>
          <w:szCs w:val="18"/>
          <w:color w:val="auto"/>
        </w:rPr>
        <w:t>" for further details.</w:t>
      </w:r>
    </w:p>
    <w:p>
      <w:pPr>
        <w:spacing w:after="0" w:line="31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Water</w:t>
      </w:r>
    </w:p>
    <w:p>
      <w:pPr>
        <w:spacing w:after="0" w:line="109" w:lineRule="exact"/>
        <w:rPr>
          <w:sz w:val="20"/>
          <w:szCs w:val="20"/>
          <w:color w:val="auto"/>
        </w:rPr>
      </w:pPr>
    </w:p>
    <w:p>
      <w:pPr>
        <w:ind w:right="20"/>
        <w:spacing w:after="0" w:line="242" w:lineRule="auto"/>
        <w:rPr>
          <w:sz w:val="20"/>
          <w:szCs w:val="20"/>
          <w:color w:val="auto"/>
        </w:rPr>
      </w:pPr>
      <w:r>
        <w:rPr>
          <w:rFonts w:ascii="Calibri" w:cs="Calibri" w:eastAsia="Calibri" w:hAnsi="Calibri"/>
          <w:sz w:val="17"/>
          <w:szCs w:val="17"/>
          <w:color w:val="auto"/>
        </w:rPr>
        <w:t>The New York Facility is subject to SPDES and Water Withdrawal permits issued by NYSDEC for fve-year terms, which include state and federal requirements applicable to withdrawal of water from Seneca Lake and discharge of process and stormwaters from the New York Facility to the Keuka Lake Outlet and Seneca Lake. A request for renewal has been made prior to the expiraton of these permits and has been deemed tmely and sufcient by NYSDEC. This allows uninterrupted operaton of the New York Facility under the State Administratve Procedures Act. In September 2022, NYSDEC modifed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9" w:name="page20"/>
    <w:bookmarkEnd w:id="19"/>
    <w:p>
      <w:pPr>
        <w:ind w:right="300"/>
        <w:spacing w:after="0" w:line="227" w:lineRule="auto"/>
        <w:rPr>
          <w:sz w:val="20"/>
          <w:szCs w:val="20"/>
          <w:color w:val="auto"/>
        </w:rPr>
      </w:pPr>
      <w:r>
        <w:rPr>
          <w:rFonts w:ascii="Calibri" w:cs="Calibri" w:eastAsia="Calibri" w:hAnsi="Calibri"/>
          <w:sz w:val="18"/>
          <w:szCs w:val="18"/>
          <w:color w:val="auto"/>
        </w:rPr>
        <w:t>our SPDES permit which granted an extension to install Best Technology Available for cooling water intake structures. We completed the installaton of the Best Technology Available and began successful operaton in January 2023.</w:t>
      </w:r>
    </w:p>
    <w:p>
      <w:pPr>
        <w:spacing w:after="0" w:line="165"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The Landfll, which is located approximately 0.4 miles from the Greenidge Generaton facility, discharges stormwater and treated leachate to the Keuka Lake Outlet in accordance with a SPDES permit issued by NYSDEC. A reissued SPDES permit was completed in May 2022. This permit establishes efuent limitatons and sampling frequency for both stormwater and leachate discharges from the Landfll and specifes a monitoring and reportng structure to the NYSDEC. This permit is valid untl June 2027.</w:t>
      </w:r>
    </w:p>
    <w:p>
      <w:pPr>
        <w:spacing w:after="0" w:line="30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Waste</w:t>
      </w:r>
    </w:p>
    <w:p>
      <w:pPr>
        <w:spacing w:after="0" w:line="109" w:lineRule="exact"/>
        <w:rPr>
          <w:sz w:val="20"/>
          <w:szCs w:val="20"/>
          <w:color w:val="auto"/>
        </w:rPr>
      </w:pPr>
    </w:p>
    <w:p>
      <w:pPr>
        <w:jc w:val="both"/>
        <w:ind w:right="20"/>
        <w:spacing w:after="0" w:line="249" w:lineRule="auto"/>
        <w:rPr>
          <w:sz w:val="20"/>
          <w:szCs w:val="20"/>
          <w:color w:val="auto"/>
        </w:rPr>
      </w:pPr>
      <w:r>
        <w:rPr>
          <w:rFonts w:ascii="Calibri" w:cs="Calibri" w:eastAsia="Calibri" w:hAnsi="Calibri"/>
          <w:sz w:val="17"/>
          <w:szCs w:val="17"/>
          <w:color w:val="auto"/>
        </w:rPr>
        <w:t>The Landfll is also subject to a Part 360 Solid Waste Management Facility permit issued by NYSDEC. An applicaton to renew and modify the Part 360 permit was submited in August 2020 to NYSDEC, and NYSDEC is currently processing the applicaton. Due to the operatons of the previous owners of the Lockwood Hills landfll, in 2015 NYSDEC alleged that the then-existng Leachate Pond was causing exceedances of New York State groundwater standards. Lockwood Hills entered into a Consent Order with the NYSDEC in 2015, which required remediaton of the leachate pond, and installaton of a liner and treatment system.</w:t>
      </w:r>
    </w:p>
    <w:p>
      <w:pPr>
        <w:spacing w:after="0" w:line="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work required by the Consent Order was completed in 2019 as required, and NYSDEC approved of the constructon report on July 6, 2020. Applicatons for modifcaton of the SPDES and Part 360 permits to refect the implementaton of the consent order, which are the fnal requirements of the consent order, were tmely submited to NYSDEC. During the fourth quarter of 2023, we received a request for additonal informaton from NYSDEC which we are currently in the process of gathering to facilitate the processing of our permit renewal applicatons. Lockwood Hills is subject to EPA’s Coal Combuston Residuals Rule (the "CCR Rule"), as a coal combuston residual ("CCR") landfll. In accordance with the requirements of the CCR Rule, Lockwood has drafed required plans and documents and hosts a publicly available website that makes certain documents available to the public. Our communicatons with EPA with respect to the Landfll and contnued CCR compliance requirements contnued in January 2024 and remain ongoing.</w:t>
      </w:r>
    </w:p>
    <w:p>
      <w:pPr>
        <w:spacing w:after="0" w:line="249" w:lineRule="exact"/>
        <w:rPr>
          <w:sz w:val="20"/>
          <w:szCs w:val="20"/>
          <w:color w:val="auto"/>
        </w:rPr>
      </w:pPr>
    </w:p>
    <w:p>
      <w:pPr>
        <w:ind w:right="80"/>
        <w:spacing w:after="0" w:line="227" w:lineRule="auto"/>
        <w:rPr>
          <w:sz w:val="20"/>
          <w:szCs w:val="20"/>
          <w:color w:val="auto"/>
        </w:rPr>
      </w:pPr>
      <w:r>
        <w:rPr>
          <w:rFonts w:ascii="Calibri" w:cs="Calibri" w:eastAsia="Calibri" w:hAnsi="Calibri"/>
          <w:sz w:val="18"/>
          <w:szCs w:val="18"/>
          <w:color w:val="auto"/>
        </w:rPr>
        <w:t>Greenidge Generaton is also subject to the CCR Rule, which requires that the onsite CCR surface impoundment associated with previous coal-fred operaton of the New York Facility, be closed. Greenidge Generaton has also drafed the CCR Rule documents associated with closure, and has a publicly available website that makes certain documents available to the public as required by the rule. We have evaluated the impact of the CCR Rule on our consolidated fnancial positon, results of operatons, or cash fows and have accrued environmental liabilites under the rule based on current estmates. On January 9, 2024, Greenidge Generaton entered into a Consent Agreement and Final Order with EPA wherein we were required to pay a civil fne in the amount of $105,000 and to cease receipt of waste into the onsite CCR surface impoundment in accordance with the tmeframes and extensions set forth in the CCR Rule. Greenidge Generaton contnues to undertake compliance eforts pursuant to the Consent Agreement and Final Order.</w:t>
      </w: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Environmental Liability</w:t>
      </w:r>
    </w:p>
    <w:p>
      <w:pPr>
        <w:spacing w:after="0" w:line="10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As required by the NYSDEC, landflls are required to establish and maintain fnancial assurance mechanism to cover closure, post-closure care, and related expenses. The purpose of the fnancial assurance mechanism is to ensure the amount of funds assured is sufcient to cover the costs of landfll closure, post-closure care, custodial care, and, if necessary, correctve measures for known releases when needed. The fnancial assurance amount is based on writen estmates, in current dollars, of the cost of hiring a third party to perform the work. The NYSDEC has allowed Atlas and its afliates to satsfy this fnancial assurance obligaton by maintaining a leter of credit guaranteeing the payment of the landfll liability. As of December 31, 2024, the leter of credit amount was approximately $5.0 million, which guaranteed the payment of a porton of the landfll liability. In this frst quarter of 2025, Greenidge contributed $1.3 million into a trust established with NYSDEC as the benefciary to cover the remainder of the landfll surety requirement.</w:t>
      </w:r>
    </w:p>
    <w:p>
      <w:pPr>
        <w:spacing w:after="0" w:line="222"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CCRs are subject to federal and state regulatons. Most of our obligatons associated with CCR are for the closure of a coal ash pond. The Landfll is in compliance with the CCR requirements applicable to CCR landflls and is not required to close. With regards to our coal ash pond, in accordance with federal law and Accountng Standards Codifcaton ("ASC") 410-20, Environmental Liabilites, we have an environmental liability of $17.3 million as of December 31, 2024.</w:t>
      </w:r>
    </w:p>
    <w:p>
      <w:pPr>
        <w:spacing w:after="0" w:line="219" w:lineRule="exact"/>
        <w:rPr>
          <w:sz w:val="20"/>
          <w:szCs w:val="20"/>
          <w:color w:val="auto"/>
        </w:rPr>
      </w:pPr>
    </w:p>
    <w:p>
      <w:pPr>
        <w:ind w:right="40"/>
        <w:spacing w:after="0" w:line="258" w:lineRule="auto"/>
        <w:rPr>
          <w:sz w:val="20"/>
          <w:szCs w:val="20"/>
          <w:color w:val="auto"/>
        </w:rPr>
      </w:pPr>
      <w:r>
        <w:rPr>
          <w:rFonts w:ascii="Calibri" w:cs="Calibri" w:eastAsia="Calibri" w:hAnsi="Calibri"/>
          <w:sz w:val="17"/>
          <w:szCs w:val="17"/>
          <w:color w:val="auto"/>
        </w:rPr>
        <w:t>During the year ended December 31, 2024, we recognized a charge of $0.5 million for the remeasurement of environmental liabilites as a result of an update in the cost estmates associated to CCR liabilites related to the Lockwood landfll and the CCR impoundment as part of our contnuing evaluaton of the site.</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0" w:name="page21"/>
    <w:bookmarkEnd w:id="20"/>
    <w:p>
      <w:pPr>
        <w:spacing w:after="0"/>
        <w:rPr>
          <w:sz w:val="20"/>
          <w:szCs w:val="20"/>
          <w:color w:val="auto"/>
        </w:rPr>
      </w:pPr>
      <w:r>
        <w:rPr>
          <w:rFonts w:ascii="Calibri" w:cs="Calibri" w:eastAsia="Calibri" w:hAnsi="Calibri"/>
          <w:sz w:val="18"/>
          <w:szCs w:val="18"/>
          <w:b w:val="1"/>
          <w:bCs w:val="1"/>
          <w:color w:val="auto"/>
        </w:rPr>
        <w:t>Corporate History and Structure</w:t>
      </w:r>
    </w:p>
    <w:p>
      <w:pPr>
        <w:spacing w:after="0" w:line="109"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In 2014, Atlas Holdings LLC and its afliates ("Atlas") formed Greenidge Generaton Holdings LLC ("GGH") and purchased all of the equity interests in Greenidge Generaton LLC ("Greenidge Generaton"), which owned an idled power plant in Torrey, New York. Following the purchase, a project was commenced to convert the power plant from coal to natural gas. This included securing the right of way and constructng a 4.6-mile natural gas pipeline which we now own and operate. In May 2017, the transformed power plant commenced operatons with a total generaton capacity of approximately 106 MW.</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auto"/>
        </w:rPr>
        <w:t>Afer the completon of a successful pilot program in 2019, we commenced cryptocurrency datacenter operatons in January 2020.</w:t>
      </w:r>
    </w:p>
    <w:p>
      <w:pPr>
        <w:spacing w:after="0" w:line="21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In January 2021, GGH completed a corporate restructuring, pursuant to which Greenidge was incorporated in the State of Delaware on January 27, 2021. On January 29, 2021, we entered into an asset contributon and exchange agreement with the owners of GGH, pursuant to which we acquired all of the ownership interests in GGH in exchange for 700,000 shares of our common stock. As a result of this transacton, GGH became a wholly owned subsidiary of Greenidge Generaton Holdings Inc ("GGHI").</w:t>
      </w:r>
    </w:p>
    <w:p>
      <w:pPr>
        <w:spacing w:after="0" w:line="165"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On September 14, 2021, we acquired Support.com pursuant to an agreement and plan of merger (the "Support Merger") and, as a result, it began to operate as our wholly owned subsidiary. Subsequent to the Support Merger, our shares of Class A common stock were listed on The Nasdaq Global Select Market and began trading under the symbol "GREE", which is the current trading symbol of our Class A common stock.</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Available Informaton</w:t>
      </w:r>
    </w:p>
    <w:p>
      <w:pPr>
        <w:spacing w:after="0" w:line="109" w:lineRule="exact"/>
        <w:rPr>
          <w:sz w:val="20"/>
          <w:szCs w:val="20"/>
          <w:color w:val="auto"/>
        </w:rPr>
      </w:pPr>
    </w:p>
    <w:p>
      <w:pPr>
        <w:ind w:right="80"/>
        <w:spacing w:after="0"/>
        <w:rPr>
          <w:sz w:val="20"/>
          <w:szCs w:val="20"/>
          <w:color w:val="auto"/>
        </w:rPr>
      </w:pPr>
      <w:r>
        <w:rPr>
          <w:rFonts w:ascii="Calibri" w:cs="Calibri" w:eastAsia="Calibri" w:hAnsi="Calibri"/>
          <w:sz w:val="17"/>
          <w:szCs w:val="17"/>
          <w:color w:val="auto"/>
        </w:rPr>
        <w:t>Our website is located at www.greenidge.com. Informaton on our website does not consttute a part of this Annual Report. Our goal is to maintain our website as a portal through which investors can access pertnent informaton about us, including our annual reports on Form 10-K, quarterly reports on Form 10-Q, current reports on Form 8-K, proxy statements, and any other reports, afer we fle them with the SEC. The public may obtain a copy of our flings, free of charge, through our corporate internet website as soon as reasonably practcable afer we have electronically fled such material with, or furnished it to, the SEC. Additonally, these materials, including this Annual Report and the accompanying exhibits are available from the SEC’s website htp://www.sec.gov.</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1A. RISK FACTORS.</w:t>
      </w:r>
    </w:p>
    <w:p>
      <w:pPr>
        <w:spacing w:after="0" w:line="109" w:lineRule="exact"/>
        <w:rPr>
          <w:sz w:val="20"/>
          <w:szCs w:val="20"/>
          <w:color w:val="auto"/>
        </w:rPr>
      </w:pPr>
    </w:p>
    <w:p>
      <w:pPr>
        <w:ind w:right="100"/>
        <w:spacing w:after="0" w:line="225" w:lineRule="auto"/>
        <w:rPr>
          <w:sz w:val="20"/>
          <w:szCs w:val="20"/>
          <w:color w:val="auto"/>
        </w:rPr>
      </w:pPr>
      <w:r>
        <w:rPr>
          <w:rFonts w:ascii="Calibri" w:cs="Calibri" w:eastAsia="Calibri" w:hAnsi="Calibri"/>
          <w:sz w:val="18"/>
          <w:szCs w:val="18"/>
          <w:i w:val="1"/>
          <w:iCs w:val="1"/>
          <w:color w:val="auto"/>
        </w:rPr>
        <w:t>In evaluatng our company and our business, you should carefully consider the risks and uncertaintes described below, together with the other informaton in this Annual Report, including our consolidated fnancial statements and the related notes and in the secton ttled "Management’s Discussion and Analysis of Financial Conditon and Results of Operatons". The occurrence of one or more of the events or circumstances described in these risk factors, alone or in combinaton with other events or circumstances, may have a material adverse efect on our business, reputaton, revenue, fnancial conditon, results of operatons and future prospects, in which case the market price of our common stock could decline. Unless otherwise indicated, reference in this secton and elsewhere in this Annual Report to our business being adversely afected, negatvely impacted or harmed will include an adverse efect on, or a negatve impact or harm to, our business, reputaton, fnancial conditon, results of operatons, revenue and our future prospects. The material and other risks and uncertaintes summarized above in this Annual Report and described below are not intended to be exhaustve and are not the only ones we face. Additonal risks and uncertaintes not presently known to us or that we currently deem immaterial may also impair our business operatons. This Annual Report also contains forward-looking statements that involve risks and uncertaintes. Our actual results could difer materially from those antcipated in the forward-looking statements as a result of a number of factors, including the risks described below. Certain statements in the Risk Factors below are forward-looking statements. See the secton ttled "Cautonary Statement Regarding Forward-Looking Statements".</w:t>
      </w:r>
    </w:p>
    <w:p>
      <w:pPr>
        <w:spacing w:after="0" w:line="228" w:lineRule="exact"/>
        <w:rPr>
          <w:sz w:val="20"/>
          <w:szCs w:val="20"/>
          <w:color w:val="auto"/>
        </w:rPr>
      </w:pPr>
    </w:p>
    <w:p>
      <w:pPr>
        <w:spacing w:after="0" w:line="225" w:lineRule="auto"/>
        <w:rPr>
          <w:sz w:val="20"/>
          <w:szCs w:val="20"/>
          <w:color w:val="auto"/>
        </w:rPr>
      </w:pPr>
      <w:r>
        <w:rPr>
          <w:rFonts w:ascii="Calibri" w:cs="Calibri" w:eastAsia="Calibri" w:hAnsi="Calibri"/>
          <w:sz w:val="18"/>
          <w:szCs w:val="18"/>
          <w:color w:val="auto"/>
        </w:rPr>
        <w:t>Our business is subject to numerous risks and uncertaintes, which illuminate challenges that we face in connecton with the successful implementaton of our strategy and the growth of our business. Our business, prospects, fnancial conditon or operatng results could be harmed by any of these risks, as well as other risks not currently known to us or that we currently consider immaterial.</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1" w:name="page22"/>
    <w:bookmarkEnd w:id="21"/>
    <w:p>
      <w:pPr>
        <w:spacing w:after="0"/>
        <w:rPr>
          <w:sz w:val="20"/>
          <w:szCs w:val="20"/>
          <w:color w:val="auto"/>
        </w:rPr>
      </w:pPr>
      <w:r>
        <w:rPr>
          <w:rFonts w:ascii="Calibri" w:cs="Calibri" w:eastAsia="Calibri" w:hAnsi="Calibri"/>
          <w:sz w:val="18"/>
          <w:szCs w:val="18"/>
          <w:b w:val="1"/>
          <w:bCs w:val="1"/>
          <w:color w:val="auto"/>
        </w:rPr>
        <w:t>Risks Related to Our Business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General Risks</w:t>
      </w:r>
    </w:p>
    <w:p>
      <w:pPr>
        <w:spacing w:after="0" w:line="163" w:lineRule="exact"/>
        <w:rPr>
          <w:sz w:val="20"/>
          <w:szCs w:val="20"/>
          <w:color w:val="auto"/>
        </w:rPr>
      </w:pPr>
    </w:p>
    <w:p>
      <w:pPr>
        <w:ind w:right="260"/>
        <w:spacing w:after="0" w:line="227" w:lineRule="auto"/>
        <w:rPr>
          <w:sz w:val="20"/>
          <w:szCs w:val="20"/>
          <w:color w:val="auto"/>
        </w:rPr>
      </w:pPr>
      <w:r>
        <w:rPr>
          <w:rFonts w:ascii="Calibri" w:cs="Calibri" w:eastAsia="Calibri" w:hAnsi="Calibri"/>
          <w:sz w:val="18"/>
          <w:szCs w:val="18"/>
          <w:b w:val="1"/>
          <w:bCs w:val="1"/>
          <w:i w:val="1"/>
          <w:iCs w:val="1"/>
          <w:color w:val="auto"/>
        </w:rPr>
        <w:t>Because our current projected operatng cash fows are not sufcient in the long term to meet our existng long-term debt obligatons, an investment in our common stock is highly speculatve. Holders of our common stock could sufer a total loss of their investment.</w:t>
      </w:r>
    </w:p>
    <w:p>
      <w:pPr>
        <w:spacing w:after="0" w:line="205" w:lineRule="exact"/>
        <w:rPr>
          <w:sz w:val="20"/>
          <w:szCs w:val="20"/>
          <w:color w:val="auto"/>
        </w:rPr>
      </w:pPr>
    </w:p>
    <w:p>
      <w:pPr>
        <w:spacing w:after="0" w:line="227" w:lineRule="auto"/>
        <w:rPr>
          <w:sz w:val="20"/>
          <w:szCs w:val="20"/>
          <w:color w:val="auto"/>
        </w:rPr>
      </w:pPr>
      <w:r>
        <w:rPr>
          <w:rFonts w:ascii="Calibri" w:cs="Calibri" w:eastAsia="Calibri" w:hAnsi="Calibri"/>
          <w:sz w:val="18"/>
          <w:szCs w:val="18"/>
          <w:color w:val="auto"/>
        </w:rPr>
        <w:t>The ability to meet our existng long-term debt obligatons is dependent upon generatng proftable operatons, obtaining necessary fnancing to meet our obligatons, repaying our liabilites when they come due and/or successfully executng on our debt restructuring eforts . Our operatng cash fows are afected by several factors including the price of bitcoin and cost of electricity and natural gas and emissions credits. During the years ended December 31, 2023 and 2024, we took certain actons to improve our liquidity, including the setlement of our debt with NYDIG, selling the South Carolina Facility, entering into a defnitve agreement to sell the remaining 152 acres in South Carolina to Data Journey, completng an equity fnancing with Armistce Capital Master Fund Ltd. ("Armistce"), and executng certain privately negotated debt-for-equity exchange agreements. See “</w:t>
      </w:r>
      <w:r>
        <w:rPr>
          <w:rFonts w:ascii="Calibri" w:cs="Calibri" w:eastAsia="Calibri" w:hAnsi="Calibri"/>
          <w:sz w:val="18"/>
          <w:szCs w:val="18"/>
          <w:i w:val="1"/>
          <w:iCs w:val="1"/>
          <w:color w:val="auto"/>
        </w:rPr>
        <w:t>Business—Corporate History and Structure</w:t>
      </w:r>
      <w:r>
        <w:rPr>
          <w:rFonts w:ascii="Calibri" w:cs="Calibri" w:eastAsia="Calibri" w:hAnsi="Calibri"/>
          <w:sz w:val="18"/>
          <w:szCs w:val="18"/>
          <w:color w:val="auto"/>
        </w:rPr>
        <w:t>,” and “</w:t>
      </w:r>
      <w:r>
        <w:rPr>
          <w:rFonts w:ascii="Calibri" w:cs="Calibri" w:eastAsia="Calibri" w:hAnsi="Calibri"/>
          <w:sz w:val="18"/>
          <w:szCs w:val="18"/>
          <w:i w:val="1"/>
          <w:iCs w:val="1"/>
          <w:color w:val="auto"/>
        </w:rPr>
        <w:t>Management’s Discussion and Analysis of Financial Conditon and Results of Operatons —Liquidity and Capital Resources</w:t>
      </w:r>
      <w:r>
        <w:rPr>
          <w:rFonts w:ascii="Calibri" w:cs="Calibri" w:eastAsia="Calibri" w:hAnsi="Calibri"/>
          <w:sz w:val="18"/>
          <w:szCs w:val="18"/>
          <w:color w:val="auto"/>
        </w:rPr>
        <w:t>."</w:t>
      </w:r>
    </w:p>
    <w:p>
      <w:pPr>
        <w:spacing w:after="0" w:line="246" w:lineRule="exact"/>
        <w:rPr>
          <w:sz w:val="20"/>
          <w:szCs w:val="20"/>
          <w:color w:val="auto"/>
        </w:rPr>
      </w:pPr>
    </w:p>
    <w:p>
      <w:pPr>
        <w:ind w:right="40"/>
        <w:spacing w:after="0" w:line="226" w:lineRule="auto"/>
        <w:rPr>
          <w:sz w:val="20"/>
          <w:szCs w:val="20"/>
          <w:color w:val="auto"/>
        </w:rPr>
      </w:pPr>
      <w:r>
        <w:rPr>
          <w:rFonts w:ascii="Calibri" w:cs="Calibri" w:eastAsia="Calibri" w:hAnsi="Calibri"/>
          <w:sz w:val="18"/>
          <w:szCs w:val="18"/>
          <w:color w:val="auto"/>
        </w:rPr>
        <w:t>Depending on our assumptons regarding the tming of and our ability to achieve more normalized levels of operatng revenue, the estmated amount of required liquidity will vary signifcantly. Similarly, while bitcoin prices have risen in the fourth quarter of 2024 and remain relatvely high as of the frst quarter of 2025, we cannot predict if bitcoin prices will contnue to rise or remain at recent levels, or volatlity in energy costs. While we contnue to work to implement the optons to improve liquidity, we can provide no assurance that these eforts will be successful. Our ability to successfully implement these optons could be negatvely impacted by items outside of our control, in partcular, signifcant decreases in the price of bitcoin, regulatory changes concerning cryptocurrency, ongoing adjudicatory proceedings with respect to the New York Facility's Title V Air Permit, increases in energy costs or other macroeconomic conditons. There is uncertainty regarding our fnancial conditon in the long term if we are not able to increase our current projected operatng cash fows sufciently.</w:t>
      </w:r>
    </w:p>
    <w:p>
      <w:pPr>
        <w:spacing w:after="0" w:line="316"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b w:val="1"/>
          <w:bCs w:val="1"/>
          <w:i w:val="1"/>
          <w:iCs w:val="1"/>
          <w:color w:val="auto"/>
        </w:rPr>
        <w:t>We may need to raise additonal capital to grow our business and may not be able to do so on favorable terms, if at all. Future issuances of equity or debt securites may adversely afect the value of our common stock.</w:t>
      </w:r>
    </w:p>
    <w:p>
      <w:pPr>
        <w:spacing w:after="0" w:line="150" w:lineRule="exact"/>
        <w:rPr>
          <w:sz w:val="20"/>
          <w:szCs w:val="20"/>
          <w:color w:val="auto"/>
        </w:rPr>
      </w:pPr>
    </w:p>
    <w:p>
      <w:pPr>
        <w:ind w:right="240"/>
        <w:spacing w:after="0" w:line="230" w:lineRule="auto"/>
        <w:rPr>
          <w:sz w:val="20"/>
          <w:szCs w:val="20"/>
          <w:color w:val="auto"/>
        </w:rPr>
      </w:pPr>
      <w:r>
        <w:rPr>
          <w:rFonts w:ascii="Calibri" w:cs="Calibri" w:eastAsia="Calibri" w:hAnsi="Calibri"/>
          <w:sz w:val="18"/>
          <w:szCs w:val="18"/>
          <w:color w:val="auto"/>
        </w:rPr>
        <w:t>We may need to raise additonal capital in the future, including to expand our operatons and pursue our growth strategies, to respond to compettve pressures or to meet capital needs in response to operatng losses or unantcipated working capital requirements. We may not be able to obtain additonal debt or equity fnancing on favorable terms in the future, if at all, which could impair our growth and adversely afect our existng operatons.</w:t>
      </w:r>
    </w:p>
    <w:p>
      <w:pPr>
        <w:spacing w:after="0" w:line="313" w:lineRule="exact"/>
        <w:rPr>
          <w:sz w:val="20"/>
          <w:szCs w:val="20"/>
          <w:color w:val="auto"/>
        </w:rPr>
      </w:pPr>
    </w:p>
    <w:p>
      <w:pPr>
        <w:ind w:right="200"/>
        <w:spacing w:after="0" w:line="242" w:lineRule="auto"/>
        <w:rPr>
          <w:sz w:val="20"/>
          <w:szCs w:val="20"/>
          <w:color w:val="auto"/>
        </w:rPr>
      </w:pPr>
      <w:r>
        <w:rPr>
          <w:rFonts w:ascii="Calibri" w:cs="Calibri" w:eastAsia="Calibri" w:hAnsi="Calibri"/>
          <w:sz w:val="17"/>
          <w:szCs w:val="17"/>
          <w:color w:val="auto"/>
        </w:rPr>
        <w:t>If we conduct an equity ofering, to raise capital or to take advantage of strong capital markets, our stockholders may experience signifcant diluton of their ownership interests, and the per share value of our Class A common stock could materially decline. See “</w:t>
      </w:r>
      <w:r>
        <w:rPr>
          <w:rFonts w:ascii="Calibri" w:cs="Calibri" w:eastAsia="Calibri" w:hAnsi="Calibri"/>
          <w:sz w:val="17"/>
          <w:szCs w:val="17"/>
          <w:i w:val="1"/>
          <w:iCs w:val="1"/>
          <w:color w:val="auto"/>
        </w:rPr>
        <w:t>Risks Related to the Ownership of Our Securites—</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Our issuance of a signifcant number of additonal shares of Class A common stock in connecton with any future fnancings, acquisitons, investments, commercial arrangements, under our stock incentve plans, or otherwise will dilute all other shareholders and our stock price could decline as a result.</w:t>
      </w:r>
      <w:r>
        <w:rPr>
          <w:rFonts w:ascii="Calibri" w:cs="Calibri" w:eastAsia="Calibri" w:hAnsi="Calibri"/>
          <w:sz w:val="17"/>
          <w:szCs w:val="17"/>
          <w:color w:val="auto"/>
        </w:rPr>
        <w:t>"</w:t>
      </w:r>
    </w:p>
    <w:p>
      <w:pPr>
        <w:spacing w:after="0" w:line="203" w:lineRule="exact"/>
        <w:rPr>
          <w:sz w:val="20"/>
          <w:szCs w:val="20"/>
          <w:color w:val="auto"/>
        </w:rPr>
      </w:pPr>
    </w:p>
    <w:p>
      <w:pPr>
        <w:jc w:val="both"/>
        <w:ind w:right="120"/>
        <w:spacing w:after="0" w:line="246" w:lineRule="auto"/>
        <w:rPr>
          <w:sz w:val="20"/>
          <w:szCs w:val="20"/>
          <w:color w:val="auto"/>
        </w:rPr>
      </w:pPr>
      <w:r>
        <w:rPr>
          <w:rFonts w:ascii="Calibri" w:cs="Calibri" w:eastAsia="Calibri" w:hAnsi="Calibri"/>
          <w:sz w:val="17"/>
          <w:szCs w:val="17"/>
          <w:color w:val="auto"/>
        </w:rPr>
        <w:t>Furthermore, if we engage in further debt fnancing, the holders of debt likely would have priority over the holders of our common stock, including the Class A common stock, with respect to order of payment. Upon a bankruptcy or liquidaton, holders of any such debt securites, and lenders with respect to other borrowings we may make, would receive distributons of our available assets prior to any distributons being made to holders of Class A common stock.</w:t>
      </w:r>
    </w:p>
    <w:p>
      <w:pPr>
        <w:spacing w:after="0" w:line="199" w:lineRule="exact"/>
        <w:rPr>
          <w:sz w:val="20"/>
          <w:szCs w:val="20"/>
          <w:color w:val="auto"/>
        </w:rPr>
      </w:pPr>
    </w:p>
    <w:p>
      <w:pPr>
        <w:ind w:right="60"/>
        <w:spacing w:after="0" w:line="228" w:lineRule="auto"/>
        <w:rPr>
          <w:sz w:val="20"/>
          <w:szCs w:val="20"/>
          <w:color w:val="auto"/>
        </w:rPr>
      </w:pPr>
      <w:r>
        <w:rPr>
          <w:rFonts w:ascii="Calibri" w:cs="Calibri" w:eastAsia="Calibri" w:hAnsi="Calibri"/>
          <w:sz w:val="18"/>
          <w:szCs w:val="18"/>
          <w:color w:val="auto"/>
        </w:rPr>
        <w:t>Moreover, if we issue preferred stock in the future, the holders of such preferred stock could also be enttled to preferences over holders of Class A common stock in respect of the payment of dividends and the payment of liquidatng distributons. Further, such securites could require us to accept terms that restrict our ability to incur additonal indebtedness, take other actons including terms that require us to maintain specifed liquidity or other ratos that could otherwise not be in the interests of our stockholders.</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color w:val="auto"/>
        </w:rPr>
        <w:t>We cannot predict or estmate the amount, tming or nature of any such future oferings or borrowings.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22" w:name="page23"/>
    <w:bookmarkEnd w:id="22"/>
    <w:p>
      <w:pPr>
        <w:ind w:right="440"/>
        <w:spacing w:after="0" w:line="230" w:lineRule="auto"/>
        <w:rPr>
          <w:sz w:val="20"/>
          <w:szCs w:val="20"/>
          <w:color w:val="auto"/>
        </w:rPr>
      </w:pPr>
      <w:r>
        <w:rPr>
          <w:rFonts w:ascii="Calibri" w:cs="Calibri" w:eastAsia="Calibri" w:hAnsi="Calibri"/>
          <w:sz w:val="18"/>
          <w:szCs w:val="18"/>
          <w:b w:val="1"/>
          <w:bCs w:val="1"/>
          <w:i w:val="1"/>
          <w:iCs w:val="1"/>
          <w:color w:val="auto"/>
        </w:rPr>
        <w:t>We have incurred operatng losses throughout our growth. If we are unable to sustain greater revenues than our operatng costs and support our expansion plans, we may contnue to experience operatng losses, which would contnue to negatvely impact our results of operatons, strategy and fnancial performance.</w:t>
      </w:r>
    </w:p>
    <w:p>
      <w:pPr>
        <w:spacing w:after="0" w:line="340" w:lineRule="exact"/>
        <w:rPr>
          <w:sz w:val="20"/>
          <w:szCs w:val="20"/>
          <w:color w:val="auto"/>
        </w:rPr>
      </w:pPr>
    </w:p>
    <w:p>
      <w:pPr>
        <w:ind w:right="100"/>
        <w:spacing w:after="0" w:line="226" w:lineRule="auto"/>
        <w:rPr>
          <w:sz w:val="20"/>
          <w:szCs w:val="20"/>
          <w:color w:val="auto"/>
        </w:rPr>
      </w:pPr>
      <w:r>
        <w:rPr>
          <w:rFonts w:ascii="Calibri" w:cs="Calibri" w:eastAsia="Calibri" w:hAnsi="Calibri"/>
          <w:sz w:val="18"/>
          <w:szCs w:val="18"/>
          <w:color w:val="auto"/>
        </w:rPr>
        <w:t>We have experienced recurring losses from operatons since we began bitcoin mining in 2019. Bitcoin and energy pricing and cryptocurrency datacenter economics are volatle and subject to uncertainty, which has resulted in operatng losses during certain periods in our corporate history. Our current strategy will contnue to expose us to the numerous risks and volatlity associated with the cryptocurrency datacenter and power generaton sectors, including fuctuatng bitcoin to U.S. dollar prices, the proftability of our hostng arrangement with NYDIG, the number of market partcipants mining bitcoin, the availability of other power generaton facilites to expand operatons and regulatory changes.</w:t>
      </w:r>
    </w:p>
    <w:p>
      <w:pPr>
        <w:spacing w:after="0" w:line="167" w:lineRule="exact"/>
        <w:rPr>
          <w:sz w:val="20"/>
          <w:szCs w:val="20"/>
          <w:color w:val="auto"/>
        </w:rPr>
      </w:pPr>
    </w:p>
    <w:p>
      <w:pPr>
        <w:ind w:right="20"/>
        <w:spacing w:after="0" w:line="226" w:lineRule="auto"/>
        <w:rPr>
          <w:sz w:val="20"/>
          <w:szCs w:val="20"/>
          <w:color w:val="auto"/>
        </w:rPr>
      </w:pPr>
      <w:r>
        <w:rPr>
          <w:rFonts w:ascii="Calibri" w:cs="Calibri" w:eastAsia="Calibri" w:hAnsi="Calibri"/>
          <w:sz w:val="18"/>
          <w:szCs w:val="18"/>
          <w:color w:val="auto"/>
        </w:rPr>
        <w:t>If, among other things, the price of bitcoin does not contnue its recovery, which has contnued during the fourth quarter of 2024 and frst quarter of 2025, or mining economics do not return to proftability, we will contnue to incur losses. Such losses could be signifcant as we incur costs and expenses associated with recent investments and potental future acquisitons, as well as legal and administratve related expenses. While we are closely monitoring our cash balances, cash needs and expense levels, signifcant expense increases may not be ofset by a corresponding increase in revenue or a signifcant decline in bitcoin prices could signifcantly impact our fnancial performance. Due to our current projected operatng cash fows being insufcient in the long term to meet our long-term debt obligatons, an investment in our common stock is highly speculatve. See "</w:t>
      </w:r>
      <w:r>
        <w:rPr>
          <w:rFonts w:ascii="Calibri" w:cs="Calibri" w:eastAsia="Calibri" w:hAnsi="Calibri"/>
          <w:sz w:val="18"/>
          <w:szCs w:val="18"/>
          <w:i w:val="1"/>
          <w:iCs w:val="1"/>
          <w:color w:val="auto"/>
        </w:rPr>
        <w:t>General Risks—Because our current projected operatng</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cash fows are not sufcient in the long term to meet our current long-term debt obligatons, an investment in our common stock is highly speculatve. Holders of our common stock could sufer a total loss of their investment</w:t>
      </w:r>
      <w:r>
        <w:rPr>
          <w:rFonts w:ascii="Calibri" w:cs="Calibri" w:eastAsia="Calibri" w:hAnsi="Calibri"/>
          <w:sz w:val="18"/>
          <w:szCs w:val="18"/>
          <w:color w:val="auto"/>
        </w:rPr>
        <w:t>."</w:t>
      </w:r>
    </w:p>
    <w:p>
      <w:pPr>
        <w:spacing w:after="0" w:line="95"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Risks Related to Our Business Generally</w:t>
      </w:r>
    </w:p>
    <w:p>
      <w:pPr>
        <w:spacing w:after="0" w:line="325" w:lineRule="exact"/>
        <w:rPr>
          <w:sz w:val="20"/>
          <w:szCs w:val="20"/>
          <w:color w:val="auto"/>
        </w:rPr>
      </w:pPr>
    </w:p>
    <w:p>
      <w:pPr>
        <w:ind w:right="1060"/>
        <w:spacing w:after="0" w:line="227" w:lineRule="auto"/>
        <w:rPr>
          <w:sz w:val="20"/>
          <w:szCs w:val="20"/>
          <w:color w:val="auto"/>
        </w:rPr>
      </w:pPr>
      <w:r>
        <w:rPr>
          <w:rFonts w:ascii="Calibri" w:cs="Calibri" w:eastAsia="Calibri" w:hAnsi="Calibri"/>
          <w:sz w:val="18"/>
          <w:szCs w:val="18"/>
          <w:b w:val="1"/>
          <w:bCs w:val="1"/>
          <w:i w:val="1"/>
          <w:iCs w:val="1"/>
          <w:color w:val="auto"/>
        </w:rPr>
        <w:t>We are exposed to customer concentraton risk, substantally dependent on our sole hostng services customer, and exposed to counterparty nonperformance risk for our hostng arrangement.</w:t>
      </w:r>
    </w:p>
    <w:p>
      <w:pPr>
        <w:spacing w:after="0" w:line="97"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color w:val="auto"/>
        </w:rPr>
        <w:t>We currently are substantally dependent on our sole hostng services customer to generate most of our revenue, which exposes us to the risk of nonperformance by such customer, whether contractual or otherwise. The nonperformance of our hostng services customer would have a material impact on our liquidity and ability to operate the business. Risk of nonperformance includes inability or refusal of a counterparty to perform because of a counterparty’s fnancial conditon and liquidity or for any other reason. For further details, see "</w:t>
      </w:r>
      <w:r>
        <w:rPr>
          <w:rFonts w:ascii="Calibri" w:cs="Calibri" w:eastAsia="Calibri" w:hAnsi="Calibri"/>
          <w:sz w:val="18"/>
          <w:szCs w:val="18"/>
          <w:i w:val="1"/>
          <w:iCs w:val="1"/>
          <w:color w:val="auto"/>
        </w:rPr>
        <w:t>Business—Overview—Hostng Agreements</w:t>
      </w:r>
      <w:r>
        <w:rPr>
          <w:rFonts w:ascii="Calibri" w:cs="Calibri" w:eastAsia="Calibri" w:hAnsi="Calibri"/>
          <w:sz w:val="18"/>
          <w:szCs w:val="18"/>
          <w:color w:val="auto"/>
        </w:rPr>
        <w:t>" for further details. Any signifcant nonperformance by our customer, could have a material adverse efect on our business, prospects, fnancial conditon, and operatng results.</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success depends on external factors in the cryptomining industry.</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a single hostng customer in the cryptomining industry, and we remain substantally dependent on</w:t>
      </w:r>
    </w:p>
    <w:p>
      <w:pPr>
        <w:spacing w:after="0" w:line="221" w:lineRule="auto"/>
        <w:rPr>
          <w:sz w:val="20"/>
          <w:szCs w:val="20"/>
          <w:color w:val="auto"/>
        </w:rPr>
      </w:pPr>
      <w:r>
        <w:rPr>
          <w:rFonts w:ascii="Calibri" w:cs="Calibri" w:eastAsia="Calibri" w:hAnsi="Calibri"/>
          <w:sz w:val="18"/>
          <w:szCs w:val="18"/>
          <w:color w:val="auto"/>
        </w:rPr>
        <w:t>this customer. The cryptomining industry is subject to various risks which could adversely afect our customer’s ability to contnue to operate their businesses, including, but not limited to:</w:t>
      </w:r>
    </w:p>
    <w:p>
      <w:pPr>
        <w:spacing w:after="0" w:line="69" w:lineRule="exact"/>
        <w:rPr>
          <w:sz w:val="20"/>
          <w:szCs w:val="20"/>
          <w:color w:val="auto"/>
        </w:rPr>
      </w:pPr>
    </w:p>
    <w:p>
      <w:pPr>
        <w:ind w:left="980" w:right="180" w:hanging="324"/>
        <w:spacing w:after="0" w:line="227" w:lineRule="auto"/>
        <w:tabs>
          <w:tab w:leader="none" w:pos="975"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ongoing and future government or regulatory actons that could efectvely prevent mining operatons, with litle to no access to policymakers and lobbying organizatons in many jurisdictons;</w:t>
      </w:r>
    </w:p>
    <w:p>
      <w:pPr>
        <w:spacing w:after="0" w:line="56" w:lineRule="exact"/>
        <w:rPr>
          <w:rFonts w:ascii="Times New Roman" w:cs="Times New Roman" w:eastAsia="Times New Roman" w:hAnsi="Times New Roman"/>
          <w:sz w:val="18"/>
          <w:szCs w:val="18"/>
          <w:color w:val="auto"/>
        </w:rPr>
      </w:pPr>
    </w:p>
    <w:p>
      <w:pPr>
        <w:ind w:left="980" w:right="240" w:hanging="324"/>
        <w:spacing w:after="0" w:line="235" w:lineRule="auto"/>
        <w:tabs>
          <w:tab w:leader="none" w:pos="975"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degree of uncertainty about cryptoassets’ status as a "security," a "commodity," or a "fnancial instrument" in certain jurisdictons that may subject cryptomining industry to regulatory scrutny, investgatons, fnes, and other penaltes;</w:t>
      </w:r>
    </w:p>
    <w:p>
      <w:pPr>
        <w:spacing w:after="0" w:line="55" w:lineRule="exact"/>
        <w:rPr>
          <w:rFonts w:ascii="Times New Roman" w:cs="Times New Roman" w:eastAsia="Times New Roman" w:hAnsi="Times New Roman"/>
          <w:sz w:val="18"/>
          <w:szCs w:val="18"/>
          <w:color w:val="auto"/>
        </w:rPr>
      </w:pPr>
    </w:p>
    <w:p>
      <w:pPr>
        <w:ind w:left="980" w:right="20" w:hanging="324"/>
        <w:spacing w:after="0" w:line="227" w:lineRule="auto"/>
        <w:tabs>
          <w:tab w:leader="none" w:pos="975"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banks or fnancial insttutons may close the accounts of businesses engaging in cryptoasset-related actvites as a result of compliance risk, cost, government regulaton, or public pressure;</w:t>
      </w:r>
    </w:p>
    <w:p>
      <w:pPr>
        <w:spacing w:after="0" w:line="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use of cryptoassets in the retail and commercial marketplace is limited;</w:t>
      </w:r>
    </w:p>
    <w:p>
      <w:pPr>
        <w:spacing w:after="0" w:line="68" w:lineRule="exact"/>
        <w:rPr>
          <w:rFonts w:ascii="Times New Roman" w:cs="Times New Roman" w:eastAsia="Times New Roman" w:hAnsi="Times New Roman"/>
          <w:sz w:val="18"/>
          <w:szCs w:val="18"/>
          <w:color w:val="auto"/>
        </w:rPr>
      </w:pPr>
    </w:p>
    <w:p>
      <w:pPr>
        <w:ind w:left="980" w:right="760" w:hanging="324"/>
        <w:spacing w:after="0" w:line="227" w:lineRule="auto"/>
        <w:tabs>
          <w:tab w:leader="none" w:pos="975"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extreme volatlity in the market price of cryptoassets that may harm our customer's fnancial resources, ability to meet its contractual obligatons to us, or cause it to reduce or cease mining operatons;</w:t>
      </w:r>
    </w:p>
    <w:p>
      <w:pPr>
        <w:spacing w:after="0" w:line="56" w:lineRule="exact"/>
        <w:rPr>
          <w:rFonts w:ascii="Times New Roman" w:cs="Times New Roman" w:eastAsia="Times New Roman" w:hAnsi="Times New Roman"/>
          <w:sz w:val="18"/>
          <w:szCs w:val="18"/>
          <w:color w:val="auto"/>
        </w:rPr>
      </w:pPr>
    </w:p>
    <w:p>
      <w:pPr>
        <w:ind w:left="980" w:right="500" w:hanging="324"/>
        <w:spacing w:after="0" w:line="235" w:lineRule="auto"/>
        <w:tabs>
          <w:tab w:leader="none" w:pos="975"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use of a ledger-based platorm may not necessarily beneft from viable trading markets or the rigors of listng requirements for securites, creatng higher potental risk for fraud or the manipulaton of the ledger due to a control event;</w:t>
      </w:r>
    </w:p>
    <w:p>
      <w:pPr>
        <w:spacing w:after="0" w:line="55" w:lineRule="exact"/>
        <w:rPr>
          <w:rFonts w:ascii="Times New Roman" w:cs="Times New Roman" w:eastAsia="Times New Roman" w:hAnsi="Times New Roman"/>
          <w:sz w:val="18"/>
          <w:szCs w:val="18"/>
          <w:color w:val="auto"/>
        </w:rPr>
      </w:pPr>
    </w:p>
    <w:p>
      <w:pPr>
        <w:ind w:left="980" w:right="80" w:hanging="324"/>
        <w:spacing w:after="0" w:line="227" w:lineRule="auto"/>
        <w:tabs>
          <w:tab w:leader="none" w:pos="975"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concentrated ownership, large sales of cryptoassets, or distributons or redemptons by vehicles invested in cryptoassets could have an adverse efect on the demand for, and market price of, such cryptoasset;</w:t>
      </w:r>
    </w:p>
    <w:p>
      <w:pPr>
        <w:spacing w:after="0" w:line="70" w:lineRule="exact"/>
        <w:rPr>
          <w:rFonts w:ascii="Times New Roman" w:cs="Times New Roman" w:eastAsia="Times New Roman" w:hAnsi="Times New Roman"/>
          <w:sz w:val="18"/>
          <w:szCs w:val="18"/>
          <w:color w:val="auto"/>
        </w:rPr>
      </w:pPr>
    </w:p>
    <w:p>
      <w:pPr>
        <w:ind w:left="980" w:right="520" w:hanging="324"/>
        <w:spacing w:after="0" w:line="227" w:lineRule="auto"/>
        <w:tabs>
          <w:tab w:leader="none" w:pos="975"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cryptomining industry could face difculty adaptng to emergent digital ledgers, blockchains, or alternatves thereto, rapidly changing technology or methods of, rules of, or access to, platorms;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3" w:name="page24"/>
    <w:bookmarkEnd w:id="23"/>
    <w:p>
      <w:pPr>
        <w:ind w:left="980" w:right="40" w:hanging="324"/>
        <w:spacing w:after="0" w:line="246" w:lineRule="auto"/>
        <w:tabs>
          <w:tab w:leader="none" w:pos="975" w:val="left"/>
        </w:tabs>
        <w:numPr>
          <w:ilvl w:val="0"/>
          <w:numId w:val="14"/>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number of cryptoassets awarded for solving a block in a blockchain decreasing due to the existng protocol or a fork thereof which may adversely afect the incentve to expend processing power to solve blocks and/or contnue mining, and miners may not have access to resources to invest in increasing processing power when necessary in order to maintain the contnuing revenue producton of their mining operatons;</w:t>
      </w:r>
    </w:p>
    <w:p>
      <w:pPr>
        <w:spacing w:after="0" w:line="50" w:lineRule="exact"/>
        <w:rPr>
          <w:rFonts w:ascii="Times New Roman" w:cs="Times New Roman" w:eastAsia="Times New Roman" w:hAnsi="Times New Roman"/>
          <w:sz w:val="17"/>
          <w:szCs w:val="17"/>
          <w:color w:val="auto"/>
        </w:rPr>
      </w:pPr>
    </w:p>
    <w:p>
      <w:pPr>
        <w:ind w:left="980" w:right="100" w:hanging="324"/>
        <w:spacing w:after="0" w:line="230" w:lineRule="auto"/>
        <w:tabs>
          <w:tab w:leader="none" w:pos="975"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intellectual property claims or claims relatng to the holding and transfer of cryptoassets and source code, which, regardless of the merit of any such acton, could reduce confdence in some or all cryptoasset networks’ long-term viability or the ability of end-users to hold and transfer cryptoassets;</w:t>
      </w:r>
    </w:p>
    <w:p>
      <w:pPr>
        <w:spacing w:after="0" w:line="56" w:lineRule="exact"/>
        <w:rPr>
          <w:rFonts w:ascii="Times New Roman" w:cs="Times New Roman" w:eastAsia="Times New Roman" w:hAnsi="Times New Roman"/>
          <w:sz w:val="18"/>
          <w:szCs w:val="18"/>
          <w:color w:val="auto"/>
        </w:rPr>
      </w:pPr>
    </w:p>
    <w:p>
      <w:pPr>
        <w:ind w:left="980" w:right="20" w:hanging="324"/>
        <w:spacing w:after="0" w:line="227" w:lineRule="auto"/>
        <w:tabs>
          <w:tab w:leader="none" w:pos="975"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contributors to the open-source structure of the cryptoasset network protocols are generally not directly compensated for their contributons in maintaining and developing the protocol and may lack incentve to properly monitor and upgrade the protocols;</w:t>
      </w:r>
    </w:p>
    <w:p>
      <w:pPr>
        <w:spacing w:after="0" w:line="6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disruptons of the Internet on which mining cryptoassets is dependent;</w:t>
      </w:r>
    </w:p>
    <w:p>
      <w:pPr>
        <w:spacing w:after="0" w:line="55" w:lineRule="exact"/>
        <w:rPr>
          <w:rFonts w:ascii="Times New Roman" w:cs="Times New Roman" w:eastAsia="Times New Roman" w:hAnsi="Times New Roman"/>
          <w:sz w:val="18"/>
          <w:szCs w:val="18"/>
          <w:color w:val="auto"/>
        </w:rPr>
      </w:pPr>
    </w:p>
    <w:p>
      <w:pPr>
        <w:jc w:val="both"/>
        <w:ind w:left="980" w:hanging="324"/>
        <w:spacing w:after="0" w:line="230" w:lineRule="auto"/>
        <w:tabs>
          <w:tab w:leader="none" w:pos="975"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decentralized nature of the governance of cryptoasset systems, generally by voluntary consensus and open competton with no clear leadership structure or authority, may lead to inefectve decision making that slows development or prevents a network from overcoming emergent obstacles; and</w:t>
      </w:r>
    </w:p>
    <w:p>
      <w:pPr>
        <w:spacing w:after="0" w:line="56" w:lineRule="exact"/>
        <w:rPr>
          <w:rFonts w:ascii="Times New Roman" w:cs="Times New Roman" w:eastAsia="Times New Roman" w:hAnsi="Times New Roman"/>
          <w:sz w:val="18"/>
          <w:szCs w:val="18"/>
          <w:color w:val="auto"/>
        </w:rPr>
      </w:pPr>
    </w:p>
    <w:p>
      <w:pPr>
        <w:ind w:left="980" w:hanging="324"/>
        <w:spacing w:after="0" w:line="227" w:lineRule="auto"/>
        <w:tabs>
          <w:tab w:leader="none" w:pos="975"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security breaches, hacking, or other malicious actvites or loss of private keys relatng to, or hack or other compromise of, digital wallets used to store cryptoassets could adversely afect the ability to access or sell cryptoassets or efectvely utlize impacted platorms.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auto"/>
        </w:rPr>
        <w:t>Such impacts to the cryptomining industry may also negatvely afect our business, fnancial conditon, operatng results, liquidity, and prospects.</w:t>
      </w:r>
    </w:p>
    <w:p>
      <w:pPr>
        <w:spacing w:after="0" w:line="204"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The bitcoin reward for successfully uncovering a block most recently halved in April 2024 and will halve again several tmes in the future, and bitcoin value may not adjust to compensate us for the reducton in the rewards we receive from our bitcoin mining eforts.</w:t>
      </w:r>
    </w:p>
    <w:p>
      <w:pPr>
        <w:spacing w:after="0" w:line="110" w:lineRule="exact"/>
        <w:rPr>
          <w:sz w:val="20"/>
          <w:szCs w:val="20"/>
          <w:color w:val="auto"/>
        </w:rPr>
      </w:pPr>
    </w:p>
    <w:p>
      <w:pPr>
        <w:ind w:right="40"/>
        <w:spacing w:after="0" w:line="228" w:lineRule="auto"/>
        <w:rPr>
          <w:sz w:val="20"/>
          <w:szCs w:val="20"/>
          <w:color w:val="auto"/>
        </w:rPr>
      </w:pPr>
      <w:r>
        <w:rPr>
          <w:rFonts w:ascii="Calibri" w:cs="Calibri" w:eastAsia="Calibri" w:hAnsi="Calibri"/>
          <w:sz w:val="18"/>
          <w:szCs w:val="18"/>
          <w:color w:val="auto"/>
        </w:rPr>
        <w:t>Halving is a mechanism designed to regulate the total supply, and mitgate infaton, of cryptocurrencies using a proof of work consensus algorithm. At a predetermined block, the bitcoin mining reward is cut in half, hence the term "halving." For bitcoin, the reward was initally set at 50 bitcoin currency rewards per block, which was cut in half to 25 on November 28, 2012 at block 210,000, then to 12.5 on July 9, 2016 at block 420,000, and then again to 6.25 on May 11, 2020 at block 630,000. The most recent halving for bitcoin occurred on April 19, 2024 at block 840,000 and the reward was reduced to 3.125. The next halving is expected to occur in Spring 2028. This process will recur untl the total amount of bitcoin currency rewards issued reaches 21 million, which is expected to occur around the year 2140.</w:t>
      </w:r>
    </w:p>
    <w:p>
      <w:pPr>
        <w:spacing w:after="0" w:line="233" w:lineRule="exact"/>
        <w:rPr>
          <w:sz w:val="20"/>
          <w:szCs w:val="20"/>
          <w:color w:val="auto"/>
        </w:rPr>
      </w:pPr>
    </w:p>
    <w:p>
      <w:pPr>
        <w:ind w:right="220"/>
        <w:spacing w:after="0" w:line="228" w:lineRule="auto"/>
        <w:rPr>
          <w:sz w:val="20"/>
          <w:szCs w:val="20"/>
          <w:color w:val="auto"/>
        </w:rPr>
      </w:pPr>
      <w:r>
        <w:rPr>
          <w:rFonts w:ascii="Calibri" w:cs="Calibri" w:eastAsia="Calibri" w:hAnsi="Calibri"/>
          <w:sz w:val="18"/>
          <w:szCs w:val="18"/>
          <w:color w:val="auto"/>
        </w:rPr>
        <w:t>Bitcoin has had a history of price fuctuatons around the halving of its rewards, and we can provide no assurance that any price change will be favorable or would compensate for the reducton in bitcoin mining reward in connecton with a halving. If the award of bitcoin or a proportonate decrease in bitcoin mining difculty does not follow these antcipated halving events, the revenue we earn from our cryptocurrency datacenter operatons would see a corresponding decrease, and we may not have an adequate incentve to contnue bitcoin mining.</w:t>
      </w:r>
    </w:p>
    <w:p>
      <w:pPr>
        <w:spacing w:after="0" w:line="313" w:lineRule="exact"/>
        <w:rPr>
          <w:sz w:val="20"/>
          <w:szCs w:val="20"/>
          <w:color w:val="auto"/>
        </w:rPr>
      </w:pPr>
    </w:p>
    <w:p>
      <w:pPr>
        <w:ind w:right="480"/>
        <w:spacing w:after="0" w:line="235" w:lineRule="auto"/>
        <w:rPr>
          <w:sz w:val="20"/>
          <w:szCs w:val="20"/>
          <w:color w:val="auto"/>
        </w:rPr>
      </w:pPr>
      <w:r>
        <w:rPr>
          <w:rFonts w:ascii="Calibri" w:cs="Calibri" w:eastAsia="Calibri" w:hAnsi="Calibri"/>
          <w:sz w:val="18"/>
          <w:szCs w:val="18"/>
          <w:b w:val="1"/>
          <w:bCs w:val="1"/>
          <w:i w:val="1"/>
          <w:iCs w:val="1"/>
          <w:color w:val="auto"/>
        </w:rPr>
        <w:t>Any disrupton in developing our datacenter sites may delay the deployment of our miners, which may adversely afect our results of operatons and fnancial performance.</w:t>
      </w:r>
    </w:p>
    <w:p>
      <w:pPr>
        <w:spacing w:after="0" w:line="150" w:lineRule="exact"/>
        <w:rPr>
          <w:sz w:val="20"/>
          <w:szCs w:val="20"/>
          <w:color w:val="auto"/>
        </w:rPr>
      </w:pPr>
    </w:p>
    <w:p>
      <w:pPr>
        <w:ind w:right="40"/>
        <w:spacing w:after="0" w:line="225" w:lineRule="auto"/>
        <w:rPr>
          <w:sz w:val="20"/>
          <w:szCs w:val="20"/>
          <w:color w:val="auto"/>
        </w:rPr>
      </w:pPr>
      <w:r>
        <w:rPr>
          <w:rFonts w:ascii="Calibri" w:cs="Calibri" w:eastAsia="Calibri" w:hAnsi="Calibri"/>
          <w:sz w:val="18"/>
          <w:szCs w:val="18"/>
          <w:color w:val="auto"/>
        </w:rPr>
        <w:t>We are in the process of developing other sites and expanding our existng locatons to deploy our mining equipment, and any disrupton in developing such sites may delay our eforts. We may face challenges in obtaining suitable land to build new cryptocurrency datacenter facilites, as we require close cooperaton with local power suppliers and local governments of the places where our proposed facilites are located. Delays in actons that require the assistance of such third partes, in receiving required permits and approvals or in mediatons with local communites, if any, may negatvely impact our constructon tmelines and budget or result in any new datacenters not being completed at all. Any delay in developing other sites could delay our ability to deploy mining equipment that we own and is currently idle, and materially and adversely afect our results of operatons, strategy, and fnancial performance. Our business will be negatvely impacted if we are unable to run our datacenter operatons in a way that is technologically advanced, economically and energy efcient and temperature controlled. If we are unsuccessful, we may damage our miners and the proftability of our datacenter operatons. If we experience signifcant delays in the supply of power required to support any datacenter expansion or new constructon, the progress of such projects could deviate from our original plans, which could cause material and negatve efects on our revenue growth, proftability, and results of operatons. Any material delay in completng these projects, or any substantal cost increases or quality issues in connecton with these projects, could materially and adversely afect our business, fnancial conditon, and results of operatons.</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4" w:name="page25"/>
    <w:bookmarkEnd w:id="24"/>
    <w:p>
      <w:pPr>
        <w:ind w:right="160"/>
        <w:spacing w:after="0" w:line="227" w:lineRule="auto"/>
        <w:rPr>
          <w:sz w:val="20"/>
          <w:szCs w:val="20"/>
          <w:color w:val="auto"/>
        </w:rPr>
      </w:pPr>
      <w:r>
        <w:rPr>
          <w:rFonts w:ascii="Calibri" w:cs="Calibri" w:eastAsia="Calibri" w:hAnsi="Calibri"/>
          <w:sz w:val="18"/>
          <w:szCs w:val="18"/>
          <w:b w:val="1"/>
          <w:bCs w:val="1"/>
          <w:i w:val="1"/>
          <w:iCs w:val="1"/>
          <w:color w:val="auto"/>
        </w:rPr>
        <w:t>It may take signifcant tme, expenditure, or efort for us to grow our business, including our cryptocurrency datacenter operatons, through acquisitons, and our eforts may not be successful.</w:t>
      </w:r>
    </w:p>
    <w:p>
      <w:pPr>
        <w:spacing w:after="0" w:line="165" w:lineRule="exact"/>
        <w:rPr>
          <w:sz w:val="20"/>
          <w:szCs w:val="20"/>
          <w:color w:val="auto"/>
        </w:rPr>
      </w:pPr>
    </w:p>
    <w:p>
      <w:pPr>
        <w:ind w:right="160"/>
        <w:spacing w:after="0" w:line="226" w:lineRule="auto"/>
        <w:rPr>
          <w:sz w:val="20"/>
          <w:szCs w:val="20"/>
          <w:color w:val="auto"/>
        </w:rPr>
      </w:pPr>
      <w:r>
        <w:rPr>
          <w:rFonts w:ascii="Calibri" w:cs="Calibri" w:eastAsia="Calibri" w:hAnsi="Calibri"/>
          <w:sz w:val="18"/>
          <w:szCs w:val="18"/>
          <w:color w:val="auto"/>
        </w:rPr>
        <w:t>The number of bitcoin and other cryptocurrency datacenter companies has greatly increased in recent years. As we and other bitcoin/cryptocurrency datacenter companies seek to grow their mining or hostng capacity or access additonal sources of electricity to power growing datacenter operatons, the acquisiton of existng cryptocurrency datacenter companies and standalone electricity producton facilites may become an atractve avenue of growth. Currently, we source most of our electricity for our cryptocurrency datacenter operatons from our captve power generaton facility located in Torrey, New York. If we determine to expand our operatons, we may want to do so through the acquisiton of additonal bitcoin or other cryptocurrency datacenter businesses or electricity generatng power plants. Further atractve acquisiton targets may not be available to us for a number of reasons, such as growing competton for atractve targets, economic or industry sector downturns, geopolitcal tensions, regulatory changes, environmental challenges, increases in the cost of additonal capital needed to close business combinaton or operate targets post-business combinaton. Our inability to identfy and consummate acquisitons of atractve targets could have a material and adverse impact on our long-term growth prospects, which could materially and adversely afect our results of operatons, strategy, and fnancial performance.</w:t>
      </w:r>
    </w:p>
    <w:p>
      <w:pPr>
        <w:spacing w:after="0" w:line="320" w:lineRule="exact"/>
        <w:rPr>
          <w:sz w:val="20"/>
          <w:szCs w:val="20"/>
          <w:color w:val="auto"/>
        </w:rPr>
      </w:pPr>
    </w:p>
    <w:p>
      <w:pPr>
        <w:ind w:right="620"/>
        <w:spacing w:after="0" w:line="227" w:lineRule="auto"/>
        <w:rPr>
          <w:sz w:val="20"/>
          <w:szCs w:val="20"/>
          <w:color w:val="auto"/>
        </w:rPr>
      </w:pPr>
      <w:r>
        <w:rPr>
          <w:rFonts w:ascii="Calibri" w:cs="Calibri" w:eastAsia="Calibri" w:hAnsi="Calibri"/>
          <w:sz w:val="18"/>
          <w:szCs w:val="18"/>
          <w:b w:val="1"/>
          <w:bCs w:val="1"/>
          <w:i w:val="1"/>
          <w:iCs w:val="1"/>
          <w:color w:val="auto"/>
        </w:rPr>
        <w:t>Failure to successfully integrate businesses or assets we have acquired or may acquire in the future could negatvely impact our business, fnancial conditon, and results of operatons.</w:t>
      </w:r>
    </w:p>
    <w:p>
      <w:pPr>
        <w:spacing w:after="0" w:line="16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Acquisitons are an important element of our growth strategy and the success of any acquisiton we make depends in part on our ability to integrate the acquired business or assets and realize antcipated synergies and benefts. Integratng acquired businesses and assets may involve unforeseen difcultes, may require a disproportonate amount of our management’s atenton, and may require us to reallocate our resources, fnancial or otherwise.</w:t>
      </w:r>
    </w:p>
    <w:p>
      <w:pPr>
        <w:spacing w:after="0" w:line="246" w:lineRule="exact"/>
        <w:rPr>
          <w:sz w:val="20"/>
          <w:szCs w:val="20"/>
          <w:color w:val="auto"/>
        </w:rPr>
      </w:pPr>
    </w:p>
    <w:p>
      <w:pPr>
        <w:ind w:right="60"/>
        <w:spacing w:after="0" w:line="228" w:lineRule="auto"/>
        <w:rPr>
          <w:sz w:val="20"/>
          <w:szCs w:val="20"/>
          <w:color w:val="auto"/>
        </w:rPr>
      </w:pPr>
      <w:r>
        <w:rPr>
          <w:rFonts w:ascii="Calibri" w:cs="Calibri" w:eastAsia="Calibri" w:hAnsi="Calibri"/>
          <w:sz w:val="18"/>
          <w:szCs w:val="18"/>
          <w:color w:val="auto"/>
        </w:rPr>
        <w:t>For example, we may encounter challenges in the integraton process such as: difcultes associated with managing the resultng larger and more complex company; conforming administratve and corporate structures and standards, controls, procedures and policies, business cultures, hiring and retenton of key employees, and compensaton and benefts structures, coordinatng geographically dispersed operatons; and our ability to deliver on our strategy going forward.</w:t>
      </w:r>
    </w:p>
    <w:p>
      <w:pPr>
        <w:spacing w:after="0" w:line="232" w:lineRule="exact"/>
        <w:rPr>
          <w:sz w:val="20"/>
          <w:szCs w:val="20"/>
          <w:color w:val="auto"/>
        </w:rPr>
      </w:pPr>
    </w:p>
    <w:p>
      <w:pPr>
        <w:ind w:right="300"/>
        <w:spacing w:after="0" w:line="226" w:lineRule="auto"/>
        <w:rPr>
          <w:sz w:val="20"/>
          <w:szCs w:val="20"/>
          <w:color w:val="auto"/>
        </w:rPr>
      </w:pPr>
      <w:r>
        <w:rPr>
          <w:rFonts w:ascii="Calibri" w:cs="Calibri" w:eastAsia="Calibri" w:hAnsi="Calibri"/>
          <w:sz w:val="18"/>
          <w:szCs w:val="18"/>
          <w:color w:val="auto"/>
        </w:rPr>
        <w:t>Further, our existng and any potental future acquisitons may subject us to increased costs and compliance burdens and new liabilites and risks, some of which may be unknown. Although we and our advisors conduct due diligence on the operatons of businesses and assets we acquire, we can provide no assurance that we are aware of all liabilites associated with acquired businesses or assets. These liabilites, and any additonal risks and uncertaintes not known to us or that we may deem immaterial or unlikely to occur at the tme of the acquisiton, could negatvely impact our future business, fnancial conditon, and results of operatons.</w:t>
      </w:r>
    </w:p>
    <w:p>
      <w:pPr>
        <w:spacing w:after="0" w:line="248" w:lineRule="exact"/>
        <w:rPr>
          <w:sz w:val="20"/>
          <w:szCs w:val="20"/>
          <w:color w:val="auto"/>
        </w:rPr>
      </w:pPr>
    </w:p>
    <w:p>
      <w:pPr>
        <w:jc w:val="both"/>
        <w:ind w:right="20"/>
        <w:spacing w:after="0" w:line="225" w:lineRule="auto"/>
        <w:rPr>
          <w:sz w:val="20"/>
          <w:szCs w:val="20"/>
          <w:color w:val="auto"/>
        </w:rPr>
      </w:pPr>
      <w:r>
        <w:rPr>
          <w:rFonts w:ascii="Calibri" w:cs="Calibri" w:eastAsia="Calibri" w:hAnsi="Calibri"/>
          <w:sz w:val="18"/>
          <w:szCs w:val="18"/>
          <w:color w:val="auto"/>
        </w:rPr>
        <w:t>We can provide no assurance that we will ultmately be able to efectvely integrate and manage the operatons of any business or assets we have acquired or may acquire in the future or realize the antcipated synergies or benefts. The failure to successfully integrate such businesses or assets could have a material adverse efect on our fnancial conditon and results of operatons.</w:t>
      </w:r>
    </w:p>
    <w:p>
      <w:pPr>
        <w:spacing w:after="0" w:line="165" w:lineRule="exact"/>
        <w:rPr>
          <w:sz w:val="20"/>
          <w:szCs w:val="20"/>
          <w:color w:val="auto"/>
        </w:rPr>
      </w:pPr>
    </w:p>
    <w:p>
      <w:pPr>
        <w:jc w:val="both"/>
        <w:ind w:right="160"/>
        <w:spacing w:after="0" w:line="225" w:lineRule="auto"/>
        <w:rPr>
          <w:sz w:val="20"/>
          <w:szCs w:val="20"/>
          <w:color w:val="auto"/>
        </w:rPr>
      </w:pPr>
      <w:r>
        <w:rPr>
          <w:rFonts w:ascii="Calibri" w:cs="Calibri" w:eastAsia="Calibri" w:hAnsi="Calibri"/>
          <w:sz w:val="18"/>
          <w:szCs w:val="18"/>
          <w:b w:val="1"/>
          <w:bCs w:val="1"/>
          <w:i w:val="1"/>
          <w:iCs w:val="1"/>
          <w:color w:val="auto"/>
        </w:rPr>
        <w:t>We have experienced turnover in our senior management team, and reduced our employee headcount signifcantly in 2023 and 2024. If we fail to retain key talent or are unable to atract and retain other qualifed personnel, our results of operatons, strategy, and fnancial performance could be adversely afected.</w:t>
      </w:r>
    </w:p>
    <w:p>
      <w:pPr>
        <w:spacing w:after="0" w:line="111" w:lineRule="exact"/>
        <w:rPr>
          <w:sz w:val="20"/>
          <w:szCs w:val="20"/>
          <w:color w:val="auto"/>
        </w:rPr>
      </w:pPr>
    </w:p>
    <w:p>
      <w:pPr>
        <w:ind w:right="80"/>
        <w:spacing w:after="0" w:line="225" w:lineRule="auto"/>
        <w:rPr>
          <w:sz w:val="20"/>
          <w:szCs w:val="20"/>
          <w:color w:val="auto"/>
        </w:rPr>
      </w:pPr>
      <w:r>
        <w:rPr>
          <w:rFonts w:ascii="Calibri" w:cs="Calibri" w:eastAsia="Calibri" w:hAnsi="Calibri"/>
          <w:sz w:val="18"/>
          <w:szCs w:val="18"/>
          <w:color w:val="auto"/>
        </w:rPr>
        <w:t>Our operatons, strategy and business depend to a signifcant degree on the skills and services of our senior management team. In 2023 and 2024, we experienced signifcant turnover in our senior management team, including the terminaton of our General Counsel in May 2023, the appointment of a new Chief Financial Ofcer as part of a management restructuring in October 2023, the appointment of another new Chief Executve Ofcer in November 2023, the terminaton of our Chief Strategy Ofcer in April 2024 and the terminaton of our Chief Technology Ofcer in December 2024. Our business may be adversely afected by turnover in our senior management team, which may create instability within the Company and impede our day-to-day operatons and internal controls. In additon, we reduced our employee headcount signifcantly in 2023.</w:t>
      </w:r>
    </w:p>
    <w:p>
      <w:pPr>
        <w:spacing w:after="0" w:line="209"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color w:val="auto"/>
        </w:rPr>
        <w:t>At present, our management team is small, with our Chief Executve Ofcer, President and Chief Financial Ofcer playing key roles. We will need to contnue to grow our management in order to alleviate pressure on our existng management team and in order to contnue to develop our business and execute on any future identfcaton and expansion into other potental opportunites. If our management, including any new hires that we may make, fails to work together efectvely or to execute our plans and strategies on a tmely basis, our business could be harmed.</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25" w:name="page26"/>
    <w:bookmarkEnd w:id="25"/>
    <w:p>
      <w:pPr>
        <w:ind w:right="120"/>
        <w:spacing w:after="0"/>
        <w:rPr>
          <w:sz w:val="20"/>
          <w:szCs w:val="20"/>
          <w:color w:val="auto"/>
        </w:rPr>
      </w:pPr>
      <w:r>
        <w:rPr>
          <w:rFonts w:ascii="Calibri" w:cs="Calibri" w:eastAsia="Calibri" w:hAnsi="Calibri"/>
          <w:sz w:val="17"/>
          <w:szCs w:val="17"/>
          <w:color w:val="auto"/>
        </w:rPr>
        <w:t>If we fail to execute an efectve contngency or succession plan with the loss of any member of management, the loss of such management personnel may signifcantly disrupt our business. Our future success also depends in large part on our ability to atract, retain, and motvate key management and operatng personnel. As we contnue to develop and expand our operatons, we may require personnel with diferent skills and experiences, and who have a sound understanding of our business and the bitcoin industry. The market for highly qualifed personnel in the industries in which we operate is very compettve, and we may be unable to atract and retain such personnel. If we are unable to atract and retain such personnel, our business could be harmed.</w:t>
      </w:r>
    </w:p>
    <w:p>
      <w:pPr>
        <w:spacing w:after="0" w:line="218" w:lineRule="exact"/>
        <w:rPr>
          <w:sz w:val="20"/>
          <w:szCs w:val="20"/>
          <w:color w:val="auto"/>
        </w:rPr>
      </w:pPr>
    </w:p>
    <w:p>
      <w:pPr>
        <w:ind w:right="380"/>
        <w:spacing w:after="0" w:line="227" w:lineRule="auto"/>
        <w:rPr>
          <w:sz w:val="20"/>
          <w:szCs w:val="20"/>
          <w:color w:val="auto"/>
        </w:rPr>
      </w:pPr>
      <w:r>
        <w:rPr>
          <w:rFonts w:ascii="Calibri" w:cs="Calibri" w:eastAsia="Calibri" w:hAnsi="Calibri"/>
          <w:sz w:val="18"/>
          <w:szCs w:val="18"/>
          <w:b w:val="1"/>
          <w:bCs w:val="1"/>
          <w:i w:val="1"/>
          <w:iCs w:val="1"/>
          <w:color w:val="auto"/>
        </w:rPr>
        <w:t>We may face risks related to labor union eforts and employee relatons that could lead to increased labor costs, disruptons to our operatons or legal challenges.</w:t>
      </w:r>
    </w:p>
    <w:p>
      <w:pPr>
        <w:spacing w:after="0" w:line="313" w:lineRule="exact"/>
        <w:rPr>
          <w:sz w:val="20"/>
          <w:szCs w:val="20"/>
          <w:color w:val="auto"/>
        </w:rPr>
      </w:pPr>
    </w:p>
    <w:p>
      <w:pPr>
        <w:ind w:right="60"/>
        <w:spacing w:after="0" w:line="227" w:lineRule="auto"/>
        <w:rPr>
          <w:sz w:val="20"/>
          <w:szCs w:val="20"/>
          <w:color w:val="auto"/>
        </w:rPr>
      </w:pPr>
      <w:r>
        <w:rPr>
          <w:rFonts w:ascii="Calibri" w:cs="Calibri" w:eastAsia="Calibri" w:hAnsi="Calibri"/>
          <w:sz w:val="18"/>
          <w:szCs w:val="18"/>
          <w:color w:val="auto"/>
        </w:rPr>
        <w:t>In January 2025, we received a notce of petton to hold an electon to form a union fled by IBEW Local 10 of the Natonal Labor Relatons Board ("NLRB") on behalf of our operators, maintenance technicians, crypto technicians and electrical engineer at the New York Facility. The vote to unionize such workers held in late February 2025 was approved. The formaton of the union means that we have to negotate a collectve bargaining agreement in good faith with the NLRB on behalf of such employees and to respond to certain informaton requests which may be made by the NLRB in furtherance thereof, a process that we antcipate will not be completed untl later this year. While we have not experienced signifcant disruptons due to such unionizaton eforts to date, such eforts could lead to increased labor costs, disruptons to our operatons, or legal challenges. Additonally, any labor disputes or strikes could negatvely impact our ability to meet operatonal targets or maintain productvity. The outcome of any union-related actvity could also afect our public image, relatonships with employees, our ability to atract and retain talent, and challenges in negotatng labor agreements that are acceptable to both partes and could potentally increase our operatng costs and reduce fexibility in managing workforce-related maters.</w:t>
      </w:r>
    </w:p>
    <w:p>
      <w:pPr>
        <w:spacing w:after="0" w:line="317" w:lineRule="exact"/>
        <w:rPr>
          <w:sz w:val="20"/>
          <w:szCs w:val="20"/>
          <w:color w:val="auto"/>
        </w:rPr>
      </w:pPr>
    </w:p>
    <w:p>
      <w:pPr>
        <w:ind w:right="580"/>
        <w:spacing w:after="0" w:line="235" w:lineRule="auto"/>
        <w:rPr>
          <w:sz w:val="20"/>
          <w:szCs w:val="20"/>
          <w:color w:val="auto"/>
        </w:rPr>
      </w:pPr>
      <w:r>
        <w:rPr>
          <w:rFonts w:ascii="Calibri" w:cs="Calibri" w:eastAsia="Calibri" w:hAnsi="Calibri"/>
          <w:sz w:val="18"/>
          <w:szCs w:val="18"/>
          <w:b w:val="1"/>
          <w:bCs w:val="1"/>
          <w:i w:val="1"/>
          <w:iCs w:val="1"/>
          <w:color w:val="auto"/>
        </w:rPr>
        <w:t>Cyber-atacks and security breaches of our own or our third-party providers may disrupt or adversely impact our results of operatons and fnancial conditon, and damage our reputaton or otherwise materially harm our business.</w:t>
      </w:r>
    </w:p>
    <w:p>
      <w:pPr>
        <w:spacing w:after="0" w:line="204" w:lineRule="exact"/>
        <w:rPr>
          <w:sz w:val="20"/>
          <w:szCs w:val="20"/>
          <w:color w:val="auto"/>
        </w:rPr>
      </w:pPr>
    </w:p>
    <w:p>
      <w:pPr>
        <w:ind w:right="80"/>
        <w:spacing w:after="0" w:line="228" w:lineRule="auto"/>
        <w:rPr>
          <w:sz w:val="20"/>
          <w:szCs w:val="20"/>
          <w:color w:val="auto"/>
        </w:rPr>
      </w:pPr>
      <w:r>
        <w:rPr>
          <w:rFonts w:ascii="Calibri" w:cs="Calibri" w:eastAsia="Calibri" w:hAnsi="Calibri"/>
          <w:sz w:val="18"/>
          <w:szCs w:val="18"/>
          <w:color w:val="auto"/>
        </w:rPr>
        <w:t>We rely on informaton technology systems across our operatons to manage our business including, but not limited to, our accountng, fnance, datacenter, and power operatons. Our informaton technology is provided primarily through third party cloud computng arrangements. Further, our business involves the use, processing, storage and transmission of informaton about customers, vendors, creditors and employees using such informaton technology systems. Our ability to efectvely operate our business depends on the security, reliability and capacity of these systems.</w:t>
      </w:r>
    </w:p>
    <w:p>
      <w:pPr>
        <w:spacing w:after="0" w:line="151" w:lineRule="exact"/>
        <w:rPr>
          <w:sz w:val="20"/>
          <w:szCs w:val="20"/>
          <w:color w:val="auto"/>
        </w:rPr>
      </w:pPr>
    </w:p>
    <w:p>
      <w:pPr>
        <w:spacing w:after="0" w:line="241" w:lineRule="auto"/>
        <w:rPr>
          <w:sz w:val="20"/>
          <w:szCs w:val="20"/>
          <w:color w:val="auto"/>
        </w:rPr>
      </w:pPr>
      <w:r>
        <w:rPr>
          <w:rFonts w:ascii="Calibri" w:cs="Calibri" w:eastAsia="Calibri" w:hAnsi="Calibri"/>
          <w:sz w:val="17"/>
          <w:szCs w:val="17"/>
          <w:color w:val="auto"/>
        </w:rPr>
        <w:t>Like most corporatons, we have experienced cyberatacks, including phishing or ransomware atacks, from tme to tme, and we expect to be the target of such cyberatacks in the future. Failure to efectvely prevent, detect and recover from security breaches, including atacks on informaton technology and infrastructure by hackers; viruses; breaches due to employee error or actons; or other disruptons could seriously harm our operatons, as well as the operatons of our customers and suppliers. Such serious harm can involve, among other things, misuse of our assets, business disruptons, loss of data, unauthorized access to trade secrets and confdental business informaton, unauthorized access to personal informaton, legal claims or proceedings, reportng errors, processing inefciencies, negatve media atenton, reputatonal harm, loss of business, remediaton and increased insurance costs, and interference with regulatory compliance. In the event of an atack, our costs and any impacted assets may not be partally or fully recoverable. Threats can come from a variety of sources, including criminal hackers, hacktvists, state-sponsored intrusions, industrial espionage, and insiders. In additon, certain types of atacks could harm us even if our systems are lef undisturbed. For example, certain threats are designed to remain dormant or undetectable, sometmes for extended periods of tme, or untl launched against a target, and we may not be able to implement adequate preventatve measures. To date, we have not experienced a material cyber-event. However, we have experienced, and expect to contnue to experience, these types of cybersecurity threats and risks.</w:t>
      </w:r>
    </w:p>
    <w:p>
      <w:pPr>
        <w:spacing w:after="0" w:line="151" w:lineRule="exact"/>
        <w:rPr>
          <w:sz w:val="20"/>
          <w:szCs w:val="20"/>
          <w:color w:val="auto"/>
        </w:rPr>
      </w:pPr>
    </w:p>
    <w:p>
      <w:pPr>
        <w:ind w:right="40"/>
        <w:spacing w:after="0" w:line="226" w:lineRule="auto"/>
        <w:rPr>
          <w:sz w:val="20"/>
          <w:szCs w:val="20"/>
          <w:color w:val="auto"/>
        </w:rPr>
      </w:pPr>
      <w:r>
        <w:rPr>
          <w:rFonts w:ascii="Calibri" w:cs="Calibri" w:eastAsia="Calibri" w:hAnsi="Calibri"/>
          <w:sz w:val="18"/>
          <w:szCs w:val="18"/>
          <w:color w:val="auto"/>
        </w:rPr>
        <w:t>Our training and security measures designed to protect against cyberatacks, phishing, security breaches, and misappropriaton or corrupton of our systems, intentonal or unintentonal disclosure of confdental informaton, or disrupton of our operatons, may be insufcient to protect our technology infrastructure. As these threats contnue to evolve, partcularly around cybersecurity, we may be required to expend signifcant resources to enhance our control environment, processes, practces, and other protectve measures. Despite these eforts, we may not be able to prevent cyberatacks and other security breaches and such events could materially and adversely afect our business, fnancial conditon, and results of operatons. In additon, some insurers are currently reluctant to provide cybersecurity insurance for cryptocurrency. Further, as the majority of our informaton technology involves third-party cloud-computng arrangements, a disrupton occurring at one of those third-partes for the above risks, or other causes outside of our control, could materially and adversely afect our business, fnancial conditon, and results of operatons.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6" w:name="page27"/>
    <w:bookmarkEnd w:id="26"/>
    <w:p>
      <w:pPr>
        <w:spacing w:after="0"/>
        <w:rPr>
          <w:sz w:val="20"/>
          <w:szCs w:val="20"/>
          <w:color w:val="auto"/>
        </w:rPr>
      </w:pPr>
      <w:r>
        <w:rPr>
          <w:rFonts w:ascii="Calibri" w:cs="Calibri" w:eastAsia="Calibri" w:hAnsi="Calibri"/>
          <w:sz w:val="17"/>
          <w:szCs w:val="17"/>
          <w:b w:val="1"/>
          <w:bCs w:val="1"/>
          <w:i w:val="1"/>
          <w:iCs w:val="1"/>
          <w:color w:val="auto"/>
        </w:rPr>
        <w:t>We have material environmental liabilites, and costs of compliance with existng and new environmental laws could have a material adverse efect on us.</w:t>
      </w:r>
    </w:p>
    <w:p>
      <w:pPr>
        <w:spacing w:after="0" w:line="157" w:lineRule="exact"/>
        <w:rPr>
          <w:sz w:val="20"/>
          <w:szCs w:val="20"/>
          <w:color w:val="auto"/>
        </w:rPr>
      </w:pPr>
    </w:p>
    <w:p>
      <w:pPr>
        <w:ind w:right="60"/>
        <w:spacing w:after="0" w:line="245" w:lineRule="auto"/>
        <w:rPr>
          <w:sz w:val="20"/>
          <w:szCs w:val="20"/>
          <w:color w:val="auto"/>
        </w:rPr>
      </w:pPr>
      <w:r>
        <w:rPr>
          <w:rFonts w:ascii="Calibri" w:cs="Calibri" w:eastAsia="Calibri" w:hAnsi="Calibri"/>
          <w:sz w:val="18"/>
          <w:szCs w:val="18"/>
          <w:color w:val="auto"/>
        </w:rPr>
        <w:t>We and our afliates are subject to extensive environmental regulaton by governmental authorites, including the United States Environmental Protecton Agency (the "EPA"), and state environmental agencies such as the NYSDEC and/or atorneys general, and have material environmental liabilites, including a coal combuston ("CCR") residual liability of $17.3 million as of December 31, 2024 associated with the closure of a coal ash point located on the New York Facility property and an environmental liability of $13.4 million as of December 31, 2024 associated with the Lockwood Hills Landfll. See "</w:t>
      </w:r>
      <w:r>
        <w:rPr>
          <w:rFonts w:ascii="Calibri" w:cs="Calibri" w:eastAsia="Calibri" w:hAnsi="Calibri"/>
          <w:sz w:val="18"/>
          <w:szCs w:val="18"/>
          <w:i w:val="1"/>
          <w:iCs w:val="1"/>
          <w:color w:val="auto"/>
        </w:rPr>
        <w:t>Business—</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Governmental Regulaton—Environmental Liability</w:t>
      </w:r>
      <w:r>
        <w:rPr>
          <w:rFonts w:ascii="Calibri" w:cs="Calibri" w:eastAsia="Calibri" w:hAnsi="Calibri"/>
          <w:sz w:val="18"/>
          <w:szCs w:val="18"/>
          <w:color w:val="auto"/>
        </w:rPr>
        <w:t>" and Note 10, "</w:t>
      </w:r>
      <w:r>
        <w:rPr>
          <w:rFonts w:ascii="Calibri" w:cs="Calibri" w:eastAsia="Calibri" w:hAnsi="Calibri"/>
          <w:sz w:val="18"/>
          <w:szCs w:val="18"/>
          <w:i w:val="1"/>
          <w:iCs w:val="1"/>
          <w:color w:val="auto"/>
        </w:rPr>
        <w:t>Commitments and Contngencies—Environmental Liabilites</w:t>
      </w:r>
      <w:r>
        <w:rPr>
          <w:rFonts w:ascii="Calibri" w:cs="Calibri" w:eastAsia="Calibri" w:hAnsi="Calibri"/>
          <w:sz w:val="18"/>
          <w:szCs w:val="18"/>
          <w:color w:val="auto"/>
        </w:rPr>
        <w:t>", in the Notes to Consolidated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Financial Statements. We may incur signifcant additonal costs beyond those currently contemplated to comply with these regulatory requirements. If we fail to comply with these and future regulatory requirements, we could be forced to reduce or discontnue operatons or become subject to administratve, civil, or criminal liabilites and fnes.</w:t>
      </w:r>
    </w:p>
    <w:p>
      <w:pPr>
        <w:spacing w:after="0" w:line="150" w:lineRule="exact"/>
        <w:rPr>
          <w:sz w:val="20"/>
          <w:szCs w:val="20"/>
          <w:color w:val="auto"/>
        </w:rPr>
      </w:pPr>
    </w:p>
    <w:p>
      <w:pPr>
        <w:ind w:right="20"/>
        <w:spacing w:after="0" w:line="227" w:lineRule="auto"/>
        <w:rPr>
          <w:sz w:val="20"/>
          <w:szCs w:val="20"/>
          <w:color w:val="auto"/>
        </w:rPr>
      </w:pPr>
      <w:r>
        <w:rPr>
          <w:rFonts w:ascii="Calibri" w:cs="Calibri" w:eastAsia="Calibri" w:hAnsi="Calibri"/>
          <w:sz w:val="18"/>
          <w:szCs w:val="18"/>
          <w:color w:val="auto"/>
        </w:rPr>
        <w:t>In 2015, EPA fnalized federal regulatons (the “CCR Rule”) that establish technical requirements for the disposal of CCR. The EPA recently published revisions to the CCR Rule, efectve November 8, 2024 (the “revised CCR regulatons”). The revised CCR regulatons impose certain compliance and other obligatons on certain previously unregulated CCR sites. The revised CCR regulatons require, among other things, electric utlites and independent power producers to investgate and identfy previously unregulated CCR sites and demonstrate that the sites were closed in accordance with the closure performance standards in the CCR Rule. The required investgaton is conducted in phases, with the Phase 1 report due on February 9, 2026. Any required closure obligaton would commence on May 8, 2029, unless exceptons apply that would defer the closure obligaton to a permitng process. In accordance with the revised CCR regulatons, phased evaluatons of the Lockwood Hills and Greenidge Generaton facilites will be conducted to determine if any previously unregulated CCR sites must be addressed under the new regulaton. We make no assurances as to the status of any CCR sites at either facility that could be subject to regulaton under the revised CCR regulatons.</w:t>
      </w:r>
    </w:p>
    <w:p>
      <w:pPr>
        <w:spacing w:after="0" w:line="236" w:lineRule="exact"/>
        <w:rPr>
          <w:sz w:val="20"/>
          <w:szCs w:val="20"/>
          <w:color w:val="auto"/>
        </w:rPr>
      </w:pPr>
    </w:p>
    <w:p>
      <w:pPr>
        <w:ind w:right="40"/>
        <w:spacing w:after="0" w:line="244" w:lineRule="auto"/>
        <w:rPr>
          <w:sz w:val="20"/>
          <w:szCs w:val="20"/>
          <w:color w:val="auto"/>
        </w:rPr>
      </w:pPr>
      <w:r>
        <w:rPr>
          <w:rFonts w:ascii="Calibri" w:cs="Calibri" w:eastAsia="Calibri" w:hAnsi="Calibri"/>
          <w:sz w:val="18"/>
          <w:szCs w:val="18"/>
          <w:color w:val="auto"/>
        </w:rPr>
        <w:t>Additonally, the EPA has recently fnalized or proposed several regulatory actons establishing new requirements for control of certain air emissions from certain sources, including electricity generaton facilites. In the future, the EPA may also propose and fnalize additonal regulatory actons that may adversely afect our existng generaton facilites or our ability to cost-efectvely develop new generaton facilites. We can provide no assurance that the currently installed emissions control equipment at the natural gas-fueled generaton facilites owned and operated by us will satsfy the requirements under any future EPA or state environmental regulatons. Future federal and/or state regulatory actons could require us to install signifcant additonal emissions control equipment, resultng in potentally material costs of compliance for our generaton units, including capital expenditures, higher operatng and fuel costs, and potental producton curtailments. These costs could have a material adverse efect on our results of operatons and fnancial conditon.</w:t>
      </w:r>
    </w:p>
    <w:p>
      <w:pPr>
        <w:spacing w:after="0" w:line="151" w:lineRule="exact"/>
        <w:rPr>
          <w:sz w:val="20"/>
          <w:szCs w:val="20"/>
          <w:color w:val="auto"/>
        </w:rPr>
      </w:pPr>
    </w:p>
    <w:p>
      <w:pPr>
        <w:ind w:right="20"/>
        <w:spacing w:after="0" w:line="244" w:lineRule="auto"/>
        <w:rPr>
          <w:sz w:val="20"/>
          <w:szCs w:val="20"/>
          <w:color w:val="auto"/>
        </w:rPr>
      </w:pPr>
      <w:r>
        <w:rPr>
          <w:rFonts w:ascii="Calibri" w:cs="Calibri" w:eastAsia="Calibri" w:hAnsi="Calibri"/>
          <w:sz w:val="18"/>
          <w:szCs w:val="18"/>
          <w:color w:val="auto"/>
        </w:rPr>
        <w:t>Existng environmental regulatons could be revised or reinterpreted, new laws and regulatons could be adopted or become applicable to us or our facilites, and future changes in environmental laws and regulatons could occur, including potental regulatory and enforcement developments related to air emissions, all of which could result in signifcant additonal costs beyond those currently contemplated to comply with existng requirements. Any of the foregoing could have a material adverse efect on our results of operatons and fnancial conditon.</w:t>
      </w:r>
    </w:p>
    <w:p>
      <w:pPr>
        <w:spacing w:after="0" w:line="159" w:lineRule="exact"/>
        <w:rPr>
          <w:sz w:val="20"/>
          <w:szCs w:val="20"/>
          <w:color w:val="auto"/>
        </w:rPr>
      </w:pPr>
    </w:p>
    <w:p>
      <w:pPr>
        <w:spacing w:after="0" w:line="225" w:lineRule="auto"/>
        <w:rPr>
          <w:sz w:val="20"/>
          <w:szCs w:val="20"/>
          <w:color w:val="auto"/>
        </w:rPr>
      </w:pPr>
      <w:r>
        <w:rPr>
          <w:rFonts w:ascii="Calibri" w:cs="Calibri" w:eastAsia="Calibri" w:hAnsi="Calibri"/>
          <w:sz w:val="18"/>
          <w:szCs w:val="18"/>
          <w:color w:val="auto"/>
        </w:rPr>
        <w:t>We may not be able to obtain or maintain all required environmental regulatory approvals. For example, we contnue to challenge NYSDEC's eforts to the renewal of our Title V Air Permit for the contnued operaton of our natural gas power generaton facility in Torrey, New York in administratve and state judicial proceedings. There can be no assurance that our eforts will be successful. If there is a delay in obtaining any required environmental regulatory approvals, if we fail to obtain, maintain, or comply with any such approval, or if an approval is retroactvely disallowed or adversely modifed, the operaton of our generaton facilites could be stopped, disrupted, curtailed, or modifed or become subject to additonal costs. Any such stoppage, disrupton, curtailment, modifcaton, or additonal costs could have a material adverse efect on our results of operatons and fnancial conditon.</w:t>
      </w:r>
    </w:p>
    <w:p>
      <w:pPr>
        <w:spacing w:after="0" w:line="249" w:lineRule="exact"/>
        <w:rPr>
          <w:sz w:val="20"/>
          <w:szCs w:val="20"/>
          <w:color w:val="auto"/>
        </w:rPr>
      </w:pPr>
    </w:p>
    <w:p>
      <w:pPr>
        <w:ind w:right="40"/>
        <w:spacing w:after="0" w:line="241" w:lineRule="auto"/>
        <w:rPr>
          <w:sz w:val="20"/>
          <w:szCs w:val="20"/>
          <w:color w:val="auto"/>
        </w:rPr>
      </w:pPr>
      <w:r>
        <w:rPr>
          <w:rFonts w:ascii="Calibri" w:cs="Calibri" w:eastAsia="Calibri" w:hAnsi="Calibri"/>
          <w:sz w:val="18"/>
          <w:szCs w:val="18"/>
          <w:color w:val="auto"/>
        </w:rPr>
        <w:t>In additon, we may be responsible for any on-site liabilites associated with the environmental conditon of facilites that we have acquired, leased, developed, or sold, regardless of when the liabilites arose and whether they are now known or unknown. In connecton with certain acquisitons and sales of assets, we may obtain, or be required to provide, indemnifcaton against certain environmental liabilites. Another party could, depending on the circumstances, assert an environmental claim against us or fail to meet its indemnifcaton obligaton to us. Such event could have an adverse efect on our results of operatons and fnancial conditon.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7" w:name="page28"/>
    <w:bookmarkEnd w:id="27"/>
    <w:p>
      <w:pPr>
        <w:ind w:right="40"/>
        <w:spacing w:after="0" w:line="227" w:lineRule="auto"/>
        <w:rPr>
          <w:sz w:val="20"/>
          <w:szCs w:val="20"/>
          <w:color w:val="auto"/>
        </w:rPr>
      </w:pPr>
      <w:r>
        <w:rPr>
          <w:rFonts w:ascii="Calibri" w:cs="Calibri" w:eastAsia="Calibri" w:hAnsi="Calibri"/>
          <w:sz w:val="18"/>
          <w:szCs w:val="18"/>
          <w:b w:val="1"/>
          <w:bCs w:val="1"/>
          <w:i w:val="1"/>
          <w:iCs w:val="1"/>
          <w:color w:val="auto"/>
        </w:rPr>
        <w:t>We have been, are currently, and may be in the future, the subject of legal proceedings, including governmental investgatons, relatng to our products or services.</w:t>
      </w:r>
    </w:p>
    <w:p>
      <w:pPr>
        <w:spacing w:after="0" w:line="111" w:lineRule="exact"/>
        <w:rPr>
          <w:sz w:val="20"/>
          <w:szCs w:val="20"/>
          <w:color w:val="auto"/>
        </w:rPr>
      </w:pPr>
    </w:p>
    <w:p>
      <w:pPr>
        <w:ind w:right="40"/>
        <w:spacing w:after="0" w:line="225" w:lineRule="auto"/>
        <w:rPr>
          <w:sz w:val="20"/>
          <w:szCs w:val="20"/>
          <w:color w:val="auto"/>
        </w:rPr>
      </w:pPr>
      <w:r>
        <w:rPr>
          <w:rFonts w:ascii="Calibri" w:cs="Calibri" w:eastAsia="Calibri" w:hAnsi="Calibri"/>
          <w:sz w:val="18"/>
          <w:szCs w:val="18"/>
          <w:color w:val="auto"/>
        </w:rPr>
        <w:t>We, or certain of our subsidiaries, have been named as a party to several lawsuits, government inquiries or investgatons, and other legal proceedings, and may be named in additonal ones in the future. Litgaton may be tme-consuming, expensive, and disruptve to normal business operatons, and the outcome of litgaton is difcult to predict. The ultmate outcome of litgaton could have a material adverse efect on us and the trading price for our securites. Furthermore, litgaton, regardless of the outcome, may result in signifcant expenditures, diversion of our management’s tme and atenton from the operaton of the business and damage to our reputaton or relatonship with third partes, which could materially and adversely afect our results of operatons, strategy, and fnancial performance.</w:t>
      </w:r>
    </w:p>
    <w:p>
      <w:pPr>
        <w:spacing w:after="0" w:line="222" w:lineRule="exact"/>
        <w:rPr>
          <w:sz w:val="20"/>
          <w:szCs w:val="20"/>
          <w:color w:val="auto"/>
        </w:rPr>
      </w:pPr>
    </w:p>
    <w:p>
      <w:pPr>
        <w:ind w:right="220"/>
        <w:spacing w:after="0" w:line="227" w:lineRule="auto"/>
        <w:rPr>
          <w:sz w:val="20"/>
          <w:szCs w:val="20"/>
          <w:color w:val="auto"/>
        </w:rPr>
      </w:pPr>
      <w:r>
        <w:rPr>
          <w:rFonts w:ascii="Calibri" w:cs="Calibri" w:eastAsia="Calibri" w:hAnsi="Calibri"/>
          <w:sz w:val="18"/>
          <w:szCs w:val="18"/>
          <w:color w:val="auto"/>
        </w:rPr>
        <w:t>The cost of defense can be large as can any setlement or judgment in an acton. Any of the foregoing could have a material adverse efect on our results of operatons, strategy, and fnancial performance.</w:t>
      </w:r>
    </w:p>
    <w:p>
      <w:pPr>
        <w:spacing w:after="0" w:line="313" w:lineRule="exact"/>
        <w:rPr>
          <w:sz w:val="20"/>
          <w:szCs w:val="20"/>
          <w:color w:val="auto"/>
        </w:rPr>
      </w:pPr>
    </w:p>
    <w:p>
      <w:pPr>
        <w:ind w:right="20"/>
        <w:spacing w:after="0" w:line="230" w:lineRule="auto"/>
        <w:rPr>
          <w:sz w:val="20"/>
          <w:szCs w:val="20"/>
          <w:color w:val="auto"/>
        </w:rPr>
      </w:pPr>
      <w:r>
        <w:rPr>
          <w:rFonts w:ascii="Calibri" w:cs="Calibri" w:eastAsia="Calibri" w:hAnsi="Calibri"/>
          <w:sz w:val="18"/>
          <w:szCs w:val="18"/>
          <w:b w:val="1"/>
          <w:bCs w:val="1"/>
          <w:i w:val="1"/>
          <w:iCs w:val="1"/>
          <w:color w:val="auto"/>
        </w:rPr>
        <w:t>While we have multple sources of revenue from our business and operatons, our revenues are largely dependent on the single natural gas power generaton facility that we operate. Any disrupton to our single power plant would have a material adverse efect on our business and operatons, as well as our results of operatons and fnancial conditon.</w:t>
      </w:r>
    </w:p>
    <w:p>
      <w:pPr>
        <w:spacing w:after="0" w:line="97" w:lineRule="exact"/>
        <w:rPr>
          <w:sz w:val="20"/>
          <w:szCs w:val="20"/>
          <w:color w:val="auto"/>
        </w:rPr>
      </w:pPr>
    </w:p>
    <w:p>
      <w:pPr>
        <w:ind w:right="20"/>
        <w:spacing w:after="0" w:line="226" w:lineRule="auto"/>
        <w:rPr>
          <w:sz w:val="20"/>
          <w:szCs w:val="20"/>
          <w:color w:val="auto"/>
        </w:rPr>
      </w:pPr>
      <w:r>
        <w:rPr>
          <w:rFonts w:ascii="Calibri" w:cs="Calibri" w:eastAsia="Calibri" w:hAnsi="Calibri"/>
          <w:sz w:val="18"/>
          <w:szCs w:val="18"/>
          <w:color w:val="auto"/>
        </w:rPr>
        <w:t>We operate a single source natural gas power generaton facility in New York that presently comprises and supports the vast majority of our business and operatons. While we realize multple sources of revenue from our business and operatons, our revenues are largely dependent on the contnuing operaton of our natural gas power generaton facility in Torrey, New York. Power plants involve complex operatons and equipment, much of which is subject to wear and tear in the normal course of operaton. Further, equipment used in the operatons of the power plant may also sufer breakdown or malfuncton, physical disaster, and sabotage. Substantally all of our operatons are operated with computer systems that may be subject to data security breaches, computer malfuncton and viruses, and generally require contnual sofware updates and maintenance. Repairing, replacing, or otherwise fxing or addressing any of these or other issues may require the allocaton of signifcant tme, capital or other resources, such as technical capability, and during such period of tme, we would be unable to operate our power plant and generate revenue. We may not have the adequate capital or other resources to fx or otherwise address these factors or issues in a tmely manner or at all, and we may not have access to the necessary parts or equipment that are required to fx or otherwise address such factors or issues.</w:t>
      </w:r>
    </w:p>
    <w:p>
      <w:pPr>
        <w:spacing w:after="0" w:line="226" w:lineRule="exact"/>
        <w:rPr>
          <w:sz w:val="20"/>
          <w:szCs w:val="20"/>
          <w:color w:val="auto"/>
        </w:rPr>
      </w:pPr>
    </w:p>
    <w:p>
      <w:pPr>
        <w:ind w:right="40"/>
        <w:spacing w:after="0" w:line="228" w:lineRule="auto"/>
        <w:rPr>
          <w:sz w:val="20"/>
          <w:szCs w:val="20"/>
          <w:color w:val="auto"/>
        </w:rPr>
      </w:pPr>
      <w:r>
        <w:rPr>
          <w:rFonts w:ascii="Calibri" w:cs="Calibri" w:eastAsia="Calibri" w:hAnsi="Calibri"/>
          <w:sz w:val="18"/>
          <w:szCs w:val="18"/>
          <w:color w:val="auto"/>
        </w:rPr>
        <w:t>Some of the parts and equipment necessary to operate the power plant may require long lead-tmes in order to acquire, either due to availability, producton tme or cycles, shipping, or other factors, thereby making such parts or equipment difcult to acquire in a tmely manner or on a cost-efectve basis, if available at all. Any disrupton to our power generaton facility in New York would cause a suspension of revenue generatng actvity and would have a material adverse efect on our business and operatons, as well as our results of operatons and fnancial conditon.</w:t>
      </w:r>
    </w:p>
    <w:p>
      <w:pPr>
        <w:spacing w:after="0" w:line="313" w:lineRule="exact"/>
        <w:rPr>
          <w:sz w:val="20"/>
          <w:szCs w:val="20"/>
          <w:color w:val="auto"/>
        </w:rPr>
      </w:pPr>
    </w:p>
    <w:p>
      <w:pPr>
        <w:ind w:right="560"/>
        <w:spacing w:after="0" w:line="227" w:lineRule="auto"/>
        <w:rPr>
          <w:sz w:val="20"/>
          <w:szCs w:val="20"/>
          <w:color w:val="auto"/>
        </w:rPr>
      </w:pPr>
      <w:r>
        <w:rPr>
          <w:rFonts w:ascii="Calibri" w:cs="Calibri" w:eastAsia="Calibri" w:hAnsi="Calibri"/>
          <w:sz w:val="18"/>
          <w:szCs w:val="18"/>
          <w:b w:val="1"/>
          <w:bCs w:val="1"/>
          <w:i w:val="1"/>
          <w:iCs w:val="1"/>
          <w:color w:val="auto"/>
        </w:rPr>
        <w:t>We maintain cash deposits in excess of federally insured limits. Adverse developments afectng fnancial insttutons, including bank failures, could adversely afect our liquidity and fnancial performance.</w:t>
      </w:r>
    </w:p>
    <w:p>
      <w:pPr>
        <w:spacing w:after="0" w:line="111" w:lineRule="exact"/>
        <w:rPr>
          <w:sz w:val="20"/>
          <w:szCs w:val="20"/>
          <w:color w:val="auto"/>
        </w:rPr>
      </w:pPr>
    </w:p>
    <w:p>
      <w:pPr>
        <w:spacing w:after="0" w:line="239" w:lineRule="auto"/>
        <w:rPr>
          <w:sz w:val="20"/>
          <w:szCs w:val="20"/>
          <w:color w:val="auto"/>
        </w:rPr>
      </w:pPr>
      <w:r>
        <w:rPr>
          <w:rFonts w:ascii="Calibri" w:cs="Calibri" w:eastAsia="Calibri" w:hAnsi="Calibri"/>
          <w:sz w:val="17"/>
          <w:szCs w:val="17"/>
          <w:color w:val="auto"/>
        </w:rPr>
        <w:t>We maintain domestc cash deposits in Federal Deposit Insurance Corporaton (“FDIC”) insured banks that exceed the FDIC insurance limits. We also maintain cash deposits in foreign banks where we operate, some of which are not insured or are only partally insured by the FDIC or similar agencies. Bank failures, events involving limited liquidity, defaults, non-performance, or other adverse developments that afect fnancial insttutons, or concerns or rumors about such events, may lead to liquidity constraints. For example, on March 10, 2023, Silicon Valley Bank failed and was taken into receivership by the FDIC. At the tme that Silicon Valley Bank failed, we maintained balances there in excess of the federal insured limit and also, through a subsidiary, processed payroll there. The failure of a bank, or other adverse conditons in the fnancial or credit markets impactng fnancial insttutons at which we maintain balances, could adversely impact our liquidity and fnancial performance. We can provide no assurance that our deposits in excess of the FDIC or other comparable insurance limits will be backstopped by the U.S. or applicable foreign government, or that any bank or fnancial insttuton with which we do business will be able to obtain needed liquidity from other banks, government insttutons, or by acquisiton in the event of a failure or liquidity crisis.</w:t>
      </w:r>
    </w:p>
    <w:p>
      <w:pPr>
        <w:spacing w:after="0" w:line="98" w:lineRule="exact"/>
        <w:rPr>
          <w:sz w:val="20"/>
          <w:szCs w:val="20"/>
          <w:color w:val="auto"/>
        </w:rPr>
      </w:pPr>
    </w:p>
    <w:p>
      <w:pPr>
        <w:ind w:right="700"/>
        <w:spacing w:after="0" w:line="235" w:lineRule="auto"/>
        <w:rPr>
          <w:sz w:val="20"/>
          <w:szCs w:val="20"/>
          <w:color w:val="auto"/>
        </w:rPr>
      </w:pPr>
      <w:r>
        <w:rPr>
          <w:rFonts w:ascii="Calibri" w:cs="Calibri" w:eastAsia="Calibri" w:hAnsi="Calibri"/>
          <w:sz w:val="18"/>
          <w:szCs w:val="18"/>
          <w:b w:val="1"/>
          <w:bCs w:val="1"/>
          <w:i w:val="1"/>
          <w:iCs w:val="1"/>
          <w:color w:val="auto"/>
        </w:rPr>
        <w:t>We rely on a well-known U.S. based third-party digital asset-focused custodian to safeguard our bitcoin, but our holdings are not insured by us or protected by FDIC or SIPC.</w:t>
      </w:r>
    </w:p>
    <w:p>
      <w:pPr>
        <w:spacing w:after="0" w:line="96"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Our Custodian, Coinbase, safeguards our bitcoin using cold storage. The Custodian holds our digital assets and any cash we may choose to custody, though we currently have no cash held with the Custodian and have no plans to do so. Under the Coinbase Prime Broker Agreement, the Custodian covenants to hold our digital assets in segregated accounts, identfable as belonging to us, with no rights, interest, or ttle in those assets. Cash, if held, would be placed in "for beneft of customers" accounts at U.S. insured depository insttutons. The agreement ensures our digital assets are not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28" w:name="page29"/>
    <w:bookmarkEnd w:id="28"/>
    <w:p>
      <w:pPr>
        <w:spacing w:after="0" w:line="226" w:lineRule="auto"/>
        <w:rPr>
          <w:sz w:val="20"/>
          <w:szCs w:val="20"/>
          <w:color w:val="auto"/>
        </w:rPr>
      </w:pPr>
      <w:r>
        <w:rPr>
          <w:rFonts w:ascii="Calibri" w:cs="Calibri" w:eastAsia="Calibri" w:hAnsi="Calibri"/>
          <w:sz w:val="18"/>
          <w:szCs w:val="18"/>
          <w:color w:val="auto"/>
        </w:rPr>
        <w:t>commingled with other holdings, other than to facilitate transfers (typically under 12 hours, but never more than 72 hours). While we believe this agreement ofers reasonable protectons, storing assets with any custodian involves risks. If the Custodian breaches its agreement, ceases operatons, declares insolvency, or fles for bankruptcy, our digital assets could be delayed or unrecoverable — even if held in segregated accounts. Insolvency laws regarding digital assets are stll evolving. If our bitcoin were deemed part of the Custodian's bankruptcy estate, we could be treated as general unsecured creditors, limitng or delaying our ability to recover assets. While the Custodian maintains limited insurance against certain losses like thef, this coverage is shared among all their clients — likely falling short of the total value of custodied assets. If our bitcoin is lost, stolen, or destroyed, recovery may be limited or unavailable, and any insurance proceeds would likely be insufcient. Losses could materially impact our fnancial conditon and stock value. We currently do not have a backup custodian. If Coinbase were to cease operatons or face insolvency, we would need to self-custody our digital assets using cold storage untl a suitable replacement is found, which could disrupt our business. In the meantme, our mined bitcoin would contnue accumulatng in our proprietary wallet. Our limited rights of legal recourse and our lack of insurance protecton over our bitcoin expose us and our stockholders to the risk of loss of our bitcoin for which there may be no adequate remedy.</w:t>
      </w:r>
    </w:p>
    <w:p>
      <w:pPr>
        <w:spacing w:after="0" w:line="32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not be able to compete efectvely against other companies, some of whom have greater resources and experience.</w:t>
      </w:r>
    </w:p>
    <w:p>
      <w:pPr>
        <w:spacing w:after="0" w:line="96" w:lineRule="exact"/>
        <w:rPr>
          <w:sz w:val="20"/>
          <w:szCs w:val="20"/>
          <w:color w:val="auto"/>
        </w:rPr>
      </w:pPr>
    </w:p>
    <w:p>
      <w:pPr>
        <w:ind w:right="80"/>
        <w:spacing w:after="0" w:line="226" w:lineRule="auto"/>
        <w:rPr>
          <w:sz w:val="20"/>
          <w:szCs w:val="20"/>
          <w:color w:val="auto"/>
        </w:rPr>
      </w:pPr>
      <w:r>
        <w:rPr>
          <w:rFonts w:ascii="Calibri" w:cs="Calibri" w:eastAsia="Calibri" w:hAnsi="Calibri"/>
          <w:sz w:val="18"/>
          <w:szCs w:val="18"/>
          <w:color w:val="auto"/>
        </w:rPr>
        <w:t>We may not be able to compete efectvely against present or future compettors. The bitcoin industry has atracted various high-profle and well-established compettors, some of whom have substantally greater liquidity and fnancial resources than us. With the limited resources we have available, we may experience great difcultes in expanding and improving our network of computers to remain compettve. In additon, new ways for investors and market partcipants to invest in bitcoin and cryptocurrencies contnue to develop. For example, in January 2024, a decade afer inital applicatons were fled, the SEC approved a series of spot bitcoin exchange-traded products, which have received billions of dollars of infows. We may be adversely afected by competton from other methods of investng in bitcoin. Competton from existng and future compettors, partcularly those that have access to compettvely priced energy, could result in our inability to secure acquisitons and partnerships and to successfully execute our business plan. If we are unable to compete efectvely, our business could be negatvely afected.</w:t>
      </w:r>
    </w:p>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Risks Related to our Datacenter and Power Generaton Operatons</w:t>
      </w:r>
    </w:p>
    <w:p>
      <w:pPr>
        <w:spacing w:after="0" w:line="312" w:lineRule="exact"/>
        <w:rPr>
          <w:sz w:val="20"/>
          <w:szCs w:val="20"/>
          <w:color w:val="auto"/>
        </w:rPr>
      </w:pPr>
    </w:p>
    <w:p>
      <w:pPr>
        <w:ind w:right="140"/>
        <w:spacing w:after="0" w:line="227" w:lineRule="auto"/>
        <w:rPr>
          <w:sz w:val="20"/>
          <w:szCs w:val="20"/>
          <w:color w:val="auto"/>
        </w:rPr>
      </w:pPr>
      <w:r>
        <w:rPr>
          <w:rFonts w:ascii="Calibri" w:cs="Calibri" w:eastAsia="Calibri" w:hAnsi="Calibri"/>
          <w:sz w:val="18"/>
          <w:szCs w:val="18"/>
          <w:b w:val="1"/>
          <w:bCs w:val="1"/>
          <w:i w:val="1"/>
          <w:iCs w:val="1"/>
          <w:color w:val="auto"/>
        </w:rPr>
        <w:t>Our future success will depend signifcantly on the price of bitcoin, which is subject to risk and has historically been subject to wide swings and signifcant volatlity.</w:t>
      </w:r>
    </w:p>
    <w:p>
      <w:pPr>
        <w:spacing w:after="0" w:line="111" w:lineRule="exact"/>
        <w:rPr>
          <w:sz w:val="20"/>
          <w:szCs w:val="20"/>
          <w:color w:val="auto"/>
        </w:rPr>
      </w:pPr>
    </w:p>
    <w:p>
      <w:pPr>
        <w:ind w:right="20"/>
        <w:spacing w:after="0" w:line="228" w:lineRule="auto"/>
        <w:rPr>
          <w:sz w:val="20"/>
          <w:szCs w:val="20"/>
          <w:color w:val="auto"/>
        </w:rPr>
      </w:pPr>
      <w:r>
        <w:rPr>
          <w:rFonts w:ascii="Calibri" w:cs="Calibri" w:eastAsia="Calibri" w:hAnsi="Calibri"/>
          <w:sz w:val="18"/>
          <w:szCs w:val="18"/>
          <w:color w:val="auto"/>
        </w:rPr>
        <w:t>Our operatng results will depend signifcantly on the price of bitcoin. Specifcally, our revenues from our cryptocurrency datacenter operatons are based principally on two factors: (1) our mining payouts from our third-party mining pools; and (2) the price of bitcoin. Accordingly, a decrease in the price of bitcoin will result in a decrease in our revenues. Moreover, the price of bitcoin has historically been subject to wide swings and signifcant volatlity. This means that our operatng results may be subject to signifcant volatlity.</w:t>
      </w:r>
    </w:p>
    <w:p>
      <w:pPr>
        <w:spacing w:after="0" w:line="205" w:lineRule="exact"/>
        <w:rPr>
          <w:sz w:val="20"/>
          <w:szCs w:val="20"/>
          <w:color w:val="auto"/>
        </w:rPr>
      </w:pPr>
    </w:p>
    <w:p>
      <w:pPr>
        <w:jc w:val="both"/>
        <w:ind w:right="220"/>
        <w:spacing w:after="0" w:line="230" w:lineRule="auto"/>
        <w:rPr>
          <w:sz w:val="20"/>
          <w:szCs w:val="20"/>
          <w:color w:val="auto"/>
        </w:rPr>
      </w:pPr>
      <w:r>
        <w:rPr>
          <w:rFonts w:ascii="Calibri" w:cs="Calibri" w:eastAsia="Calibri" w:hAnsi="Calibri"/>
          <w:sz w:val="18"/>
          <w:szCs w:val="18"/>
          <w:color w:val="auto"/>
        </w:rPr>
        <w:t>Bitcoin prices have historically been volatle and impacted by a variety of factors, including market percepton, the degree to which bitcoin is accepted as a means of payment, the volume of purchases and sales of bitcoin by market partcipants, real or perceived competton from alternatve cryptocurrencies as well as other risks and uncertaintes described in this Annual Report.</w:t>
      </w:r>
    </w:p>
    <w:p>
      <w:pPr>
        <w:spacing w:after="0" w:line="205" w:lineRule="exact"/>
        <w:rPr>
          <w:sz w:val="20"/>
          <w:szCs w:val="20"/>
          <w:color w:val="auto"/>
        </w:rPr>
      </w:pPr>
    </w:p>
    <w:p>
      <w:pPr>
        <w:ind w:right="20"/>
        <w:spacing w:after="0" w:line="225" w:lineRule="auto"/>
        <w:rPr>
          <w:sz w:val="20"/>
          <w:szCs w:val="20"/>
          <w:color w:val="auto"/>
        </w:rPr>
      </w:pPr>
      <w:r>
        <w:rPr>
          <w:rFonts w:ascii="Calibri" w:cs="Calibri" w:eastAsia="Calibri" w:hAnsi="Calibri"/>
          <w:sz w:val="18"/>
          <w:szCs w:val="18"/>
          <w:color w:val="auto"/>
        </w:rPr>
        <w:t>While some retail and commercial outlets accept bitcoin as a means of payment, consumers’ payment by bitcoin to such retail and commercial outlets remains limited. Conversely, a signifcant porton of bitcoin demand is generated by speculators and investors seeking to proft from the short- or long-term holding of bitcoin. Many industry commentators believe that bitcoin’s best use case is as a store of wealth, rather than as a currency for transactons, and that other cryptocurrencies having beter scalability and faster setlement tmes will beter serve as currency. This could limit bitcoin’s acceptance as transactonal currency. A lack of expansion by bitcoin into retail and commercial markets, or a contracton of such use, may result in increased volatlity or a reducton in the price of bitcoin, either of which could adversely afect our results of operatons.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b w:val="1"/>
          <w:bCs w:val="1"/>
          <w:i w:val="1"/>
          <w:iCs w:val="1"/>
          <w:color w:val="auto"/>
        </w:rPr>
        <w:t>The propertes utlized by us in our cryptocurrency datacenter and hostng may experience damage, including damage not covered by insurance.</w:t>
      </w:r>
    </w:p>
    <w:p>
      <w:pPr>
        <w:spacing w:after="0" w:line="96"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Our current cryptocurrency datacenter operatons in Torrey, New York are, and any future cryptocurrency datacenter operatons that we establish or host will be, subject to a variety of risks relatng to physical conditon and operaton, including:</w:t>
      </w:r>
    </w:p>
    <w:p>
      <w:pPr>
        <w:spacing w:after="0" w:line="91" w:lineRule="exact"/>
        <w:rPr>
          <w:sz w:val="20"/>
          <w:szCs w:val="20"/>
          <w:color w:val="auto"/>
        </w:rPr>
      </w:pPr>
    </w:p>
    <w:p>
      <w:pPr>
        <w:ind w:left="640" w:hanging="308"/>
        <w:spacing w:after="0"/>
        <w:tabs>
          <w:tab w:leader="none" w:pos="64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the presence of constructon or repair defects or other structural or building damage;</w:t>
      </w:r>
    </w:p>
    <w:p>
      <w:pPr>
        <w:spacing w:after="0" w:line="95" w:lineRule="exact"/>
        <w:rPr>
          <w:rFonts w:ascii="Calibri" w:cs="Calibri" w:eastAsia="Calibri" w:hAnsi="Calibri"/>
          <w:sz w:val="18"/>
          <w:szCs w:val="18"/>
          <w:color w:val="auto"/>
        </w:rPr>
      </w:pPr>
    </w:p>
    <w:p>
      <w:pPr>
        <w:ind w:left="640" w:hanging="308"/>
        <w:spacing w:after="0"/>
        <w:tabs>
          <w:tab w:leader="none" w:pos="640" w:val="left"/>
        </w:tabs>
        <w:numPr>
          <w:ilvl w:val="0"/>
          <w:numId w:val="15"/>
        </w:numPr>
        <w:rPr>
          <w:rFonts w:ascii="Calibri" w:cs="Calibri" w:eastAsia="Calibri" w:hAnsi="Calibri"/>
          <w:sz w:val="17"/>
          <w:szCs w:val="17"/>
          <w:color w:val="auto"/>
        </w:rPr>
      </w:pPr>
      <w:r>
        <w:rPr>
          <w:rFonts w:ascii="Calibri" w:cs="Calibri" w:eastAsia="Calibri" w:hAnsi="Calibri"/>
          <w:sz w:val="17"/>
          <w:szCs w:val="17"/>
          <w:color w:val="auto"/>
        </w:rPr>
        <w:t>any noncompliance with or liabilites under applicable environmental, health or safety regulatons or requirements or building permit requirements;</w:t>
      </w:r>
    </w:p>
    <w:p>
      <w:pPr>
        <w:spacing w:after="0" w:line="111" w:lineRule="exact"/>
        <w:rPr>
          <w:rFonts w:ascii="Calibri" w:cs="Calibri" w:eastAsia="Calibri" w:hAnsi="Calibri"/>
          <w:sz w:val="17"/>
          <w:szCs w:val="17"/>
          <w:color w:val="auto"/>
        </w:rPr>
      </w:pPr>
    </w:p>
    <w:p>
      <w:pPr>
        <w:ind w:left="640" w:hanging="308"/>
        <w:spacing w:after="0"/>
        <w:tabs>
          <w:tab w:leader="none" w:pos="64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any damage resultng from natural disasters, such as hurricanes, earthquakes, fres, foods and windstorms;</w:t>
      </w:r>
    </w:p>
    <w:p>
      <w:pPr>
        <w:spacing w:after="0" w:line="90" w:lineRule="exact"/>
        <w:rPr>
          <w:rFonts w:ascii="Calibri" w:cs="Calibri" w:eastAsia="Calibri" w:hAnsi="Calibri"/>
          <w:sz w:val="18"/>
          <w:szCs w:val="18"/>
          <w:color w:val="auto"/>
        </w:rPr>
      </w:pPr>
    </w:p>
    <w:p>
      <w:pPr>
        <w:ind w:left="640" w:hanging="308"/>
        <w:spacing w:after="0"/>
        <w:tabs>
          <w:tab w:leader="none" w:pos="64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damage caused by criminal actors, such as cyberatacks, vandalism, sabotage or terrorist atacks; and</w:t>
      </w:r>
    </w:p>
    <w:p>
      <w:pPr>
        <w:spacing w:after="0" w:line="90" w:lineRule="exact"/>
        <w:rPr>
          <w:rFonts w:ascii="Calibri" w:cs="Calibri" w:eastAsia="Calibri" w:hAnsi="Calibri"/>
          <w:sz w:val="18"/>
          <w:szCs w:val="18"/>
          <w:color w:val="auto"/>
        </w:rPr>
      </w:pPr>
    </w:p>
    <w:p>
      <w:pPr>
        <w:ind w:left="640" w:hanging="308"/>
        <w:spacing w:after="0"/>
        <w:tabs>
          <w:tab w:leader="none" w:pos="64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claims by employees and others for injuries sustained at our propertes.</w:t>
      </w:r>
    </w:p>
    <w:p>
      <w:pPr>
        <w:spacing w:after="0" w:line="217" w:lineRule="exact"/>
        <w:rPr>
          <w:sz w:val="20"/>
          <w:szCs w:val="20"/>
          <w:color w:val="auto"/>
        </w:rPr>
      </w:pPr>
    </w:p>
    <w:p>
      <w:pPr>
        <w:ind w:right="60"/>
        <w:spacing w:after="0" w:line="225" w:lineRule="auto"/>
        <w:rPr>
          <w:sz w:val="20"/>
          <w:szCs w:val="20"/>
          <w:color w:val="auto"/>
        </w:rPr>
      </w:pPr>
      <w:r>
        <w:rPr>
          <w:rFonts w:ascii="Calibri" w:cs="Calibri" w:eastAsia="Calibri" w:hAnsi="Calibri"/>
          <w:sz w:val="18"/>
          <w:szCs w:val="18"/>
          <w:color w:val="auto"/>
        </w:rPr>
        <w:t>Any of these could render our cryptocurrency datacenter, hostng and/or power generaton operatons inoperable, temporarily, or permanently, and the potental impact on our business is currently magnifed because we operate the majority of our cryptocurrency datacenter operatons from a single locaton. The security and other measures we take to protect against these risks may be insufcient or unavailable. Apart from $15 million in coverage of our bitcoin mining equipment, which is subject to certain deductbles, our power plant property is not insured by any third-party insurance provider and our ability to self-insure may not be adequate to cover the losses we sufer as a result of the aforementoned risks, which could materially and adversely impact our results of operatons and fnancial conditon.</w:t>
      </w:r>
    </w:p>
    <w:p>
      <w:pPr>
        <w:spacing w:after="0" w:line="32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are subject to risks related to Internet disruptons, which could have an adverse efect on our ability to host bitcoin miners and to mine bitcoin.</w:t>
      </w:r>
    </w:p>
    <w:p>
      <w:pPr>
        <w:spacing w:after="0" w:line="150" w:lineRule="exact"/>
        <w:rPr>
          <w:sz w:val="20"/>
          <w:szCs w:val="20"/>
          <w:color w:val="auto"/>
        </w:rPr>
      </w:pPr>
    </w:p>
    <w:p>
      <w:pPr>
        <w:ind w:right="280"/>
        <w:spacing w:after="0" w:line="228" w:lineRule="auto"/>
        <w:rPr>
          <w:sz w:val="20"/>
          <w:szCs w:val="20"/>
          <w:color w:val="auto"/>
        </w:rPr>
      </w:pPr>
      <w:r>
        <w:rPr>
          <w:rFonts w:ascii="Calibri" w:cs="Calibri" w:eastAsia="Calibri" w:hAnsi="Calibri"/>
          <w:sz w:val="18"/>
          <w:szCs w:val="18"/>
          <w:color w:val="auto"/>
        </w:rPr>
        <w:t>In general, bitcoin and our business of hostng bitcoin miners and mining bitcoin is dependent upon the Internet. A signifcant disrupton in Internet connectvity could disrupt a currency’s network operatons and have an adverse efect on the price of bitcoin and our ability to meet the minimum uptme requirements in our hostng agreements and mine bitcoin, which could, depending on the duraton of the disrupton, materially and adversely impact our results of operatons.</w:t>
      </w:r>
    </w:p>
    <w:p>
      <w:pPr>
        <w:spacing w:after="0" w:line="313"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b w:val="1"/>
          <w:bCs w:val="1"/>
          <w:i w:val="1"/>
          <w:iCs w:val="1"/>
          <w:color w:val="auto"/>
        </w:rPr>
        <w:t>Bitcoin miners and other necessary hardware are subject to malfuncton, technological obsolescence, the global supply chain, and difculty and cost in obtaining new hardware.</w:t>
      </w:r>
    </w:p>
    <w:p>
      <w:pPr>
        <w:spacing w:after="0" w:line="96" w:lineRule="exact"/>
        <w:rPr>
          <w:sz w:val="20"/>
          <w:szCs w:val="20"/>
          <w:color w:val="auto"/>
        </w:rPr>
      </w:pPr>
    </w:p>
    <w:p>
      <w:pPr>
        <w:ind w:right="40"/>
        <w:spacing w:after="0" w:line="226" w:lineRule="auto"/>
        <w:rPr>
          <w:sz w:val="20"/>
          <w:szCs w:val="20"/>
          <w:color w:val="auto"/>
        </w:rPr>
      </w:pPr>
      <w:r>
        <w:rPr>
          <w:rFonts w:ascii="Calibri" w:cs="Calibri" w:eastAsia="Calibri" w:hAnsi="Calibri"/>
          <w:sz w:val="18"/>
          <w:szCs w:val="18"/>
          <w:color w:val="auto"/>
        </w:rPr>
        <w:t>Our bitcoin miners are subject to malfunctons and normal wear and tear, and, at any point in tme, a certain number of our bitcoin miners are typically of-line for maintenance or repair. The physical degradaton of our miners will require us to replace miners that are no longer functonal. Because we utlize many units of the same bitcoin miner models, if there is a model wide component malfuncton whether in the hardware or the sofware that powers these miners, the percentage of ofine miners could increase substantally, disruptng our operatons. Any major bitcoin miner malfuncton out of the typical range of downtme for normal maintenance and repair could cause signifcant economic damage to us.</w:t>
      </w:r>
    </w:p>
    <w:p>
      <w:pPr>
        <w:spacing w:after="0" w:line="221" w:lineRule="exact"/>
        <w:rPr>
          <w:sz w:val="20"/>
          <w:szCs w:val="20"/>
          <w:color w:val="auto"/>
        </w:rPr>
      </w:pPr>
    </w:p>
    <w:p>
      <w:pPr>
        <w:spacing w:after="0" w:line="239" w:lineRule="auto"/>
        <w:rPr>
          <w:sz w:val="20"/>
          <w:szCs w:val="20"/>
          <w:color w:val="auto"/>
        </w:rPr>
      </w:pPr>
      <w:r>
        <w:rPr>
          <w:rFonts w:ascii="Calibri" w:cs="Calibri" w:eastAsia="Calibri" w:hAnsi="Calibri"/>
          <w:sz w:val="17"/>
          <w:szCs w:val="17"/>
          <w:color w:val="auto"/>
        </w:rPr>
        <w:t>Additonally, as technology evolves, we may need to acquire newer models of miners to remain compettve in the market. New miners can be costly and may be in short supply. Given the long producton period to manufacture and assemble bitcoin miners and the current global semiconductor chip shortage, we can provide no assurance that we can acquire enough bitcoin mining computers or replacement parts on a cost-efectve basis – or at all – for the maintenance and expansion of our cryptocurrency datacenter operatons. We rely on third partes to supply us with bitcoin miners, and shortages of bitcoin miners or their component parts, material increases in bitcoin miner costs, or delays in delivery of our orders, including due to trade restrictons, and other global events that may create supply chain disruptons, could signifcantly interrupt our plans for expanding our bitcoin mining capacity in the near-term and future.</w:t>
      </w:r>
    </w:p>
    <w:p>
      <w:pPr>
        <w:spacing w:after="0" w:line="218"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This upgrading and replacement process requires substantal capital investment and we may face challenges in doing so on a tmely and cost-efectve basis. Shortages of bitcoin mining computers could result in reduced bitcoin mining capacity and increased operatng costs, which could materially delay the completon of our planned cryptocurrency datacenter capacity expansion and put us at a compettve disadvantage.</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b w:val="1"/>
          <w:bCs w:val="1"/>
          <w:i w:val="1"/>
          <w:iCs w:val="1"/>
          <w:u w:val="single" w:color="auto"/>
          <w:color w:val="auto"/>
        </w:rPr>
        <w:t>We are exposed to the impact of market price changes in bitcoin on our bitcoin holdings.</w:t>
      </w:r>
    </w:p>
    <w:p>
      <w:pPr>
        <w:spacing w:after="0" w:line="109" w:lineRule="exact"/>
        <w:rPr>
          <w:sz w:val="20"/>
          <w:szCs w:val="20"/>
          <w:color w:val="auto"/>
        </w:rPr>
      </w:pPr>
    </w:p>
    <w:p>
      <w:pPr>
        <w:ind w:right="120"/>
        <w:spacing w:after="0" w:line="242" w:lineRule="auto"/>
        <w:rPr>
          <w:sz w:val="20"/>
          <w:szCs w:val="20"/>
          <w:color w:val="auto"/>
        </w:rPr>
      </w:pPr>
      <w:r>
        <w:rPr>
          <w:rFonts w:ascii="Calibri" w:cs="Calibri" w:eastAsia="Calibri" w:hAnsi="Calibri"/>
          <w:sz w:val="17"/>
          <w:szCs w:val="17"/>
          <w:color w:val="auto"/>
        </w:rPr>
        <w:t>We hold a signifcant amount of bitcoin and are exposed to the impact of market price changes in bitcoin on our bitcoin holdings. Declines in the fair market value of bitcoin will impact the cash value that would be realized if we were to sell our bitcoin for cash, therefore having a negatve impact on our liquidity.</w:t>
      </w:r>
    </w:p>
    <w:p>
      <w:pPr>
        <w:spacing w:after="0" w:line="200" w:lineRule="exact"/>
        <w:rPr>
          <w:sz w:val="20"/>
          <w:szCs w:val="20"/>
          <w:color w:val="auto"/>
        </w:rPr>
      </w:pPr>
    </w:p>
    <w:p>
      <w:pPr>
        <w:spacing w:after="0" w:line="259" w:lineRule="exact"/>
        <w:rPr>
          <w:sz w:val="20"/>
          <w:szCs w:val="20"/>
          <w:color w:val="auto"/>
        </w:rPr>
      </w:pPr>
    </w:p>
    <w:p>
      <w:pPr>
        <w:ind w:right="20"/>
        <w:spacing w:after="0" w:line="227" w:lineRule="auto"/>
        <w:rPr>
          <w:sz w:val="20"/>
          <w:szCs w:val="20"/>
          <w:color w:val="auto"/>
        </w:rPr>
      </w:pPr>
      <w:r>
        <w:rPr>
          <w:rFonts w:ascii="Calibri" w:cs="Calibri" w:eastAsia="Calibri" w:hAnsi="Calibri"/>
          <w:sz w:val="18"/>
          <w:szCs w:val="18"/>
          <w:b w:val="1"/>
          <w:bCs w:val="1"/>
          <w:i w:val="1"/>
          <w:iCs w:val="1"/>
          <w:color w:val="auto"/>
        </w:rPr>
        <w:t>Our operatons and fnancial performance may be impacted by fuel supply disruptons, price fuctuatons in the wholesale power and natural gas markets, and fuctuatons in other market factors that are beyond our control.</w:t>
      </w:r>
    </w:p>
    <w:p>
      <w:pPr>
        <w:spacing w:after="0" w:line="97"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Our power generaton depends on our purchases of fuel and other products consumed during the producton of electricity from a number of suppliers. Our operatons and fnancial performance generally may be impacted by changes in the supply of fuel and other required products, price fuctuatons in the wholesale power and natural gas markets, and other market factors beyond our control.</w:t>
      </w:r>
    </w:p>
    <w:p>
      <w:pPr>
        <w:spacing w:after="0" w:line="219" w:lineRule="exact"/>
        <w:rPr>
          <w:sz w:val="20"/>
          <w:szCs w:val="20"/>
          <w:color w:val="auto"/>
        </w:rPr>
      </w:pPr>
    </w:p>
    <w:p>
      <w:pPr>
        <w:ind w:right="100"/>
        <w:spacing w:after="0" w:line="251" w:lineRule="auto"/>
        <w:rPr>
          <w:sz w:val="20"/>
          <w:szCs w:val="20"/>
          <w:color w:val="auto"/>
        </w:rPr>
      </w:pPr>
      <w:r>
        <w:rPr>
          <w:rFonts w:ascii="Calibri" w:cs="Calibri" w:eastAsia="Calibri" w:hAnsi="Calibri"/>
          <w:sz w:val="17"/>
          <w:szCs w:val="17"/>
          <w:color w:val="auto"/>
        </w:rPr>
        <w:t>Delivery of these fuels to our facilites is dependent upon fuel transmission or transportaton infrastructure, storage, and inventory of fuel stocks, as well as the contnuing fnancial viability of contractual counterpartes. As a result, we are subject to the risks of disruptons or curtailments in the producton of power at our generaton facility if fuel is limited or unavailable at any price, if a counterparty fails to perform, or if there is a disrupton in the fuel delivery infrastructure. Disrupton in the delivery of fuel, including disruptons as a result of weather, transportaton difcultes, global demand and supply dynamics, labor relatons, environmental regulatons or the fnancial viability of fuel suppliers, could adversely afect our ability to operate our facilites, which could result in lower power sales and/or higher costs to our cryptocurrency datacenter operatons and thereby adversely afect our results of operatons.</w:t>
      </w:r>
    </w:p>
    <w:p>
      <w:pPr>
        <w:spacing w:after="0" w:line="21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Separate from supply, market prices for power, capacity, ancillary services, natural gas, and oil are volatle, unpredictable and tend to fuctuate substantally. Disruptons in our fuel supplies may require us to fnd alternatve fuel sources at higher costs, to fnd other sources of power to deliver to counterpartes at a higher cost, or to pay damages to counterpartes for failure to deliver power as contracted. Unlike most other commodites, electric power can only be stored on a very limited basis and generally must be produced concurrently with its use. As a result, power prices and our costs are subject to signifcant volatlity due to supply and demand imbalances, especially in the day-ahead and spot markets. We buy signifcant quanttes of fuel on a short-term or spot market basis. Prices for the natural gas that we purchase fuctuate, sometmes rising or falling signifcantly over a relatvely short period of tme. The price we can obtain for the sale of power may not rise at the same rate, or may not rise at all, to match a rise in fuel or delivery costs. Further, any changes in the costs of natural gas or transportaton rates, changes in the relatonship between such costs and the market prices of power, or an inability to procure fuel for physical delivery at prices that we consider favorable could all adversely afect our operatons, the costs of meetng our obligatons, and the proftability of our cryptocurrency datacenter, and thus, our operatons and fnancial performance. Volatlity in market prices for fuel and electricity may result from a number of factors outside of our control, including:</w:t>
      </w:r>
    </w:p>
    <w:p>
      <w:pPr>
        <w:spacing w:after="0" w:line="117" w:lineRule="exact"/>
        <w:rPr>
          <w:sz w:val="20"/>
          <w:szCs w:val="20"/>
          <w:color w:val="auto"/>
        </w:rPr>
      </w:pPr>
    </w:p>
    <w:p>
      <w:pPr>
        <w:jc w:val="both"/>
        <w:ind w:left="660" w:right="500" w:hanging="328"/>
        <w:spacing w:after="0" w:line="258" w:lineRule="auto"/>
        <w:tabs>
          <w:tab w:leader="none" w:pos="653" w:val="left"/>
        </w:tabs>
        <w:numPr>
          <w:ilvl w:val="0"/>
          <w:numId w:val="16"/>
        </w:numPr>
        <w:rPr>
          <w:rFonts w:ascii="Calibri" w:cs="Calibri" w:eastAsia="Calibri" w:hAnsi="Calibri"/>
          <w:sz w:val="17"/>
          <w:szCs w:val="17"/>
          <w:color w:val="auto"/>
        </w:rPr>
      </w:pPr>
      <w:r>
        <w:rPr>
          <w:rFonts w:ascii="Calibri" w:cs="Calibri" w:eastAsia="Calibri" w:hAnsi="Calibri"/>
          <w:sz w:val="17"/>
          <w:szCs w:val="17"/>
          <w:color w:val="auto"/>
        </w:rPr>
        <w:t>changes in generaton capacity in our markets, including the additon of new supplies of power as a result of the development of new plants, expansion of existng plants, the contnued operaton of uneconomic power plants due to state subsidies, or additonal transmission capacity;</w:t>
      </w:r>
    </w:p>
    <w:p>
      <w:pPr>
        <w:spacing w:after="0" w:line="89" w:lineRule="exact"/>
        <w:rPr>
          <w:rFonts w:ascii="Calibri" w:cs="Calibri" w:eastAsia="Calibri" w:hAnsi="Calibri"/>
          <w:sz w:val="17"/>
          <w:szCs w:val="17"/>
          <w:color w:val="auto"/>
        </w:rPr>
      </w:pPr>
    </w:p>
    <w:p>
      <w:pPr>
        <w:ind w:left="640" w:hanging="308"/>
        <w:spacing w:after="0"/>
        <w:tabs>
          <w:tab w:leader="none" w:pos="64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disrupton to, changes in or other constraints or inefciencies of electricity, fuel or natural gas transmission, or transportaton;</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electric supply disruptons, including plant outages and transmission disruptons;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changes in market liquidity;</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weather conditons, including extreme weather conditons and seasonal fuctuatons, including the efects of climate change;</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changes in commodity prices and the supply of commodites, including but not limited to natural gas and oil;</w:t>
      </w:r>
    </w:p>
    <w:p>
      <w:pPr>
        <w:spacing w:after="0" w:line="109" w:lineRule="exact"/>
        <w:rPr>
          <w:rFonts w:ascii="Calibri" w:cs="Calibri" w:eastAsia="Calibri" w:hAnsi="Calibri"/>
          <w:sz w:val="18"/>
          <w:szCs w:val="18"/>
          <w:color w:val="auto"/>
        </w:rPr>
      </w:pPr>
    </w:p>
    <w:p>
      <w:pPr>
        <w:ind w:left="660" w:right="500" w:hanging="328"/>
        <w:spacing w:after="0" w:line="235" w:lineRule="auto"/>
        <w:tabs>
          <w:tab w:leader="none" w:pos="653"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changes in the demand for power or in paterns of power usage, including the potental development of demand-side management tools and practces, distributed generaton, and more efcient end-use technologies;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development of new fuels, new technologies, and new forms of competton for the producton of power;</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fuel price volatlity;</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changes in capacity prices and capacity markets;</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6" w:right="379" w:bottom="1440" w:gutter="0" w:footer="0" w:header="0"/>
        </w:sectPr>
      </w:pPr>
    </w:p>
    <w:bookmarkStart w:id="31" w:name="page32"/>
    <w:bookmarkEnd w:id="31"/>
    <w:p>
      <w:pPr>
        <w:ind w:left="660" w:hanging="328"/>
        <w:spacing w:after="0" w:line="235" w:lineRule="auto"/>
        <w:tabs>
          <w:tab w:leader="none" w:pos="653"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federal, state, and foreign governmental environmental, energy, and other regulaton and legislaton, including changes therein and judicial decisions interpretng such regulatons and legislaton;</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the creditworthiness and liquidity of fuel suppliers and/or transporters and their willingness to do business with us; and</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general economic and politcal conditons.</w:t>
      </w:r>
    </w:p>
    <w:p>
      <w:pPr>
        <w:spacing w:after="0" w:line="21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Such factors and the associated fuctuatons in power and natural gas prices have afected our wholesale power generaton proftability and cost of power for cryptocurrency datacenter actvites in the past and will contnue to do so in the future.</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Changes in technology may negatvely impact the value of our New York Facility and any future power plants.</w:t>
      </w:r>
    </w:p>
    <w:p>
      <w:pPr>
        <w:spacing w:after="0" w:line="15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Research and development actvites are ongoing in the industry to provide alternatve and more efcient technologies to produce power. There are alternate technologies to supply electricity, most notably fuel cells, micro turbines, bateries, windmills, and photovoltaic (solar) cells, the development of which are currently being subsidized and expanded by the State of New York, where we currently operate (as well as by state or local governments in areas where we may operate in the future), to address global climate change concerns. It is possible that technological advances will reduce the cost of alternatve generaton to a level that is equal to or below that of certain central staton producton. Also, as new technologies are developed and become available, the quantty and patern of electricity usage by customers could decline, with a corresponding decline in revenues derived by generators. These alternatve energy sources could result in a decline to the dispatch and capacity factors of our New York Facility. As a result of these factors, we may experience material declines in our power generaton revenue.</w:t>
      </w:r>
    </w:p>
    <w:p>
      <w:pPr>
        <w:spacing w:after="0" w:line="33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We sell capacity, energy, and ancillary services to the wholesale power grid managed by the NYISO. Our business may be afected by the actons of nearby states or other governmental actors in the compettve wholesale marketplace.</w:t>
      </w:r>
    </w:p>
    <w:p>
      <w:pPr>
        <w:spacing w:after="0" w:line="11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We sell capacity, energy, and ancillary services to the wholesale power grid managed by the NYISO. The compettve wholesale marketplace may be impacted by out-of-market subsidies provided by states or state enttes, including bailouts of uneconomic nuclear plants, imports of power from Canada, renewable mandates or subsidies, mandates to sell power below our cost of acquisiton and associated costs, as well as out-of-market payments to new or existng generators. These out-of-market subsidies to existng or new generaton undermine the compettve wholesale marketplace, which can lead to decreased energy market revenues or premature retrement of existng facilites, including those owned by us. If these measures contnue, capacity and energy prices may be suppressed, and we may not be successful in our eforts to insulate the compettve market from this interference. Our wholesale power revenue may be materially impacted by rules or regulatons that allow regulated utlites to partcipate in compettve wholesale markets or to own and operate rate-regulated facilites that provide capacity, energy, and ancillary services that could be provided by compettve market partcipants.</w:t>
      </w:r>
    </w:p>
    <w:p>
      <w:pPr>
        <w:spacing w:after="0" w:line="32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availability and cost of emission allowances could adversely impact our costs of operatons.</w:t>
      </w:r>
    </w:p>
    <w:p>
      <w:pPr>
        <w:spacing w:after="0" w:line="163" w:lineRule="exact"/>
        <w:rPr>
          <w:sz w:val="20"/>
          <w:szCs w:val="20"/>
          <w:color w:val="auto"/>
        </w:rPr>
      </w:pPr>
    </w:p>
    <w:p>
      <w:pPr>
        <w:ind w:right="140"/>
        <w:spacing w:after="0" w:line="226" w:lineRule="auto"/>
        <w:rPr>
          <w:sz w:val="20"/>
          <w:szCs w:val="20"/>
          <w:color w:val="auto"/>
        </w:rPr>
      </w:pPr>
      <w:r>
        <w:rPr>
          <w:rFonts w:ascii="Calibri" w:cs="Calibri" w:eastAsia="Calibri" w:hAnsi="Calibri"/>
          <w:sz w:val="18"/>
          <w:szCs w:val="18"/>
          <w:color w:val="auto"/>
        </w:rPr>
        <w:t>We are required to maintain, through either allocatons by regulators or purchases on the open market, sufcient emission allowances to account for emissions of SO</w:t>
      </w:r>
      <w:r>
        <w:rPr>
          <w:rFonts w:ascii="Calibri" w:cs="Calibri" w:eastAsia="Calibri" w:hAnsi="Calibri"/>
          <w:sz w:val="23"/>
          <w:szCs w:val="23"/>
          <w:color w:val="auto"/>
          <w:vertAlign w:val="subscript"/>
        </w:rPr>
        <w:t>2</w:t>
      </w:r>
      <w:r>
        <w:rPr>
          <w:rFonts w:ascii="Calibri" w:cs="Calibri" w:eastAsia="Calibri" w:hAnsi="Calibri"/>
          <w:sz w:val="18"/>
          <w:szCs w:val="18"/>
          <w:color w:val="auto"/>
        </w:rPr>
        <w:t>, CO</w:t>
      </w:r>
      <w:r>
        <w:rPr>
          <w:rFonts w:ascii="Calibri" w:cs="Calibri" w:eastAsia="Calibri" w:hAnsi="Calibri"/>
          <w:sz w:val="23"/>
          <w:szCs w:val="23"/>
          <w:color w:val="auto"/>
          <w:vertAlign w:val="subscript"/>
        </w:rPr>
        <w:t>2</w:t>
      </w:r>
      <w:r>
        <w:rPr>
          <w:rFonts w:ascii="Calibri" w:cs="Calibri" w:eastAsia="Calibri" w:hAnsi="Calibri"/>
          <w:sz w:val="18"/>
          <w:szCs w:val="18"/>
          <w:color w:val="auto"/>
        </w:rPr>
        <w:t>, and NO</w:t>
      </w:r>
      <w:r>
        <w:rPr>
          <w:rFonts w:ascii="Calibri" w:cs="Calibri" w:eastAsia="Calibri" w:hAnsi="Calibri"/>
          <w:sz w:val="23"/>
          <w:szCs w:val="23"/>
          <w:color w:val="auto"/>
          <w:vertAlign w:val="subscript"/>
        </w:rPr>
        <w:t>x</w:t>
      </w:r>
      <w:r>
        <w:rPr>
          <w:rFonts w:ascii="Calibri" w:cs="Calibri" w:eastAsia="Calibri" w:hAnsi="Calibri"/>
          <w:sz w:val="18"/>
          <w:szCs w:val="18"/>
          <w:color w:val="auto"/>
        </w:rPr>
        <w:t xml:space="preserve"> atributable to our power generaton facilites. These allowances are used to meet the obligatons imposed on us by various applicable environmental laws. If our operatonal needs require more than our allocated allowances, we may be forced to purchase such allowances on the open market, which could be costly. If we are unable to maintain sufcient emission allowances to match our operatonal needs, we may have to curtail our operatons so as not to exceed our available emission allowances, or install costly new emission controls. As we use the emission allowances that we have purchased on the open market, costs associated with such purchases will be recognized as operatng expense. A material increase in the price of allowances we need to purchase would adversely impact our fnancial conditon, cash fows, or results of operatons.</w:t>
      </w:r>
    </w:p>
    <w:p>
      <w:pPr>
        <w:spacing w:after="0" w:line="33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i w:val="1"/>
          <w:iCs w:val="1"/>
          <w:color w:val="auto"/>
        </w:rPr>
        <w:t>Our fnancial performance could be materially and adversely afected if energy market partcipants contnue to construct additonal generaton facilites (i.e., new-build) or expand or enhance existng generaton facilites despite relatvely low power prices and such additonal generaton capacity results in a reducton in wholesale power prices or more competton from cryptocurrency datacenter compettors with access to cheaper supplies of electricity.</w:t>
      </w:r>
    </w:p>
    <w:p>
      <w:pPr>
        <w:spacing w:after="0" w:line="11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Given the overall atractveness of the markets in which we operate, and certain tax benefts associated with renewable energy, among other maters, energy market partcipants have contnued to construct new generaton facilites (</w:t>
      </w:r>
      <w:r>
        <w:rPr>
          <w:rFonts w:ascii="Calibri" w:cs="Calibri" w:eastAsia="Calibri" w:hAnsi="Calibri"/>
          <w:sz w:val="18"/>
          <w:szCs w:val="18"/>
          <w:i w:val="1"/>
          <w:iCs w:val="1"/>
          <w:color w:val="auto"/>
        </w:rPr>
        <w:t>i.e.</w:t>
      </w:r>
      <w:r>
        <w:rPr>
          <w:rFonts w:ascii="Calibri" w:cs="Calibri" w:eastAsia="Calibri" w:hAnsi="Calibri"/>
          <w:sz w:val="18"/>
          <w:szCs w:val="18"/>
          <w:color w:val="auto"/>
        </w:rPr>
        <w:t>, new-build) or invest in enhancements or expansions of existng generaton facilites despite relatvely low wholesale power</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32" w:name="page33"/>
    <w:bookmarkEnd w:id="32"/>
    <w:p>
      <w:pPr>
        <w:ind w:right="180"/>
        <w:spacing w:after="0" w:line="235" w:lineRule="auto"/>
        <w:rPr>
          <w:sz w:val="20"/>
          <w:szCs w:val="20"/>
          <w:color w:val="auto"/>
        </w:rPr>
      </w:pPr>
      <w:r>
        <w:rPr>
          <w:rFonts w:ascii="Calibri" w:cs="Calibri" w:eastAsia="Calibri" w:hAnsi="Calibri"/>
          <w:sz w:val="18"/>
          <w:szCs w:val="18"/>
          <w:color w:val="auto"/>
        </w:rPr>
        <w:t>prices. If this market dynamic contnues, and/or if our cryptocurrency datacenter compettors begin to build or acquire their own power plants to fuel their cryptocurrency datacenter operatons, our results of operatons and fnancial conditon could be materially and adversely afected if such additonal generaton capacity results in a cheaper supply of electricity to our cryptocurrency datacenter compettors or lower prices at which we sell capacity, energy, or ancillary services to the wholesale power grid.</w:t>
      </w:r>
    </w:p>
    <w:p>
      <w:pPr>
        <w:spacing w:after="0" w:line="327" w:lineRule="exact"/>
        <w:rPr>
          <w:sz w:val="20"/>
          <w:szCs w:val="20"/>
          <w:color w:val="auto"/>
        </w:rPr>
      </w:pPr>
    </w:p>
    <w:p>
      <w:pPr>
        <w:ind w:right="580"/>
        <w:spacing w:after="0" w:line="235" w:lineRule="auto"/>
        <w:rPr>
          <w:sz w:val="20"/>
          <w:szCs w:val="20"/>
          <w:color w:val="auto"/>
        </w:rPr>
      </w:pPr>
      <w:r>
        <w:rPr>
          <w:rFonts w:ascii="Calibri" w:cs="Calibri" w:eastAsia="Calibri" w:hAnsi="Calibri"/>
          <w:sz w:val="18"/>
          <w:szCs w:val="18"/>
          <w:b w:val="1"/>
          <w:bCs w:val="1"/>
          <w:i w:val="1"/>
          <w:iCs w:val="1"/>
          <w:color w:val="auto"/>
        </w:rPr>
        <w:t>Maintenance, expansion, and refurbishment of power generaton facilites involve signifcant risks that could result in unplanned power outages or reduced output and could have a material adverse efect on our revenues, results of operatons, cash fows, and fnancial conditon.</w:t>
      </w:r>
    </w:p>
    <w:p>
      <w:pPr>
        <w:spacing w:after="0" w:line="110" w:lineRule="exact"/>
        <w:rPr>
          <w:sz w:val="20"/>
          <w:szCs w:val="20"/>
          <w:color w:val="auto"/>
        </w:rPr>
      </w:pPr>
    </w:p>
    <w:p>
      <w:pPr>
        <w:ind w:right="20"/>
        <w:spacing w:after="0" w:line="250" w:lineRule="auto"/>
        <w:rPr>
          <w:sz w:val="20"/>
          <w:szCs w:val="20"/>
          <w:color w:val="auto"/>
        </w:rPr>
      </w:pPr>
      <w:r>
        <w:rPr>
          <w:rFonts w:ascii="Calibri" w:cs="Calibri" w:eastAsia="Calibri" w:hAnsi="Calibri"/>
          <w:sz w:val="17"/>
          <w:szCs w:val="17"/>
          <w:color w:val="auto"/>
        </w:rPr>
        <w:t>Our facilites require periodic maintenance and repair. Any unexpected failure, including failure associated with breakdowns or forced outages, and any related unantcipated capital expenditures could result in reduced proftability from both loss of cryptocurrency datacenter operatons and power generaton. Such unexpected outages have occurred in the past, and may occur in the future, due to factors both within and outside of our control. We can provide no assurance that outages involving our power plant will not occur in the future, or that any such outage would not have a negatve efect on our business and results of operatons. In additon, we cannot be certain of the level of capital expenditures that will be required due to changing environmental laws (including changes in the interpretaton or enforcement thereof), needed facility repairs and unexpected events (such as natural disasters or terrorist atacks). Unexpected capital expenditures could have a material adverse efect on our liquidity and fnancial conditon. If we signifcantly modify power generaton equipment, we may be required to install the best available control technology or to achieve the lowest achievable emission rates, as such terms are defned under the new source review provisions of the Clean Air Act of 1963, which would likely result in substantal additonal capital expenditures.</w:t>
      </w:r>
    </w:p>
    <w:p>
      <w:pPr>
        <w:spacing w:after="0" w:line="350" w:lineRule="exact"/>
        <w:rPr>
          <w:sz w:val="20"/>
          <w:szCs w:val="20"/>
          <w:color w:val="auto"/>
        </w:rPr>
      </w:pPr>
    </w:p>
    <w:p>
      <w:pPr>
        <w:ind w:right="120"/>
        <w:spacing w:after="0"/>
        <w:rPr>
          <w:sz w:val="20"/>
          <w:szCs w:val="20"/>
          <w:color w:val="auto"/>
        </w:rPr>
      </w:pPr>
      <w:r>
        <w:rPr>
          <w:rFonts w:ascii="Calibri" w:cs="Calibri" w:eastAsia="Calibri" w:hAnsi="Calibri"/>
          <w:sz w:val="18"/>
          <w:szCs w:val="18"/>
          <w:b w:val="1"/>
          <w:bCs w:val="1"/>
          <w:i w:val="1"/>
          <w:iCs w:val="1"/>
          <w:color w:val="auto"/>
        </w:rPr>
        <w:t>Operaton of power generaton facilites involves signifcant risks and hazards that could disrupt or have a material adverse efect on our revenues and results of operatons, and we may not have adequate insurance to cover these risks and hazards. Our employees, contractors, customers, and the general public may be exposed to a risk of injury due to the nature of our operatons.</w:t>
      </w:r>
    </w:p>
    <w:p>
      <w:pPr>
        <w:spacing w:after="0" w:line="164" w:lineRule="exact"/>
        <w:rPr>
          <w:sz w:val="20"/>
          <w:szCs w:val="20"/>
          <w:color w:val="auto"/>
        </w:rPr>
      </w:pPr>
    </w:p>
    <w:p>
      <w:pPr>
        <w:ind w:right="140"/>
        <w:spacing w:after="0" w:line="241" w:lineRule="auto"/>
        <w:rPr>
          <w:sz w:val="20"/>
          <w:szCs w:val="20"/>
          <w:color w:val="auto"/>
        </w:rPr>
      </w:pPr>
      <w:r>
        <w:rPr>
          <w:rFonts w:ascii="Calibri" w:cs="Calibri" w:eastAsia="Calibri" w:hAnsi="Calibri"/>
          <w:sz w:val="18"/>
          <w:szCs w:val="18"/>
          <w:color w:val="auto"/>
        </w:rPr>
        <w:t>The conduct of our operatons, including operaton of our power plant, informaton technology systems, and other assets, is subject to a variety of inherent risks. These risks include the breakdown or failure of equipment, accidents, potental physical injury, hazardous spills and exposures, fres, property damage, security breaches, viruses or outages afectng informaton technology systems, labor disputes, obsolescence, delivery/ transportaton problems and disruptons of fuel supply, performance below expected levels, or other fnancial liability, and may be caused to or by employees, customers, contractors, vendors, contractual or fnancial counterpartes, other third partes, weather events, or acts of God.</w:t>
      </w:r>
    </w:p>
    <w:p>
      <w:pPr>
        <w:spacing w:after="0" w:line="166" w:lineRule="exact"/>
        <w:rPr>
          <w:sz w:val="20"/>
          <w:szCs w:val="20"/>
          <w:color w:val="auto"/>
        </w:rPr>
      </w:pPr>
    </w:p>
    <w:p>
      <w:pPr>
        <w:spacing w:after="0"/>
        <w:rPr>
          <w:sz w:val="20"/>
          <w:szCs w:val="20"/>
          <w:color w:val="auto"/>
        </w:rPr>
      </w:pPr>
      <w:r>
        <w:rPr>
          <w:rFonts w:ascii="Calibri" w:cs="Calibri" w:eastAsia="Calibri" w:hAnsi="Calibri"/>
          <w:sz w:val="18"/>
          <w:szCs w:val="18"/>
          <w:color w:val="auto"/>
        </w:rPr>
        <w:t>Operatonal disruptons or similar events may impact our ability to conduct our businesses efciently and lead to increased costs, expenses, or losses. Planned and unplanned outages at our power plants may require us to curtail operaton of the plant. Any reduced power supply could also have a negatve impact on the cost structure of our cryptocurrency datacenter operatons.</w:t>
      </w:r>
    </w:p>
    <w:p>
      <w:pPr>
        <w:spacing w:after="0" w:line="151" w:lineRule="exact"/>
        <w:rPr>
          <w:sz w:val="20"/>
          <w:szCs w:val="20"/>
          <w:color w:val="auto"/>
        </w:rPr>
      </w:pPr>
    </w:p>
    <w:p>
      <w:pPr>
        <w:ind w:right="80"/>
        <w:spacing w:after="0" w:line="244" w:lineRule="auto"/>
        <w:rPr>
          <w:sz w:val="20"/>
          <w:szCs w:val="20"/>
          <w:color w:val="auto"/>
        </w:rPr>
      </w:pPr>
      <w:r>
        <w:rPr>
          <w:rFonts w:ascii="Calibri" w:cs="Calibri" w:eastAsia="Calibri" w:hAnsi="Calibri"/>
          <w:sz w:val="18"/>
          <w:szCs w:val="18"/>
          <w:color w:val="auto"/>
        </w:rPr>
        <w:t>These and other hazards can cause signifcant personal injury or loss of life, severe damage to and destructon of property, plant and equipment, contaminaton of, or damage to, the environment and suspension of operatons. Further, the employees and contractors of our operatng afliates work in, and customers and the general public may be exposed to, potentally dangerous environments at or near our operatons. As a result, employees, contractors, customers, and the general public are at risk for serious injury, including loss of life.</w:t>
      </w:r>
    </w:p>
    <w:p>
      <w:pPr>
        <w:spacing w:after="0" w:line="146" w:lineRule="exact"/>
        <w:rPr>
          <w:sz w:val="20"/>
          <w:szCs w:val="20"/>
          <w:color w:val="auto"/>
        </w:rPr>
      </w:pPr>
    </w:p>
    <w:p>
      <w:pPr>
        <w:ind w:right="20"/>
        <w:spacing w:after="0" w:line="245" w:lineRule="auto"/>
        <w:rPr>
          <w:sz w:val="20"/>
          <w:szCs w:val="20"/>
          <w:color w:val="auto"/>
        </w:rPr>
      </w:pPr>
      <w:r>
        <w:rPr>
          <w:rFonts w:ascii="Calibri" w:cs="Calibri" w:eastAsia="Calibri" w:hAnsi="Calibri"/>
          <w:sz w:val="18"/>
          <w:szCs w:val="18"/>
          <w:color w:val="auto"/>
        </w:rPr>
        <w:t>The occurrence of one or more of these events may result in us or our afliates being named as a defendant in lawsuits assertng claims for substantal damages, including for environmental cleanup costs, personal injury and property damage and fnes and/or penaltes. We maintain an amount of insurance protecton that we consider adequate, but we can provide no assurance that our insurance will be sufcient or efectve under all circumstances and against all hazards or liabilites to which we may be subject and, even if we do have insurance coverage for a partcular circumstance, we may be subject to a large deductble and maximum cap. A successful claim for which we are not fully insured could hurt our fnancial results and materially harm our fnancial conditon. Further, due to rising insurance costs and changes in the insurance markets, we can provide no assurance that our insurance coverage will contnue to be available at all or at rates or on terms similar to those presently available. Any losses not covered by insurance could have a material adverse efect on our fnancial conditon, results of operatons, or cash fows.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3" w:name="page34"/>
    <w:bookmarkEnd w:id="33"/>
    <w:p>
      <w:pPr>
        <w:ind w:right="180"/>
        <w:spacing w:after="0"/>
        <w:rPr>
          <w:sz w:val="20"/>
          <w:szCs w:val="20"/>
          <w:color w:val="auto"/>
        </w:rPr>
      </w:pPr>
      <w:r>
        <w:rPr>
          <w:rFonts w:ascii="Calibri" w:cs="Calibri" w:eastAsia="Calibri" w:hAnsi="Calibri"/>
          <w:sz w:val="18"/>
          <w:szCs w:val="18"/>
          <w:b w:val="1"/>
          <w:bCs w:val="1"/>
          <w:i w:val="1"/>
          <w:iCs w:val="1"/>
          <w:color w:val="auto"/>
        </w:rPr>
        <w:t>Our business is subject to substantal energy regulaton and may be adversely afected by legislatve or regulatory changes relatng to climate change or policies regarding cryptocurrency mining, as well as liability under, or any future inability to comply with, existng or future energy regulatons or requirements.</w:t>
      </w:r>
    </w:p>
    <w:p>
      <w:pPr>
        <w:spacing w:after="0" w:line="164" w:lineRule="exact"/>
        <w:rPr>
          <w:sz w:val="20"/>
          <w:szCs w:val="20"/>
          <w:color w:val="auto"/>
        </w:rPr>
      </w:pPr>
    </w:p>
    <w:p>
      <w:pPr>
        <w:ind w:right="160"/>
        <w:spacing w:after="0" w:line="227" w:lineRule="auto"/>
        <w:rPr>
          <w:sz w:val="20"/>
          <w:szCs w:val="20"/>
          <w:color w:val="auto"/>
        </w:rPr>
      </w:pPr>
      <w:r>
        <w:rPr>
          <w:rFonts w:ascii="Calibri" w:cs="Calibri" w:eastAsia="Calibri" w:hAnsi="Calibri"/>
          <w:sz w:val="18"/>
          <w:szCs w:val="18"/>
          <w:color w:val="auto"/>
        </w:rPr>
        <w:t>Our business is subject to extensive U.S. federal, state, and local laws. Regulatory bodies, including the SEC, CFTC, federal energy regulators, and other fnancial oversight agencies, frequently modify and reinterpret existng rules, leading to inconsistencies across jurisdictons. Compliance with, or changes to, the requirements under these legal and regulatory regimes may cause us to incur signifcant additonal costs or adversely impact our ability to contnue operatons as usual or compete on favorable terms with compettors. Failure to comply with such requirements could result in the shutdown of a non-complying facility, the impositon of liens, fnes, civil or criminal liability, or costly litgaton before the agencies or in state or federal court. Changes to these laws and regulatons could result in temporary or permanent restrictons on certain operatons at our facilites, including power generaton or use in connecton with datacenter operatons, and compliance with or opposing such regulaton may be costly.</w:t>
      </w:r>
    </w:p>
    <w:p>
      <w:pPr>
        <w:spacing w:after="0" w:line="138" w:lineRule="exact"/>
        <w:rPr>
          <w:sz w:val="20"/>
          <w:szCs w:val="20"/>
          <w:color w:val="auto"/>
        </w:rPr>
      </w:pPr>
    </w:p>
    <w:p>
      <w:pPr>
        <w:ind w:right="120"/>
        <w:spacing w:after="0" w:line="228" w:lineRule="auto"/>
        <w:rPr>
          <w:sz w:val="20"/>
          <w:szCs w:val="20"/>
          <w:color w:val="auto"/>
        </w:rPr>
      </w:pPr>
      <w:r>
        <w:rPr>
          <w:rFonts w:ascii="Calibri" w:cs="Calibri" w:eastAsia="Calibri" w:hAnsi="Calibri"/>
          <w:sz w:val="18"/>
          <w:szCs w:val="18"/>
          <w:color w:val="auto"/>
        </w:rPr>
        <w:t>The regulatory environment has undergone signifcant changes in the last several years due to state and federal policies afectng wholesale competton and the creaton of incentves for the additon of large amounts of new renewable generaton and, in some cases, transmission. These changes are ongoing, and we cannot predict the future design of the wholesale power markets or the ultmate efect that the changing regulatory environment will have on our business.</w:t>
      </w:r>
    </w:p>
    <w:p>
      <w:pPr>
        <w:spacing w:after="0" w:line="137" w:lineRule="exact"/>
        <w:rPr>
          <w:sz w:val="20"/>
          <w:szCs w:val="20"/>
          <w:color w:val="auto"/>
        </w:rPr>
      </w:pPr>
    </w:p>
    <w:p>
      <w:pPr>
        <w:ind w:right="40"/>
        <w:spacing w:after="0" w:line="226" w:lineRule="auto"/>
        <w:rPr>
          <w:sz w:val="20"/>
          <w:szCs w:val="20"/>
          <w:color w:val="auto"/>
        </w:rPr>
      </w:pPr>
      <w:r>
        <w:rPr>
          <w:rFonts w:ascii="Calibri" w:cs="Calibri" w:eastAsia="Calibri" w:hAnsi="Calibri"/>
          <w:sz w:val="18"/>
          <w:szCs w:val="18"/>
          <w:color w:val="auto"/>
        </w:rPr>
        <w:t>Various governmental and regulatory bodies, including legislatve and executve bodies, in the United States and in other countries may adopt new laws and regulatons, the directon and tming of which may be infuenced by changes in the governing administratons and major events in the cryptocurrency industry. For example, following the failure of several prominent crypto trading venues and lending platorms, such as FTX, BlockFi, Celsius Networks, Voyager and Three Arrows Capital in 2022 (the “2022 Events”), the U.S. Congress expressed the need for both greater federal oversight of the cryptocurrency industry and comprehensive cryptocurrency legislaton. In the near future, various governmental and regulatory bodies, including in the United States, may introduce new policies, laws, and regulatons relatng to crypto assets and the cryptocurrency industry generally, and crypto asset platorms in partcular. The failures of risk management and other control functons at other companies that played a role in the 2022 Events could accelerate an existng regulatory trend toward stricter oversight of crypto asset platorms and the cryptocurrency industry. It is uncertain as to what efect stricter oversight and increased regulaton on the cryptocurrency industry may have on the prices of bitcoin or the costs of regulatory compliance, both of which may impact our results of operatons in the future and the market value of our common stock.</w:t>
      </w:r>
    </w:p>
    <w:p>
      <w:pPr>
        <w:spacing w:after="0" w:line="239" w:lineRule="exact"/>
        <w:rPr>
          <w:sz w:val="20"/>
          <w:szCs w:val="20"/>
          <w:color w:val="auto"/>
        </w:rPr>
      </w:pPr>
    </w:p>
    <w:p>
      <w:pPr>
        <w:spacing w:after="0" w:line="226" w:lineRule="auto"/>
        <w:rPr>
          <w:sz w:val="20"/>
          <w:szCs w:val="20"/>
          <w:color w:val="auto"/>
        </w:rPr>
      </w:pPr>
      <w:r>
        <w:rPr>
          <w:rFonts w:ascii="Calibri" w:cs="Calibri" w:eastAsia="Calibri" w:hAnsi="Calibri"/>
          <w:sz w:val="18"/>
          <w:szCs w:val="18"/>
          <w:color w:val="auto"/>
        </w:rPr>
        <w:t>In additon, in some of these markets, interested partes have proposed material market design changes, including the eliminaton of a single clearing price mechanism, as well as proposals to reinstate the vertcally-integrated monopoly model of utlity ownership or to require divestture by generatng companies to reduce their market share. If compettve restructuring of the electric power markets is reversed, discontnued, delayed, or materially altered, our business prospects and fnancial results could be negatvely impacted. In additon, since 2010, there have been a number of reforms to the regulaton of the derivatves markets, both in the United States and internatonally. These regulatons, and any further changes thereto, or adopton of additonal regulatons, including any regulatons relatng to positon limits on futures and other derivatves or margin for derivatves, could negatvely impact our ability to hedge our portolio in an efcient, cost-efectve manner by us, among other things, potentally decreasing liquidity in the forward commodity and derivatves markets or limitng our ability to utlize non-cash collateral for derivatves transactons.</w:t>
      </w: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Obtaining and complying with required government permits and approvals may be tme-consuming and costly.</w:t>
      </w:r>
    </w:p>
    <w:p>
      <w:pPr>
        <w:spacing w:after="0" w:line="163" w:lineRule="exact"/>
        <w:rPr>
          <w:sz w:val="20"/>
          <w:szCs w:val="20"/>
          <w:color w:val="auto"/>
        </w:rPr>
      </w:pPr>
    </w:p>
    <w:p>
      <w:pPr>
        <w:ind w:right="20"/>
        <w:spacing w:after="0" w:line="226" w:lineRule="auto"/>
        <w:rPr>
          <w:sz w:val="20"/>
          <w:szCs w:val="20"/>
          <w:color w:val="auto"/>
        </w:rPr>
      </w:pPr>
      <w:r>
        <w:rPr>
          <w:rFonts w:ascii="Calibri" w:cs="Calibri" w:eastAsia="Calibri" w:hAnsi="Calibri"/>
          <w:sz w:val="18"/>
          <w:szCs w:val="18"/>
          <w:color w:val="auto"/>
        </w:rPr>
        <w:t>We and our afliates are required to obtain, and to comply with, numerous permits and licenses from federal, state, and local governmental agencies. The process of obtaining and renewing necessary permits and licenses can be lengthy and complex, requiring up to months or years for approval depending on the nature of the permit or license and such process could be further complicated or extended in the event regulatons change. In additon, obtaining such permit or license can sometmes result in the establishment of conditons that create a signifcant ongoing impact to the nature or costs of operatons or even make the project or actvity for which the permit or license was sought unproftable or otherwise unatractve. In additon, such permits or licenses may be subject to denial, revocaton, or modifcaton under various circumstances. Failure to obtain or comply with the conditons of permits or licenses, or failure to comply with applicable laws or regulatons, may result in the delay or temporary suspension of our operatons and electricity sales or the curtailment of our delivery of electricity to our customers and may subject us to penaltes and other sanctons. Although various regulators routnely renew existng permits and licenses, renewal of our existng permits or licenses could be denied or jeopardized by various factors, including failure to provide adequate fnancial assurance for closure, failure to comply with environmental, health and safety laws and regulatons or permit conditons, local community, politcal or other oppositon and executve, legislatve, or regulatory acton. For example, in June 2022 the NYSDEC denied the renewal of our air permit known as a Title V permit, one of our most signifcant environmental permits, on the basis of a New York environmental law. While we have appealed this denial and successfully secured the ability to contnue to</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4" w:name="page35"/>
    <w:bookmarkEnd w:id="34"/>
    <w:p>
      <w:pPr>
        <w:ind w:right="220"/>
        <w:spacing w:after="0" w:line="227" w:lineRule="auto"/>
        <w:rPr>
          <w:sz w:val="20"/>
          <w:szCs w:val="20"/>
          <w:color w:val="auto"/>
        </w:rPr>
      </w:pPr>
      <w:r>
        <w:rPr>
          <w:rFonts w:ascii="Calibri" w:cs="Calibri" w:eastAsia="Calibri" w:hAnsi="Calibri"/>
          <w:sz w:val="18"/>
          <w:szCs w:val="18"/>
          <w:color w:val="auto"/>
        </w:rPr>
        <w:t>operate the New York Facility under our existng Title V permit during the pendency of the administratve and legal proceedings which remain ongoing, the ultmate outcome on our Title V permit renewal applicaton remains uncertain.</w:t>
      </w:r>
    </w:p>
    <w:p>
      <w:pPr>
        <w:spacing w:after="0" w:line="138" w:lineRule="exact"/>
        <w:rPr>
          <w:sz w:val="20"/>
          <w:szCs w:val="20"/>
          <w:color w:val="auto"/>
        </w:rPr>
      </w:pPr>
    </w:p>
    <w:p>
      <w:pPr>
        <w:ind w:right="140"/>
        <w:spacing w:after="0" w:line="229" w:lineRule="auto"/>
        <w:rPr>
          <w:sz w:val="20"/>
          <w:szCs w:val="20"/>
          <w:color w:val="auto"/>
        </w:rPr>
      </w:pPr>
      <w:r>
        <w:rPr>
          <w:rFonts w:ascii="Calibri" w:cs="Calibri" w:eastAsia="Calibri" w:hAnsi="Calibri"/>
          <w:sz w:val="18"/>
          <w:szCs w:val="18"/>
          <w:color w:val="auto"/>
        </w:rPr>
        <w:t>Our inability to procure and comply with the permits and licenses required for these operatons, or the cost to us of such procurement or compliance, could have a material adverse efect on us. In additon, new environmental legislaton or regulaton, if enacted, or changed interpretatons of existng laws, may cause actvites at our facilites to need to be changed to avoid violatng applicable laws and regulatons or elicitng claims that historical actvites at our facilites violated applicable laws and regulatons. In additon to the possible impositon of fnes in the case of any such violatons, we may be required to undertake signifcant capital investments and obtain additonal operatng permits or licenses, which could have a material adverse efect on us.</w:t>
      </w:r>
    </w:p>
    <w:p>
      <w:pPr>
        <w:spacing w:after="0" w:line="383"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b w:val="1"/>
          <w:bCs w:val="1"/>
          <w:i w:val="1"/>
          <w:iCs w:val="1"/>
          <w:color w:val="auto"/>
        </w:rPr>
        <w:t>Evolving expectatons from investors, lenders, customers, government regulators and other market partcipants with respect to our ESG policies and the impacts of climate change may impose additonal costs on us or expose us to additonal risks.</w:t>
      </w:r>
    </w:p>
    <w:p>
      <w:pPr>
        <w:spacing w:after="0" w:line="164" w:lineRule="exact"/>
        <w:rPr>
          <w:sz w:val="20"/>
          <w:szCs w:val="20"/>
          <w:color w:val="auto"/>
        </w:rPr>
      </w:pPr>
    </w:p>
    <w:p>
      <w:pPr>
        <w:ind w:right="60"/>
        <w:spacing w:after="0" w:line="244" w:lineRule="auto"/>
        <w:rPr>
          <w:sz w:val="20"/>
          <w:szCs w:val="20"/>
          <w:color w:val="auto"/>
        </w:rPr>
      </w:pPr>
      <w:r>
        <w:rPr>
          <w:rFonts w:ascii="Calibri" w:cs="Calibri" w:eastAsia="Calibri" w:hAnsi="Calibri"/>
          <w:sz w:val="18"/>
          <w:szCs w:val="18"/>
          <w:color w:val="auto"/>
        </w:rPr>
        <w:t>Companies across all industries and around the globe have faced scrutny relatng to their ESG policies. Investors, lenders, and other market partcipants contnue to evaluate ESG practces, with some placing greater importance on the implicatons and social cost of their investments. This focus and actvism related to ESG may hinder our access to capital, as investors and lenders may reconsider their capital investment allocaton as a result of their assessment of our ESG practces. If we do not adapt to or comply with investor, lender, or other industry stakeholder expectatons and standards and potental government regulatons, which are evolving but may relate to the suitable deployment of electric power, or which are perceived to have not responded appropriately to the growing concern for ESG issues, our reputaton may sufer, which would have a material adverse efect on our business, fnancial conditon, and results of operatons.</w:t>
      </w:r>
    </w:p>
    <w:p>
      <w:pPr>
        <w:spacing w:after="0" w:line="151" w:lineRule="exact"/>
        <w:rPr>
          <w:sz w:val="20"/>
          <w:szCs w:val="20"/>
          <w:color w:val="auto"/>
        </w:rPr>
      </w:pPr>
    </w:p>
    <w:p>
      <w:pPr>
        <w:spacing w:after="0" w:line="227" w:lineRule="auto"/>
        <w:rPr>
          <w:sz w:val="20"/>
          <w:szCs w:val="20"/>
          <w:color w:val="auto"/>
        </w:rPr>
      </w:pPr>
      <w:r>
        <w:rPr>
          <w:rFonts w:ascii="Calibri" w:cs="Calibri" w:eastAsia="Calibri" w:hAnsi="Calibri"/>
          <w:sz w:val="18"/>
          <w:szCs w:val="18"/>
          <w:color w:val="auto"/>
        </w:rPr>
        <w:t>The SEC adopted a rule that requires climate disclosures in periodic and other flings with the SEC covering fscal years beginning in 2025, however, this rule has been stayed pending the completon of a judicial review. If the rule takes efect in its current form, we may be required to establish additonal internal controls, engage additonal consultants and incur additonal costs related to evaluatng, managing and reportng on our environmental impact and climate-related risks and opportunites. If we fail to implement sufcient oversight or accurately capture and disclose on environmental maters, our reputaton, business, operatng results and fnancial conditon may be materially and adversely afected. Furthermore, increased public awareness and concern regarding environmental risks, including global climate change, may result in increased public scrutny of our business and our industry, and our management team may divert signifcant tme and energy away from our operatons and towards responding to such scrutny.</w:t>
      </w:r>
    </w:p>
    <w:p>
      <w:pPr>
        <w:spacing w:after="0" w:line="233" w:lineRule="exact"/>
        <w:rPr>
          <w:sz w:val="20"/>
          <w:szCs w:val="20"/>
          <w:color w:val="auto"/>
        </w:rPr>
      </w:pPr>
    </w:p>
    <w:p>
      <w:pPr>
        <w:ind w:right="80"/>
        <w:spacing w:after="0" w:line="228" w:lineRule="auto"/>
        <w:rPr>
          <w:sz w:val="20"/>
          <w:szCs w:val="20"/>
          <w:color w:val="auto"/>
        </w:rPr>
      </w:pPr>
      <w:r>
        <w:rPr>
          <w:rFonts w:ascii="Calibri" w:cs="Calibri" w:eastAsia="Calibri" w:hAnsi="Calibri"/>
          <w:sz w:val="18"/>
          <w:szCs w:val="18"/>
          <w:color w:val="auto"/>
        </w:rPr>
        <w:t>In additon, the physical risks of climate change may impact the availability and cost of materials and natural resources, sources and supplies of energy, and demand for bitcoin and other cryptocurrencies, and could increase our insurance and other operatng costs, including, potentally, to repair damage incurred as a result of extreme weather events or to renovate or retroft facilites to beter withstand extreme weather events. If environmental laws or regulatons or industry standards are either changed or adopted and impose signifcant operatonal restrictons and compliance requirements on our operatons, or if our operatons are disrupted due to physical impacts of climate change, our business, capital expenditures, results of operatons, fnancial conditon and compettve positon could be negatvely impacted.</w:t>
      </w:r>
    </w:p>
    <w:p>
      <w:pPr>
        <w:spacing w:after="0" w:line="233" w:lineRule="exact"/>
        <w:rPr>
          <w:sz w:val="20"/>
          <w:szCs w:val="20"/>
          <w:color w:val="auto"/>
        </w:rPr>
      </w:pPr>
    </w:p>
    <w:p>
      <w:pPr>
        <w:ind w:right="180"/>
        <w:spacing w:after="0" w:line="274" w:lineRule="auto"/>
        <w:rPr>
          <w:sz w:val="20"/>
          <w:szCs w:val="20"/>
          <w:color w:val="auto"/>
        </w:rPr>
      </w:pPr>
      <w:r>
        <w:rPr>
          <w:rFonts w:ascii="Calibri" w:cs="Calibri" w:eastAsia="Calibri" w:hAnsi="Calibri"/>
          <w:sz w:val="17"/>
          <w:szCs w:val="17"/>
          <w:b w:val="1"/>
          <w:bCs w:val="1"/>
          <w:i w:val="1"/>
          <w:iCs w:val="1"/>
          <w:color w:val="auto"/>
        </w:rPr>
        <w:t>We could be materially and adversely afected if current regulatons are implemented or if new federal or state legislaton or regulatons are adopted to address global climate change, or if we are subject to lawsuits for alleged damage to persons or property resultng from greenhouse gas emissions.</w:t>
      </w:r>
    </w:p>
    <w:p>
      <w:pPr>
        <w:spacing w:after="0" w:line="77" w:lineRule="exact"/>
        <w:rPr>
          <w:sz w:val="20"/>
          <w:szCs w:val="20"/>
          <w:color w:val="auto"/>
        </w:rPr>
      </w:pPr>
    </w:p>
    <w:p>
      <w:pPr>
        <w:ind w:right="40"/>
        <w:spacing w:after="0" w:line="241" w:lineRule="auto"/>
        <w:rPr>
          <w:sz w:val="20"/>
          <w:szCs w:val="20"/>
          <w:color w:val="auto"/>
        </w:rPr>
      </w:pPr>
      <w:r>
        <w:rPr>
          <w:rFonts w:ascii="Calibri" w:cs="Calibri" w:eastAsia="Calibri" w:hAnsi="Calibri"/>
          <w:sz w:val="18"/>
          <w:szCs w:val="18"/>
          <w:color w:val="auto"/>
        </w:rPr>
        <w:t>There remains signifcant natonal and internatonal atenton on global climate change and the role of greenhouse gas emissions, such as CO</w:t>
      </w:r>
      <w:r>
        <w:rPr>
          <w:rFonts w:ascii="Calibri" w:cs="Calibri" w:eastAsia="Calibri" w:hAnsi="Calibri"/>
          <w:sz w:val="23"/>
          <w:szCs w:val="23"/>
          <w:color w:val="auto"/>
          <w:vertAlign w:val="subscript"/>
        </w:rPr>
        <w:t>2</w:t>
      </w:r>
      <w:r>
        <w:rPr>
          <w:rFonts w:ascii="Calibri" w:cs="Calibri" w:eastAsia="Calibri" w:hAnsi="Calibri"/>
          <w:sz w:val="18"/>
          <w:szCs w:val="18"/>
          <w:color w:val="auto"/>
        </w:rPr>
        <w:t>. Over the past several years, the U.S. Congress and state and federal authorites have considered and debated several proposals intended to address climate change using diferent approaches, including a cap on carbon emissions with emiters allowed to trade unused emission allowances (cap-and-trade), a tax on carbon or greenhouse gas emissions, limits on the use of generated power in connecton with cryptocurrency mining, incentves for the development of low-carbon technology, and federal renewable portolio standards. Federal and state courts contnue to see climate-related litgaton, with cases assertng damage claims related to greenhouse gas emissions, the rulings of which could establish adverse precedent that may apply to companies (including us) that produce greenhouse gas emissions. Our results of operatons and fnancial conditon could be materially and adversely afected if new federal and/or state legislaton or regulatons are adopted to address global climate change or if we are subject to lawsuits for alleged damage to persons or property resultng from greenhouse gas emissions atributable to our operatons.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5" w:name="page36"/>
    <w:bookmarkEnd w:id="35"/>
    <w:p>
      <w:pPr>
        <w:spacing w:after="0"/>
        <w:rPr>
          <w:sz w:val="20"/>
          <w:szCs w:val="20"/>
          <w:color w:val="auto"/>
        </w:rPr>
      </w:pPr>
      <w:r>
        <w:rPr>
          <w:rFonts w:ascii="Calibri" w:cs="Calibri" w:eastAsia="Calibri" w:hAnsi="Calibri"/>
          <w:sz w:val="18"/>
          <w:szCs w:val="18"/>
          <w:i w:val="1"/>
          <w:iCs w:val="1"/>
          <w:u w:val="single" w:color="auto"/>
          <w:color w:val="auto"/>
        </w:rPr>
        <w:t>Risks Related to Bitcoin and Cryptocurrency Industry</w:t>
      </w:r>
    </w:p>
    <w:p>
      <w:pPr>
        <w:spacing w:after="0" w:line="325"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If a malicious actor or botnet obtains control of more than 50% of the processing power on the bitcoin network, such actor or botnet could manipulate the network to adversely afect us, which could adversely afect our results of operatons.</w:t>
      </w:r>
    </w:p>
    <w:p>
      <w:pPr>
        <w:spacing w:after="0" w:line="110"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If a malicious actor or botnet, a collecton of computers controlled by networked sofware coordinatng the actons of the computers, obtains control over 50% of the processing power dedicated to mining bitcoin, such actor may be able to construct fraudulent blocks or prevent certain transactons from completng in a tmely manner, or at all. The malicious actor or botnet could control, exclude, or modify the order of transactons, though it could not generate new units or transactons using such control. The malicious actor could also "double-spend," or spend the same bitcoin in more than one transacton, or it could prevent transactons from being validated. In certain instances, reversing any fraudulent or malicious changes made to the bitcoin blockchain may not be possible.</w:t>
      </w:r>
    </w:p>
    <w:p>
      <w:pPr>
        <w:spacing w:after="0" w:line="22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Although there are no known reports of malicious actvity or control of blockchains achieved through controlling over 50% of the processing power on the bitcoin network, it is believed that certain mining pools may have exceeded, and could exceed, the 50% threshold on the bitcoin network. This possibility creates a greater risk that a single mining pool could exert authority over the validaton of bitcoin transactons. To the extent that the bitcoin ecosystem, and the administrators of mining pools, do not have adequate controls and responses in place, the risk of a malicious actor obtaining control of the processing power may increase. If such an event were to occur, it could have a material adverse efect on our business, prospects, or operatons and potentally the value of any bitcoin we mine or otherwise acquire or hold for our own account.</w:t>
      </w:r>
    </w:p>
    <w:p>
      <w:pPr>
        <w:spacing w:after="0" w:line="329"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b w:val="1"/>
          <w:bCs w:val="1"/>
          <w:i w:val="1"/>
          <w:iCs w:val="1"/>
          <w:color w:val="auto"/>
        </w:rPr>
        <w:t>If bitcoin or other cryptocurrencies are determined to be investment securites, and we hold a signifcant porton of our assets in such cryptocurrency, investment securites or non-controlling equity interests of other enttes, we may inadvertently violate the Investment Company Act or other securites laws. We could incur large losses to modify our operatons to avoid the need to register as an investment company or could incur signifcant expenses to register as an investment company or could terminate operatons altogether.</w:t>
      </w:r>
    </w:p>
    <w:p>
      <w:pPr>
        <w:spacing w:after="0" w:line="11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Under the Investment Company Act of 1940, as amended (the "Investment Company Act"), a company may be deemed an investment company if the value of our investment securites is more than 40% of its total assets (exclusive of government securites and cash items) on an unconsolidated basis. At the present tme, the SEC does not deem the bitcoin that we own, acquire or mine as an investment security, and we do not believe any of the bitcoin we own, acquire, or mine to be securites. However, SEC rules and applicable law are subject to change, especially in the evolving world of cryptocurrency, and further, the Investment Company Act analysis may not be uniform across all forms of cryptocurrency that we might mine or hold.</w:t>
      </w:r>
    </w:p>
    <w:p>
      <w:pPr>
        <w:spacing w:after="0" w:line="220"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If the SEC or other regulatory body were to determine that bitcoin, or any other cryptocurrency that we may mine or hold in the future, consttutes an investment security subject to the Investment Company Act, and if we were to hold a signifcant porton of our total assets in such bitcoin or other cryptocurrency as a result of our cryptocurrency datacenter actvites and/or in investments in which we do not have a controlling interest, the investment securites we hold could exceed 40% of our total assets, exclusive of cash items. Such a situaton could be hastened if we choose to hold more of our mined bitcoin or other cryptocurrency rather than convertng our mined bitcoin or cryptocurrency in signifcant part to U.S. dollars.</w:t>
      </w:r>
    </w:p>
    <w:p>
      <w:pPr>
        <w:spacing w:after="0" w:line="22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such an event, we may determine that we have become an investment company. Limited exemptons are available under the Investment Company Act, including an exempton grantng an inadvertent investment company a one-year grace period from registraton as an investment company. In that year, we would be required to take actons to cause the investment securites held by us to be less than 40% of our total assets, which could include acquiring assets with our cash and bitcoin or other cryptocurrency on hand, liquidatng our investment securites or bitcoin or seeking a no-acton leter from the SEC if we are unable to acquire sufcient assets or liquidate sufcient investment securites in a tmely manner. Such actons could require signifcant cost, disrupton to our operatons or growth plans, and diversion of management tme and atenton.</w:t>
      </w:r>
    </w:p>
    <w:p>
      <w:pPr>
        <w:spacing w:after="0" w:line="221"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If we were unable to qualify for an exempton from registraton as an investment company, or fail to take adequate steps within the one-year grace period for inadvertent investment companies, we would need to register with the SEC as an investment company under the Investment Company Act or cease almost all business, and our contracts would become voidable. Investment company registraton is tme-consuming and would require a restructuring of our business.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6" w:right="359" w:bottom="1440" w:gutter="0" w:footer="0" w:header="0"/>
        </w:sectPr>
      </w:pPr>
    </w:p>
    <w:bookmarkStart w:id="36" w:name="page37"/>
    <w:bookmarkEnd w:id="36"/>
    <w:p>
      <w:pPr>
        <w:jc w:val="both"/>
        <w:ind w:right="140"/>
        <w:spacing w:after="0" w:line="235" w:lineRule="auto"/>
        <w:rPr>
          <w:sz w:val="20"/>
          <w:szCs w:val="20"/>
          <w:color w:val="auto"/>
        </w:rPr>
      </w:pPr>
      <w:r>
        <w:rPr>
          <w:rFonts w:ascii="Calibri" w:cs="Calibri" w:eastAsia="Calibri" w:hAnsi="Calibri"/>
          <w:sz w:val="18"/>
          <w:szCs w:val="18"/>
          <w:color w:val="auto"/>
        </w:rPr>
        <w:t>Moreover, the operaton of an investment company is very costly and restrictve, as investment companies are subject to substantal regulaton concerning management, operatons, transactons with afliated persons and portolio compositon, and Investment Company Act fling requirements. The cost of such compliance would result in us incurring substantal additonal expenses, and the failure to register if required would have a materially adverse impact on our operatons.</w:t>
      </w:r>
    </w:p>
    <w:p>
      <w:pPr>
        <w:spacing w:after="0" w:line="327"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b w:val="1"/>
          <w:bCs w:val="1"/>
          <w:i w:val="1"/>
          <w:iCs w:val="1"/>
          <w:color w:val="auto"/>
        </w:rPr>
        <w:t>Current regulaton regarding the exchange of bitcoins under the CEA by the CFTC is unclear; to the extent we become subject to regulaton by the CFTC in connecton with our exchange of bitcoin, we may incur additonal compliance costs, which may be signifcant.</w:t>
      </w:r>
    </w:p>
    <w:p>
      <w:pPr>
        <w:spacing w:after="0" w:line="110"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The Commodity Exchange Act, as amended (the "CEA"), does not currently impose any direct obligatons on us related to the mining or exchange of bitcoins. Generally, the Commodity Futures Trading Commission ("CFTC"), the federal agency that administers the CEA, regards bitcoin and other cryptocurrencies as commodites. This positon has been supported by decisions of federal courts.</w:t>
      </w:r>
    </w:p>
    <w:p>
      <w:pPr>
        <w:spacing w:after="0" w:line="21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However, the CEA imposes requirements relatve to certain transactons involving bitcoin and other digital assets that consttute a contract of sale of a commodity for future delivery (or an opton on such a contract), a swap, or a transacton involving margin, fnancing or leverage that does not result in actual delivery of the commodity within 28 days to persons not defned as "eligible contract partcipants" or "eligible commercial enttes" under the CEA (e.g., retail persons). Changes in the CEA or the regulatons promulgated by the CFTC thereunder, as well as interpretatons thereof and ofcial promulgatons by the CFTC, may impact the classifcaton of bitcoins and, therefore, may subject them to additonal regulatory oversight by the agency.</w:t>
      </w:r>
    </w:p>
    <w:p>
      <w:pPr>
        <w:spacing w:after="0" w:line="22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We cannot be certain as to how future regulatory developments will impact the treatment of bitcoins under the law. Any requirements imposed by the CFTC related to our cryptocurrency datacenter actvites or our transactons in bitcoin could cause us to incur additonal extraordinary, nonrecurring expenses, thereby adversely afectng our results of operatons. In additon, changes in the classifcaton of bitcoins could subject us, as a result of our cryptocurrency datacenter operatons, to additonal regulatory oversight by the agency. Although to date the CFTC has not enacted regulatons governing non-derivatve or non-fnanced, margined or leveraged transactons in bitcoin, it has authority to commence enforcement actons against persons who violate certain prohibitons under the CEA related to transactons in any contract of sale of any commodity, including bitcoin, in interstate commerce (e.g., manipulaton and engaging in certain deceptve practces).</w:t>
      </w:r>
    </w:p>
    <w:p>
      <w:pPr>
        <w:spacing w:after="0" w:line="22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Moreover, if our cryptocurrency datacenter actvites or transactons in bitcoin were deemed by the CFTC to consttute a collectve investment in derivatves for our shareholders, we may be required to register as a commodity pool operator with the CFTC through the Natonal Futures Associaton. Such additonal registratons may result in extraordinary, non-recurring expenses, thereby materially and adversely impactng our results of operatons. If we determine not to comply with such additonal regulatory and registraton requirements, we may seek to cease certain of our operatons. Any such acton may adversely afect our results of operatons. While no provision of the CEA, or CFTC rules, orders, or rulings (except as noted herein) appears to be currently applicable to our business, this is subject to change.</w:t>
      </w:r>
    </w:p>
    <w:p>
      <w:pPr>
        <w:spacing w:after="0" w:line="329"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b w:val="1"/>
          <w:bCs w:val="1"/>
          <w:i w:val="1"/>
          <w:iCs w:val="1"/>
          <w:color w:val="auto"/>
        </w:rPr>
        <w:t>If federal or state legislatures or agencies initate or release tax determinatons that change the classifcaton of bitcoins as property for tax purposes (in the context of when such bitcoins are held as an investment), such determinaton could have a negatve tax consequence on us.</w:t>
      </w:r>
    </w:p>
    <w:p>
      <w:pPr>
        <w:spacing w:after="0" w:line="110"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color w:val="auto"/>
        </w:rPr>
        <w:t>Current IRS guidance indicates that digital assets such as bitcoin should be treated and taxed as property, and that transactons involving the payment of bitcoin for goods and services should be treated as barter transactons.</w:t>
      </w:r>
    </w:p>
    <w:p>
      <w:pPr>
        <w:spacing w:after="0" w:line="21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While this treatment creates a potental tax reportng requirement for any circumstance where the ownership of a bitcoin passes from one person to another, usually by means of bitcoin transactons (including of-blockchain transactons), it preserves the right to apply capital gains treatment to those transactons which may adversely afect our results of operatons. We can provide no assurance that the IRS will not alter its existng positon with respect to digital assets in the future or that other state, local and non-U.S. taxing authorites or courts will follow the approach of the IRS with respect to the treatment of digital assets such as bitcoins for income tax and sales tax purposes. Any such alteraton of existng guidance or issuance of new or diferent guidance may have negatve consequences including the impositon of a greater tax burden on investors in bitcoin or imposing a greater cost on the acquisiton and dispositon of bitcoin, generally; in either case potentally having a negatve efect on the trading price of bitcoin or otherwise negatvely impactng our business. In 2021, signifcant changes to U.S. federal income tax laws were proposed, including changes related to</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7" w:name="page38"/>
    <w:bookmarkEnd w:id="37"/>
    <w:p>
      <w:pPr>
        <w:spacing w:after="0" w:line="235" w:lineRule="auto"/>
        <w:rPr>
          <w:sz w:val="20"/>
          <w:szCs w:val="20"/>
          <w:color w:val="auto"/>
        </w:rPr>
      </w:pPr>
      <w:r>
        <w:rPr>
          <w:rFonts w:ascii="Calibri" w:cs="Calibri" w:eastAsia="Calibri" w:hAnsi="Calibri"/>
          <w:sz w:val="18"/>
          <w:szCs w:val="18"/>
          <w:color w:val="auto"/>
        </w:rPr>
        <w:t>informaton reportng requirements with respect to digital assets. On June 28, 2024, the U.S. Department of the Treasury issued fnal regulatons detailing these reportng requirements. A key component is the introducton of Form 1099-DA, which brokers are required to use to report gross proceeds from the sale of digital assets startng with transactons occurring on or afer January 1, 2025. This means that transactons conducted in 2025 will be reported to the IRS in 2026. However, there have been legislatve eforts to repeal certain aspects of these reportng requirements. In March 2025, both the U.S. Senate and the House of Representatves voted to repeal the rule mandatng decentralized fnance (DeFi) cryptocurrency platorms to report detailed customer transactons to the IRS, refectng bipartsan concerns over compliance costs and the unique nature of DeFi platorms. The future of these reportng requirements is uncertain, pending the fnalizaton of the legislatve process. If the repeal is fnalized, it could impact the enforcement of the current reportng mandates. Therefore, the efect of these proposals, if enacted, on our operatons remains uncertain.</w:t>
      </w:r>
    </w:p>
    <w:p>
      <w:pPr>
        <w:spacing w:after="0" w:line="331"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b w:val="1"/>
          <w:bCs w:val="1"/>
          <w:i w:val="1"/>
          <w:iCs w:val="1"/>
          <w:color w:val="auto"/>
        </w:rPr>
        <w:t>Regulatory changes or actons may alter the nature of an investment in us or restrict the use of bitcoin in a manner that adversely afects our business, prospects, results of operatons and fnancial conditon.</w:t>
      </w:r>
    </w:p>
    <w:p>
      <w:pPr>
        <w:spacing w:after="0" w:line="110"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As bitcoin and cryptocurrencies generally have grown in both popularity and market size, governments around the world have reacted diferently to them; certain governments have deemed them illegal, and others have allowed their use and trade without restricton. Based on stated eforts to curtail energy usage on mining, to protect investors or to prevent criminal actvity, and in part to redirect interest into competng government-created cryptocurrencies, recent regulatons have proliferated. Many jurisdictons, such as the United States, subject bitcoin and other cryptocurrencies to extensive, and in some cases overlapping, unclear and evolving regulatory requirements.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auto"/>
        </w:rPr>
        <w:t>Such varying government regulatons and pronouncements are likely to contnue for the near future.</w:t>
      </w:r>
    </w:p>
    <w:p>
      <w:pPr>
        <w:spacing w:after="0" w:line="21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In the United States., the Federal Reserve Board, U.S. Congress and certain U.S. agencies (e.g., the CFTC, the SEC, FinCEN, and the Federal Bureau of Investgaton) have begun to examine the operatons of the bitcoin network, bitcoin users and the bitcoin exchange market. Increasing regulaton and regulatory scrutny may result in new costs for us and our management having to devote increased tme and atenton to regulatory maters, change aspects of our business or result in limits on the use cases of bitcoin. In additon, regulatory developments and/or our business actvites may require us to comply with certain regulatory regimes. For example, to the extent that our actvites cause us to be deemed a money service business under the regulatons promulgated by FinCEN under the authority of the U.S. Bank Secrecy Act, we may be required to comply with FinCEN regulatons, including those that would mandate us to implement certain ant-money laundering programs, make certain reports to FinCEN and maintain certain records.</w:t>
      </w:r>
    </w:p>
    <w:p>
      <w:pPr>
        <w:spacing w:after="0" w:line="222"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Ongoing and future regulaton and regulatory actons could signifcantly restrict or eliminate the market for or uses of bitcoin and/or materially and adversely impact our results of operaton and fnancial conditon.</w:t>
      </w:r>
    </w:p>
    <w:p>
      <w:pPr>
        <w:spacing w:after="0" w:line="326"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b w:val="1"/>
          <w:bCs w:val="1"/>
          <w:i w:val="1"/>
          <w:iCs w:val="1"/>
          <w:color w:val="auto"/>
        </w:rPr>
        <w:t>Latency in confrming transactons on a network could result in a loss of confdence in the network, which could have a material adverse efect on our business, fnancial conditon, and results of operatons.</w:t>
      </w:r>
    </w:p>
    <w:p>
      <w:pPr>
        <w:spacing w:after="0" w:line="11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Latency in confrming transactons on a network can be caused by a number of factors, such as bitcoin miners, also called transacton processors, ceasing to support the network and/or supportng a diferent network. To the extent that any transacton processors cease to record transactons on a network, such transactons will not be recorded on the blockchain of the network untl a block is solved by a transacton processor that does not require the payment of transacton fees or other incentves. Currently, there are no known incentves for transacton processors to elect to exclude the recording of transactons in solved blocks. However, to the extent that any such incentves arise (for example, with respect to bitcoin, a collectve movement among transacton processors or one or more mining pools forcing bitcoin users to pay transacton fees as a substtute for, or in additon to, the award of new bitcoin upon the solving of a block), transacton processors could delay the recording and verifcaton of a signifcant number of transactons on a network’s blockchain. If such latency became systemic, and sustained, it could result in greater exposure to double-spending transactons and a loss of confdence in the applicable network, which could have a material adverse efect on our business, fnancial conditon, and results of operatons. In additon, increasing growth and popularity of digital assets, as well as non-digital asset-related applicatons that utlize blockchain technology on certain networks, can cause congeston and backlog, and as result, increase latency on such networks. An increase in congeston and backlogs could result in longer transacton confrmaton tmes, an increase in unconfrmed transactons (that is, transactons that have yet to be included in a block on a network and therefore are not yet completed transactons), higher transacton fees and an overall decrease in confdence in a partcular network, which could ultmately afect our ability to transact on that partcular network and, in turn, could have a material adverse efect on our business, fnancial conditon, and results of operatons.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8" w:name="page39"/>
    <w:bookmarkEnd w:id="38"/>
    <w:p>
      <w:pPr>
        <w:spacing w:after="0"/>
        <w:rPr>
          <w:sz w:val="20"/>
          <w:szCs w:val="20"/>
          <w:color w:val="auto"/>
        </w:rPr>
      </w:pPr>
      <w:r>
        <w:rPr>
          <w:rFonts w:ascii="Calibri" w:cs="Calibri" w:eastAsia="Calibri" w:hAnsi="Calibri"/>
          <w:sz w:val="18"/>
          <w:szCs w:val="18"/>
          <w:b w:val="1"/>
          <w:bCs w:val="1"/>
          <w:i w:val="1"/>
          <w:iCs w:val="1"/>
          <w:color w:val="auto"/>
        </w:rPr>
        <w:t>The impact of geopolitcal and economic events on the supply and demand for cryptoassets, including bitcoin, is uncertain.</w:t>
      </w:r>
    </w:p>
    <w:p>
      <w:pPr>
        <w:spacing w:after="0" w:line="271" w:lineRule="exact"/>
        <w:rPr>
          <w:sz w:val="20"/>
          <w:szCs w:val="20"/>
          <w:color w:val="auto"/>
        </w:rPr>
      </w:pPr>
    </w:p>
    <w:p>
      <w:pPr>
        <w:ind w:right="20"/>
        <w:spacing w:after="0" w:line="225" w:lineRule="auto"/>
        <w:rPr>
          <w:sz w:val="20"/>
          <w:szCs w:val="20"/>
          <w:color w:val="auto"/>
        </w:rPr>
      </w:pPr>
      <w:r>
        <w:rPr>
          <w:rFonts w:ascii="Calibri" w:cs="Calibri" w:eastAsia="Calibri" w:hAnsi="Calibri"/>
          <w:sz w:val="18"/>
          <w:szCs w:val="18"/>
          <w:color w:val="auto"/>
        </w:rPr>
        <w:t>Geopolitcal crises may motvate large-scale purchases of bitcoin and other cryptoassets, which could increase the price of bitcoin and other cryptoassets rapidly. Our business and the infrastructure on which our business relies is vulnerable to damage or interrupton from catastrophic occurrences, such as war, civil unrest, terrorist atacks, geopolitcal events, disease, such as the COVID-19 pandemic, and similar events. Specifcally, the uncertain nature, magnitude, and duraton of hostlites stemming from the ongoing war between Russia and Ukraine, including the potental efects of sanctons limitatons, the confict in the Israel-Gaza region, contnued hostlites in the Middle East, potental conficts in the Asia-Pacifc region, retaliatory cyber-atacks on the world economy and markets, and potental shipping delays, have contributed to increased market volatlity and uncertainty, which could have an adverse impact on macroeconomic factors that afect our business. For example, the U.S. infaton rate rose signifcantly from 2021 into 2022, then began to moderate through 2024, and future infaton trends remain uncertain and difcult to predict with a high degree of accuracy. These infatonary pressures, as well as disruptons in our supply chain, have increased the costs of most other goods, services, and personnel, which have in turn caused our capital expenditures and operatng costs to rise. Sustained levels of high infaton caused the U.S. Federal Reserve and other central banks to increase interest rates, which have raised the cost of acquiring capital and reduced economic growth, either of which—or the combinaton thereof—could hurt the fnancial and operatng results of our business. This may also increase the likelihood of a subsequent price decrease as crisis-driven purchasing behavior dissipates, adversely afectng the value of our inventory following such downward adjustment. Such risks are similar to the risks of purchasing commodites in general uncertain tmes, such as the risk of purchasing, holding, or selling gold. Alternatvely, as an emerging asset class with limited acceptance as a payment system or commodity, global crises and general economic downturn may discourage investment in bitcoin as investors focus their investment on less volatle asset classes as a means of hedging their investment risk.</w:t>
      </w:r>
    </w:p>
    <w:p>
      <w:pPr>
        <w:spacing w:after="0" w:line="255" w:lineRule="exact"/>
        <w:rPr>
          <w:sz w:val="20"/>
          <w:szCs w:val="20"/>
          <w:color w:val="auto"/>
        </w:rPr>
      </w:pPr>
    </w:p>
    <w:p>
      <w:pPr>
        <w:ind w:right="60"/>
        <w:spacing w:after="0" w:line="225" w:lineRule="auto"/>
        <w:rPr>
          <w:sz w:val="20"/>
          <w:szCs w:val="20"/>
          <w:color w:val="auto"/>
        </w:rPr>
      </w:pPr>
      <w:r>
        <w:rPr>
          <w:rFonts w:ascii="Calibri" w:cs="Calibri" w:eastAsia="Calibri" w:hAnsi="Calibri"/>
          <w:sz w:val="18"/>
          <w:szCs w:val="18"/>
          <w:color w:val="auto"/>
        </w:rPr>
        <w:t>As an alternatve to fat currencies that are backed by central governments, bitcoin, which is relatvely new, is subject to supply and demand forces. How such supply and demand will be impacted by geopolitcal events is largely uncertain but could be harmful to us. Politcal or economic crises may motvate large-scale acquisitons or sales of bitcoin either globally or locally. Such events could have a material adverse efect our results of operatons.</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Changes in tarifs or import restrictons could have a material adverse efect on our business, fnancial conditon and results of operatons.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Equipment necessary for digital asset mining is almost entrely manufactured outside of the United States. There is currently signifcant uncertainty about the future relatonship between the United States and various other countries, including China, members of the European Union, Canada, and Mexico, with respect to trade policies, treates, tarifs and customs dutes, and taxes. In recent years, the U.S. government has imposed import tarifs of up to 25% on certain digital asset mining equipment manufactured overseas, increasing our costs of acquiring essental infrastructure. The presidental administraton has proposed or enacted additonal tarifs on key trading partners, including China, Canada, Mexico, and the European Union, which could further impact the cost and availability of mining equipment. Additonally, the recent expansion of tarifs on steel, aluminum, and other critcal components may indirectly raise the cost of mining rigs, cooling systems and other necessary infrastructure. The scope and amount of these tarifs have fuctuated based on governmental actons, and there is a risk of further escalatons, including counter-tarifs from afected countries. Any new or increased tarifs, trade restrictons or retaliatory measures could materially increase our capital expenditures, disrupt supply chains and reduce our ability to scale operatons efciently. Additonally, regulatory uncertainty surrounding trade policy makes long-term planning more difcult, which may have an adverse efect on our fnancial conditon and results of operatons.</w:t>
      </w:r>
    </w:p>
    <w:p>
      <w:pPr>
        <w:spacing w:after="0" w:line="32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not adequately respond to rapidly changing technology.</w:t>
      </w:r>
    </w:p>
    <w:p>
      <w:pPr>
        <w:spacing w:after="0" w:line="10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Compettve conditons within the bitcoin industry require that we use sophistcated technology in the operaton of our business. The industry for blockchain technology is characterized by rapid technological changes, new product developments and evolving industry standards. New technologies, techniques or products could emerge that ofer beter performance than the sofware and other technologies that we utlize, and we may have to transiton to these new technologies to remain compettve. We may not be successful in implementng new technology or doing so in a cost-efectve manner. During the course of implementng any such new technology into our operatons, we may experience system interruptons. Furthermore, we can provide no assurance that we will realize, in a tmely manner or at all, the benefts that we may expect as a result of our implementng new technology into our operatons. As a result, our results of operatons may sufer.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39" w:name="page40"/>
    <w:bookmarkEnd w:id="39"/>
    <w:p>
      <w:pPr>
        <w:ind w:right="120"/>
        <w:spacing w:after="0" w:line="235" w:lineRule="auto"/>
        <w:rPr>
          <w:sz w:val="20"/>
          <w:szCs w:val="20"/>
          <w:color w:val="auto"/>
        </w:rPr>
      </w:pPr>
      <w:r>
        <w:rPr>
          <w:rFonts w:ascii="Calibri" w:cs="Calibri" w:eastAsia="Calibri" w:hAnsi="Calibri"/>
          <w:sz w:val="18"/>
          <w:szCs w:val="18"/>
          <w:b w:val="1"/>
          <w:bCs w:val="1"/>
          <w:i w:val="1"/>
          <w:iCs w:val="1"/>
          <w:color w:val="auto"/>
        </w:rPr>
        <w:t>A failure to properly monitor and upgrade the bitcoin network protocol could damage the bitcoin network which could, in turn, have an adverse efect on our business.</w:t>
      </w:r>
    </w:p>
    <w:p>
      <w:pPr>
        <w:spacing w:after="0" w:line="11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open-source structure of the bitcoin network protocol means that the contributors to the protocol are generally not directly compensated for their contributons in maintaining and developing the protocol. As the bitcoin network protocol is not sold and its use does not generate revenues for contributors, contributors are generally not compensated for maintaining and updatng the bitcoin network protocol. The lack of guaranteed fnancial incentve for contributors to maintain or develop the bitcoin network and the lack of guaranteed resources to adequately address emerging issues with the bitcoin network may reduce incentves to address issues adequately or in a tmely manner. Because our cryptocurrency datacenter actvites rely on the bitcoin network, negatve developments with respect to that network may have an adverse efect on our results of operatons and fnancial conditon.</w:t>
      </w:r>
    </w:p>
    <w:p>
      <w:pPr>
        <w:spacing w:after="0" w:line="329" w:lineRule="exact"/>
        <w:rPr>
          <w:sz w:val="20"/>
          <w:szCs w:val="20"/>
          <w:color w:val="auto"/>
        </w:rPr>
      </w:pPr>
    </w:p>
    <w:p>
      <w:pPr>
        <w:ind w:right="80"/>
        <w:spacing w:after="0" w:line="258" w:lineRule="auto"/>
        <w:rPr>
          <w:sz w:val="20"/>
          <w:szCs w:val="20"/>
          <w:color w:val="auto"/>
        </w:rPr>
      </w:pPr>
      <w:r>
        <w:rPr>
          <w:rFonts w:ascii="Calibri" w:cs="Calibri" w:eastAsia="Calibri" w:hAnsi="Calibri"/>
          <w:sz w:val="17"/>
          <w:szCs w:val="17"/>
          <w:b w:val="1"/>
          <w:bCs w:val="1"/>
          <w:i w:val="1"/>
          <w:iCs w:val="1"/>
          <w:color w:val="auto"/>
        </w:rPr>
        <w:t>Over tme, incentves for bitcoin miners to contnue to contribute processing power to the bitcoin network may transiton from a set reward to transacton fees. If the incentves for bitcoin mining are not sufciently high, we and our hostng customers may not have an adequate incentve to contnue to mine.</w:t>
      </w:r>
    </w:p>
    <w:p>
      <w:pPr>
        <w:spacing w:after="0" w:line="94"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In general, as the number of bitcoin rewards awarded for solving a block in a blockchain decreases, our ability to achieve proftability also decreases. Decreased use and demand for bitcoin rewards may adversely afect our incentve to expend processing power to solve blocks. If the bitcoin rewards for solving blocks and transacton fees are not sufciently high, fewer bitcoin miners will mine. At insufciently atractve rewards, our costs of operatons in total may exceed our revenues from cryptocurrency datacenter actvites.</w:t>
      </w:r>
    </w:p>
    <w:p>
      <w:pPr>
        <w:spacing w:after="0" w:line="21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To incentvize bitcoin miners to contnue to contribute processing power to the bitcoin network, such network may either formally or informally transiton from a set reward to transacton fees earned upon solving for a block. This transiton could be accomplished either by bitcoin miners independently electng to record in the blocks they solve only those transactons that include payment of a transacton fee or by the bitcoin network adoptng sofware upgrades that require the payment of a minimum transacton fee for all transactons. If as a result transacton fees paid for bitcoin transactons become too high, bitcoin users may be reluctant to transfer bitcoin or accept bitcoin as a means of payment, and existng users may be motvated to hold existng bitcoin and switch from bitcoin to another digital asset or back to fat currency for transactons, diminishing the aggregate amount of available transacton fees for bitcoin miners. Such reducton would adversely impact our results of operatons and fnancial conditon.</w:t>
      </w:r>
    </w:p>
    <w:p>
      <w:pPr>
        <w:spacing w:after="0" w:line="32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Incorrect or fraudulent cryptocurrency transactons may be irreversible.</w:t>
      </w:r>
    </w:p>
    <w:p>
      <w:pPr>
        <w:spacing w:after="0" w:line="10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It is possible that, through computer or human error, thef or criminal acton, our cryptocurrency could be transferred in incorrect amounts or to unauthorized third partes or accounts. In general, cryptocurrency transactons are irrevocable, and stolen or incorrectly transferred cryptocurrencies may be irretrievable, and we may have extremely limited or no efectve means of recovering such cryptocurrencies. As a result, any incorrectly executed or fraudulent bitcoin transactons could adversely afect our business.</w:t>
      </w:r>
    </w:p>
    <w:p>
      <w:pPr>
        <w:spacing w:after="0" w:line="327"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b w:val="1"/>
          <w:bCs w:val="1"/>
          <w:i w:val="1"/>
          <w:iCs w:val="1"/>
          <w:color w:val="auto"/>
        </w:rPr>
        <w:t>The further development and acceptance of digital asset networks and other digital assets, which represent a new and rapidly changing industry, are subject to a variety of factors that are difcult to evaluate. The slowing or stopping of the development or acceptance of digital asset systems may adversely afect an investment in us.</w:t>
      </w:r>
    </w:p>
    <w:p>
      <w:pPr>
        <w:spacing w:after="0" w:line="111"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The use of cryptocurrencies to, among other things, buy and sell goods and services and complete transactons, is part of a new and rapidly evolving industry that employs cryptocurrency assets, including bitcoin, based upon a computer-generated mathematcal and/or cryptographic protocol. Large-scale acceptance of bitcoin as a means of payment has not, and may never, occur. The growth of this industry in general, and the use of bitcoin in partcular, is subject to a high degree of uncertainty, and the slowing or stopping of the development or acceptance of developing protocols may occur unpredictably. The factors include, but are not limited to:</w:t>
      </w:r>
    </w:p>
    <w:p>
      <w:pPr>
        <w:spacing w:after="0" w:line="107" w:lineRule="exact"/>
        <w:rPr>
          <w:sz w:val="20"/>
          <w:szCs w:val="20"/>
          <w:color w:val="auto"/>
        </w:rPr>
      </w:pPr>
    </w:p>
    <w:p>
      <w:pPr>
        <w:ind w:left="640" w:hanging="308"/>
        <w:spacing w:after="0"/>
        <w:tabs>
          <w:tab w:leader="none" w:pos="64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contnued worldwide growth in the adopton and use of bitcoin as a medium to exchange;</w:t>
      </w:r>
    </w:p>
    <w:p>
      <w:pPr>
        <w:spacing w:after="0" w:line="109" w:lineRule="exact"/>
        <w:rPr>
          <w:rFonts w:ascii="Calibri" w:cs="Calibri" w:eastAsia="Calibri" w:hAnsi="Calibri"/>
          <w:sz w:val="18"/>
          <w:szCs w:val="18"/>
          <w:color w:val="auto"/>
        </w:rPr>
      </w:pPr>
    </w:p>
    <w:p>
      <w:pPr>
        <w:ind w:left="660" w:right="380" w:hanging="328"/>
        <w:spacing w:after="0" w:line="235" w:lineRule="auto"/>
        <w:tabs>
          <w:tab w:leader="none" w:pos="653"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governmental and quasi-governmental regulaton of bitcoin and its use, or restrictons on or regulaton of access to and operaton of the bitcoin network or similar cryptocurrency systems;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changes in consumer demographics and public tastes and preferences;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the maintenance and development of the open-source sofware protocol of the network;</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the increased consolidaton of contributors to the bitcoin blockchain through bitcoin mining pools;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0" w:name="page41"/>
    <w:bookmarkEnd w:id="40"/>
    <w:p>
      <w:pPr>
        <w:ind w:left="660" w:right="60" w:hanging="328"/>
        <w:spacing w:after="0" w:line="235" w:lineRule="auto"/>
        <w:tabs>
          <w:tab w:leader="none" w:pos="653"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the availability and popularity of other cryptocurrencies and other forms or methods of buying and selling goods and services, including new means of using fat currencies;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the use of the networks supportng cryptocurrencies for developing smart contracts and distributed applicatons;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general economic conditons and the regulatory environment relatng to cryptocurrencies;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environmental restrictons on the use of electricity to mine bitcoin and a resultng decrease in global bitcoin mining operatons;</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an increase in bitcoin transacton costs and a resultant reducton in the use of and demand for bitcoin; and</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negatve consumer sentment and percepton of bitcoin specifcally and cryptocurrencies generally.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The outcome of any of these factors could have negatve efects on our results of operatons and fnancial conditon.</w:t>
      </w:r>
    </w:p>
    <w:p>
      <w:pPr>
        <w:spacing w:after="0" w:line="325"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i w:val="1"/>
          <w:iCs w:val="1"/>
          <w:color w:val="auto"/>
        </w:rPr>
        <w:t>It is possible that cryptocurrencies other than bitcoin could have features that make them more desirable to a material porton of the cryptocurrency user base and this could result in a reducton in demand for bitcoin, which could have a negatve impact on the price of bitcoin and adversely afect us.</w:t>
      </w:r>
    </w:p>
    <w:p>
      <w:pPr>
        <w:spacing w:after="0" w:line="16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Bitcoin holds a "frst-to-market" advantage over other cryptocurrencies. This frst-to-market advantage is driven in large part by having the largest user base and, more importantly, the largest combined mining power in use to secure their respectve blockchains and transacton verifcaton systems. More users and miners make a cryptocurrency more secure, which makes it more atractve to new users and miners, resultng in a network efect that strengthens this frst-to-market advantage.</w:t>
      </w:r>
    </w:p>
    <w:p>
      <w:pPr>
        <w:spacing w:after="0" w:line="21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Despite the frst-to-market advantage of the bitcoin network over other cryptocurrency networks, it is possible that another cryptocurrency could become comparatvely more popular. If an alternatve cryptocurrency obtains signifcant market share—either in market capitalizaton, mining power or use as a payment technology—this could reduce bitcoin’s market share and value. Substantally all of our cryptocurrency datacenter revenue is derived from mining bitcoin and, while we may mine other cryptocurrencies in the future, we have no plans to do so currently and may incur signifcant costs if we choose to do so. For example, our current applicaton-specifc integrated circuit machines (i.e., our "miners") are principally utlized for mining bitcoin and cannot mine other cryptocurrencies that are not mined utlizing the SHA-256 algorithm. As a result, the emergence of a cryptocurrency that erodes bitcoin’s market share and value could have a material adverse efect on our results of operatons and fnancial conditon.</w:t>
      </w:r>
    </w:p>
    <w:p>
      <w:pPr>
        <w:spacing w:after="0" w:line="32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be adversely afected by competton from other methods of investng in bitcoin.</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compete with other users and/or companies that are mining bitcoin or providing investors exposure to bitcoin without direct purchases of bitcoin and with other potental fnancial vehicles linked to cryptocurrency, including securites backed by or linked to bitcoin through enttes similar to it. Market and fnancial conditons, and other conditons beyond our control, may make it more atractve to invest in such other enttes, or to invest in bitcoin or other cryptocurrency directly, as opposed to investng in us. Conversely, given the nascence of cryptocurrency market within the broader investment market, investors may associate enttes involved in cryptocurrency mining, trading or related services with each other, and thus, public reports of challenges at any of such other enttes may have a negatve impact on our business. Finally, the emergence of other fnancial vehicles; for example, in January 2024, a decade afer inital applicatons were fled, the SEC approved a series of spot bitcoin exchange-traded products while contnuing to warn investors to remain cautous about the risks associated with bitcoin and products whose value is ted to cryptocurrency, have been scrutnized by regulators and such scrutny and any negatve impressions or conclusions resultng from such scrutny could be applicable to us and impact our business. Such circumstances could have a material adverse efect on our results of operatons and fnancial conditon.</w:t>
      </w:r>
    </w:p>
    <w:p>
      <w:pPr>
        <w:spacing w:after="0" w:line="332"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b w:val="1"/>
          <w:bCs w:val="1"/>
          <w:i w:val="1"/>
          <w:iCs w:val="1"/>
          <w:color w:val="auto"/>
        </w:rPr>
        <w:t>Digital assets, such as bitcoin, face signifcant scaling obstacles that can lead to high fees or slow transacton setlement tmes and any mechanisms of increasing the scale of digital asset setlement may signifcantly alter the compettve dynamics in the market.</w:t>
      </w:r>
    </w:p>
    <w:p>
      <w:pPr>
        <w:spacing w:after="0" w:line="110"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Digital assets may face signifcant scaling obstacles that can lead to high fees or slow transacton setlement tmes, and atempts to increase the volume of transactons may not be efectve. Scaling digital assets, and partcularly bitcoin, is essental to the widespread acceptance of digital assets as a means of payment, which is necessary to the growth and development of our business.</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41" w:name="page42"/>
    <w:bookmarkEnd w:id="41"/>
    <w:p>
      <w:pPr>
        <w:ind w:right="20"/>
        <w:spacing w:after="0" w:line="235" w:lineRule="auto"/>
        <w:rPr>
          <w:sz w:val="20"/>
          <w:szCs w:val="20"/>
          <w:color w:val="auto"/>
        </w:rPr>
      </w:pPr>
      <w:r>
        <w:rPr>
          <w:rFonts w:ascii="Calibri" w:cs="Calibri" w:eastAsia="Calibri" w:hAnsi="Calibri"/>
          <w:sz w:val="18"/>
          <w:szCs w:val="18"/>
          <w:color w:val="auto"/>
        </w:rPr>
        <w:t>Many digital asset networks face signifcant scaling challenges. For example, digital assets are limited with respect to how many transactons can occur per second. In this respect, bitcoin may be partcularly afected as it relies on the "proof of work" validaton, which due to its inherent characteristcs may be partcularly hard to scale to allow simultaneous processing of multple daily transactons by users. Partcipants in the digital asset ecosystem debate potental approaches to increasing the average number of transactons per second that the network can handle and have implemented mechanisms or are researching ways to increase scale, such as "sharding," which is a term for a horizontal partton of data in a database or search engine, which would not require every single transacton to be included in every single miner’s or validator’s block. There is no guarantee that any of the mechanisms in place or being explored for increasing the scale of setlement of digital asset transactons will be efectve, how long they will take to become efectve or whether such mechanisms will be efectve for all digital assets. There is also a risk that any mechanisms of increasing the scale of digital asset setlements may signifcantly alter the compettve dynamics in the digital asset market and may adversely afect the value of bitcoin. Any of these scaling challenges could have a material adverse efect on our results of operatons and the market value of our common stock.</w:t>
      </w:r>
    </w:p>
    <w:p>
      <w:pPr>
        <w:spacing w:after="0" w:line="332"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The digital asset exchanges on which cryptocurrencies, including bitcoin, trade are relatvely new and largely unregulated, and thus may be exposed to fraud and business failure, as demonstrated by recent shutdowns of certain digital asset exchanges and trading platorms, which has negatvely impacted confdence in the digital asset industry as a whole. Such failures may result in a reducton in the price of bitcoin and other cryptocurrencies and can adversely afect an investment in us.</w:t>
      </w:r>
    </w:p>
    <w:p>
      <w:pPr>
        <w:spacing w:after="0" w:line="11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Digital asset exchanges on which cryptocurrencies trade are relatvely new and, in most cases, largely unregulated. Many digital exchanges do not provide the public with signifcant informaton regarding their ownership structure, management teams, corporate practces or regulatory compliance. These factors, and the recent shutdowns of certain digital asset exchanges and trading platorms due to fraud or business failure, including the recent bankruptcies of exchanges such as FTX and BlockFi, have negatvely impacted confdence in the digital asset industry as a whole. The marketplace may lose confdence in, or may experience problems relatng to, cryptocurrency exchanges, including prominent exchanges handling a signifcant porton of the volume of digital asset trading.</w:t>
      </w:r>
    </w:p>
    <w:p>
      <w:pPr>
        <w:spacing w:after="0" w:line="221"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Negatve percepton, a lack of stability in the digital asset exchange market and the closure or temporary shutdown of digital asset exchanges due to fraud, business failure, hackers or malware, or government-mandated regulaton may reduce confdence in digital asset networks and result in greater volatlity in bitcoin prices, which has a direct impact on our proftability. These potental consequences of a digital asset exchange’s failure could adversely afect our results of operatons. Additonally, to the extent investors view our common stock as linked to the value of bitcoin, these potental consequences of a bitcoin trading venue’s failure could have a material adverse efect on the market value of our common stock.</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are subject to momentum pricing risk.</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Momentum pricing typically is associated with growth stocks and other assets whose valuaton, as determined by the investng public, refects antcipated future appreciaton in value. Cryptocurrency market prices are determined primarily using data from various exchanges, over-the-counter markets, and derivatve platorms. Momentum pricing may have resulted, and may contnue to result, in speculaton regarding future appreciaton in the value of cryptocurrencies and bitcoin in partcular, infatng and making their market prices more volatle. As a result, they may be more likely to fuctuate in value due to changing investor confdence in future appreciaton (or depreciaton) in their market prices, which could adversely afect the value of bitcoin mined by us, which could lead to an adverse efect on our results of operatons and fnancial conditon.</w:t>
      </w:r>
    </w:p>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reliance on third-party mining pool service providers for our mining payouts may have a negatve impact on our business.</w:t>
      </w:r>
    </w:p>
    <w:p>
      <w:pPr>
        <w:spacing w:after="0" w:line="109" w:lineRule="exact"/>
        <w:rPr>
          <w:sz w:val="20"/>
          <w:szCs w:val="20"/>
          <w:color w:val="auto"/>
        </w:rPr>
      </w:pPr>
    </w:p>
    <w:p>
      <w:pPr>
        <w:jc w:val="both"/>
        <w:ind w:right="120"/>
        <w:spacing w:after="0" w:line="249" w:lineRule="auto"/>
        <w:rPr>
          <w:sz w:val="20"/>
          <w:szCs w:val="20"/>
          <w:color w:val="auto"/>
        </w:rPr>
      </w:pPr>
      <w:r>
        <w:rPr>
          <w:rFonts w:ascii="Calibri" w:cs="Calibri" w:eastAsia="Calibri" w:hAnsi="Calibri"/>
          <w:sz w:val="17"/>
          <w:szCs w:val="17"/>
          <w:color w:val="auto"/>
        </w:rPr>
        <w:t>We use third–party mining pools to receive our mining rewards from the network. Mining pools allow miners to combine their processing power, increasing their chances of solving a block and getng paid by the network. The rewards are distributed by the pool operator distributes the rewards, proportonally to our contributon to the pool’s overall mining power used to generate each block. Should a pool operator’s system sufer downtme for any reason, including, as a result of a cyber-atack, sofware malfuncton, or other similar issues for any reason, it would negatvely impact our ability to receive revenue.</w:t>
      </w:r>
    </w:p>
    <w:p>
      <w:pPr>
        <w:spacing w:after="0" w:line="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Furthermore, we are dependent on the accuracy of the mining pool operator’s recordkeeping to accurately record the total processing power provided to the pool for a given bitcoin mining applicaton in order to assess the proporton of that total processing power we provided. While we have internal methods of tracking both our</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42" w:name="page43"/>
    <w:bookmarkEnd w:id="42"/>
    <w:p>
      <w:pPr>
        <w:ind w:right="80"/>
        <w:spacing w:after="0" w:line="235" w:lineRule="auto"/>
        <w:rPr>
          <w:sz w:val="20"/>
          <w:szCs w:val="20"/>
          <w:color w:val="auto"/>
        </w:rPr>
      </w:pPr>
      <w:r>
        <w:rPr>
          <w:rFonts w:ascii="Calibri" w:cs="Calibri" w:eastAsia="Calibri" w:hAnsi="Calibri"/>
          <w:sz w:val="18"/>
          <w:szCs w:val="18"/>
          <w:color w:val="auto"/>
        </w:rPr>
        <w:t>processing power provided and the total used by the pool, the mining pool operator uses its own record-keeping to determine our proporton of a given reward. We have litle means of recourse against the mining pool operator if we determine the proporton of the reward paid out to us by the mining pool operator is incorrect, other than leaving the pool. If we are unable to consistently obtain accurate proportonate rewards from our mining pool operators, we may experience reduced reward for our eforts, which would have an adverse efect on our results of operatons and fnancial conditon.</w:t>
      </w:r>
    </w:p>
    <w:p>
      <w:pPr>
        <w:spacing w:after="0" w:line="327"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b w:val="1"/>
          <w:bCs w:val="1"/>
          <w:i w:val="1"/>
          <w:iCs w:val="1"/>
          <w:color w:val="auto"/>
        </w:rPr>
        <w:t>Banks and fnancial insttutons may not provide bank accounts, or may cut of certain banking or other fnancial services, to cryptocurrency investors or businesses that engage in bitcoin-related actvites or that accept bitcoin as payment.</w:t>
      </w:r>
    </w:p>
    <w:p>
      <w:pPr>
        <w:spacing w:after="0" w:line="110" w:lineRule="exact"/>
        <w:rPr>
          <w:sz w:val="20"/>
          <w:szCs w:val="20"/>
          <w:color w:val="auto"/>
        </w:rPr>
      </w:pPr>
    </w:p>
    <w:p>
      <w:pPr>
        <w:ind w:right="140"/>
        <w:spacing w:after="0" w:line="252" w:lineRule="auto"/>
        <w:rPr>
          <w:sz w:val="20"/>
          <w:szCs w:val="20"/>
          <w:color w:val="auto"/>
        </w:rPr>
      </w:pPr>
      <w:r>
        <w:rPr>
          <w:rFonts w:ascii="Calibri" w:cs="Calibri" w:eastAsia="Calibri" w:hAnsi="Calibri"/>
          <w:sz w:val="17"/>
          <w:szCs w:val="17"/>
          <w:color w:val="auto"/>
        </w:rPr>
        <w:t>A number of companies that engage in bitcoin or other cryptocurrency-related actvites have been unable to fnd banks or fnancial insttutons that are willing to provide them with bank accounts and other services. Similarly, changing governmental regulatons about the legality of transferring or holding bitcoin and other cryptocurrency may prompt other banks and fnancial insttutons to close existng bank accounts or discontnue banking or other fnancial services to such companies in the cryptocurrency industry, or even investors with accounts for transferring, receiving, or holding their cryptocurrency.</w:t>
      </w:r>
    </w:p>
    <w:p>
      <w:pPr>
        <w:spacing w:after="0" w:line="222" w:lineRule="exact"/>
        <w:rPr>
          <w:sz w:val="20"/>
          <w:szCs w:val="20"/>
          <w:color w:val="auto"/>
        </w:rPr>
      </w:pPr>
    </w:p>
    <w:p>
      <w:pPr>
        <w:ind w:right="80"/>
        <w:spacing w:after="0" w:line="236" w:lineRule="auto"/>
        <w:rPr>
          <w:sz w:val="20"/>
          <w:szCs w:val="20"/>
          <w:color w:val="auto"/>
        </w:rPr>
      </w:pPr>
      <w:r>
        <w:rPr>
          <w:rFonts w:ascii="Calibri" w:cs="Calibri" w:eastAsia="Calibri" w:hAnsi="Calibri"/>
          <w:sz w:val="17"/>
          <w:szCs w:val="17"/>
          <w:color w:val="auto"/>
        </w:rPr>
        <w:t>Should such rules and restrictons contnue or proliferate, we may not only be unable to obtain or maintain these services for our business but also experience business disrupton if our necessary commercial partners, such as bitcoin mining pools or miner manufacturers, cannot conduct their businesses efectvely due to such regulatons. The difculty that many businesses that provide bitcoin or derivatves on other cryptocurrency-related actvites have and may contnue to have in fnding banks and fnancial insttutons willing to provide them services may diminish the usefulness of bitcoin as a payment system and harm public percepton of bitcoin. If we are unable to obtain or maintain banking services for our business as a result of our bitcoin-related actvites or a disrupton impactng our current banking providers, our results of operatons and fnancial conditon could be materially and adversely afected.</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Blockchain technology may expose us to specially designated natonals or blocked persons or cause us to violate provisions of law.</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are subject to the rules enforced by The Ofce of Financial Assets Control of the US Department of Treasury ("OFAC"), including those prohibitng transactons with individuals and enttes named on its specially designated natonals list. However, because of the pseudonymous nature of blockchain transactons, we may inadvertently and without our knowledge engage in transactons with persons named on OFAC’S specially designated natonals list. Regulators have raised concerns about the potental use of cryptocurrencies, including bitcoin, to evade U.S. and internatonal sanctons, partcularly in response to geopolitcal conficts such as the Russian invasion of Ukraine and ongoing sanctons against Iran and North Korea. Since 2022, U.S. lawmakers and regulatory agencies have increased scrutny of cryptocurrency transactons, with OFAC actvely sanctoning crypto wallets linked to illicit actvity and issuing enforcement actons against crypto frms for compliance failures. In April 2023, the U.S. Department of Justce charged several individuals with using cryptocurrencies to evade sanctons, signaling heightened enforcement. Additonally, the Biden administraton has proposed stricter regulatons on cryptocurrency mixers and privacy-enhancing technologies due to their potental use in money laundering and sanctons evasion. We are unable to predict the nature or extent of new and proposed legislaton and regulaton afectng the cryptocurrency industry, or the potental impact of the use of cryptocurrencies by specially designated natonals or other blocked or sanctoned persons, which could have material adverse efects on our business and our industry more broadly. Further, we may be subject to investgaton, administratve or court proceedings, and civil or criminal monetary fnes and penaltes as a result of any regulatory enforcement actons, which could harm our reputaton and adversely afect our results of operatons.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the Ownership of Our Securites</w:t>
      </w:r>
    </w:p>
    <w:p>
      <w:pPr>
        <w:spacing w:after="0" w:line="10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Our Class A common stock has recently been subject to Nasdaq delistng proceedings. While we have previously regained compliance with Nasdaq’s listng requirements, there can be no assurance that we will regain compliance with Nasdaq's contnued listng requirements or that our Class A common stock will not be subject to delistng proceedings in the future. The delistng of our shares could negatvely afect us and the price and liquidity of our Class A common stock.</w:t>
      </w:r>
    </w:p>
    <w:p>
      <w:pPr>
        <w:spacing w:after="0" w:line="165" w:lineRule="exact"/>
        <w:rPr>
          <w:sz w:val="20"/>
          <w:szCs w:val="20"/>
          <w:color w:val="auto"/>
        </w:rPr>
      </w:pPr>
    </w:p>
    <w:p>
      <w:pPr>
        <w:ind w:right="300"/>
        <w:spacing w:after="0" w:line="227" w:lineRule="auto"/>
        <w:rPr>
          <w:sz w:val="20"/>
          <w:szCs w:val="20"/>
          <w:color w:val="auto"/>
        </w:rPr>
      </w:pPr>
      <w:r>
        <w:rPr>
          <w:rFonts w:ascii="Calibri" w:cs="Calibri" w:eastAsia="Calibri" w:hAnsi="Calibri"/>
          <w:sz w:val="18"/>
          <w:szCs w:val="18"/>
          <w:color w:val="auto"/>
        </w:rPr>
        <w:t>Compliance with certain Nasdaq listng requirements depends upon the price of our Class A common stock, which may be impacted by market factors not within our control. We have previously received and resolved noncompliance notces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3" w:name="page44"/>
    <w:bookmarkEnd w:id="43"/>
    <w:p>
      <w:pPr>
        <w:ind w:right="60"/>
        <w:spacing w:after="0" w:line="227" w:lineRule="auto"/>
        <w:rPr>
          <w:sz w:val="20"/>
          <w:szCs w:val="20"/>
          <w:color w:val="auto"/>
        </w:rPr>
      </w:pPr>
      <w:r>
        <w:rPr>
          <w:rFonts w:ascii="Calibri" w:cs="Calibri" w:eastAsia="Calibri" w:hAnsi="Calibri"/>
          <w:sz w:val="18"/>
          <w:szCs w:val="18"/>
          <w:color w:val="auto"/>
        </w:rPr>
        <w:t>from the Nasdaq listng qualifcatons department but can provide no assurance that we will be able to contnue to maintain compliance with Nasdaq’s listng requirements in the future.</w:t>
      </w:r>
    </w:p>
    <w:p>
      <w:pPr>
        <w:spacing w:after="0" w:line="246" w:lineRule="exact"/>
        <w:rPr>
          <w:sz w:val="20"/>
          <w:szCs w:val="20"/>
          <w:color w:val="auto"/>
        </w:rPr>
      </w:pPr>
    </w:p>
    <w:p>
      <w:pPr>
        <w:ind w:right="80"/>
        <w:spacing w:after="0" w:line="228" w:lineRule="auto"/>
        <w:rPr>
          <w:sz w:val="20"/>
          <w:szCs w:val="20"/>
          <w:color w:val="auto"/>
        </w:rPr>
      </w:pPr>
      <w:r>
        <w:rPr>
          <w:rFonts w:ascii="Calibri" w:cs="Calibri" w:eastAsia="Calibri" w:hAnsi="Calibri"/>
          <w:sz w:val="18"/>
          <w:szCs w:val="18"/>
          <w:color w:val="auto"/>
        </w:rPr>
        <w:t>On March 26, 2025, we received a leter from the Nasdaq listng qualifcatons department notfying us that for the prior 30 consecutve business days, our Market Value of Publicly Held Shares ("MVPHS") had been below the listng requirement of $15 million. The Nasdaq rules provide us with an inital compliance period of 180 calendar days to regain compliance with the minimum MVPHS requirement. We can provide no assurance of our ability to take the appropriate actons within the 180 day cure period to regain compliance with Nasdaq listng requirements.</w:t>
      </w:r>
    </w:p>
    <w:p>
      <w:pPr>
        <w:spacing w:after="0" w:line="232" w:lineRule="exact"/>
        <w:rPr>
          <w:sz w:val="20"/>
          <w:szCs w:val="20"/>
          <w:color w:val="auto"/>
        </w:rPr>
      </w:pPr>
    </w:p>
    <w:p>
      <w:pPr>
        <w:spacing w:after="0" w:line="226" w:lineRule="auto"/>
        <w:rPr>
          <w:sz w:val="20"/>
          <w:szCs w:val="20"/>
          <w:color w:val="auto"/>
        </w:rPr>
      </w:pPr>
      <w:r>
        <w:rPr>
          <w:rFonts w:ascii="Calibri" w:cs="Calibri" w:eastAsia="Calibri" w:hAnsi="Calibri"/>
          <w:sz w:val="18"/>
          <w:szCs w:val="18"/>
          <w:color w:val="auto"/>
        </w:rPr>
        <w:t>If Nasdaq delists our Class A common stock from trading on its exchange and we are not able to list our Class A common stock on another natonal securites exchange, we expect our securites could be quoted on an over-the-counter market. If this were to occur, we could face signifcant material adverse consequences, including, among other things: decreasing availability of market quotatons for our Class A common stock; resultng in a determinaton that our Class A common stock is a “penny stock” which will require brokers trading in our Class A common stock to adhere to more stringent rules and possibly result in a reduced level of trading actvity in the secondary trading market for our securites; reducing the liquidity and market price of our Class A common stock; reducing the number of investors willing to hold or acquire our Class A common stock, which could negatvely impact our ability to raise equity fnancing; limitng our ability to issue additonal securites or obtain additonal fnancing in the future; decreasing the amount of news and analyst coverage of us; and causing us reputatonal harm with investors, our employees, and partes conductng business with us.</w:t>
      </w:r>
    </w:p>
    <w:p>
      <w:pPr>
        <w:spacing w:after="0" w:line="113"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b w:val="1"/>
          <w:bCs w:val="1"/>
          <w:i w:val="1"/>
          <w:iCs w:val="1"/>
          <w:color w:val="auto"/>
        </w:rPr>
        <w:t>Because we are a "controlled company" within the meaning of the Nasdaq listng rules, our stockholders may not have certain corporate governance protectons that are available to stockholders of companies that are not controlled companies.</w:t>
      </w:r>
    </w:p>
    <w:p>
      <w:pPr>
        <w:spacing w:after="0" w:line="164"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So long as more than 50% of the votng power for the electon of our directors is held by an individual, a group or another company, we will qualify as a "controlled company" within the meaning of Nasdaq’s corporate governance standards. As of March 25, 2025, Atlas and its afliates control 71.4% of the votng power of our outstanding capital stock. As a result, we are a "controlled company" within the meaning of Nasdaq’s corporate governance standards and will not be subject to the requirements that would otherwise require us to have: (i) a majority of independent directors; (ii) compensaton of our executve ofcers determined by a majority of the independent directors or a compensaton commitee comprised solely of independent directors; and (iii) director nominees selected or recommended for our board either by a majority of the independent directors or a nominatng commitee comprised solely of independent directors. Because we are a "controlled company", our stockholders may not have these corporate governance protectons that are available to stockholders of companies that are not controlled companies.</w:t>
      </w:r>
    </w:p>
    <w:p>
      <w:pPr>
        <w:spacing w:after="0" w:line="223"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Atlas and its afliates may have their interest in us diluted as a result of future equity issuances or their own actons in selling shares of our common stock, in each case, which could result in a loss of the "controlled company" exempton under the Nasdaq listng rules. We would then be required to comply with those provisions of the Nasdaq listng requirements.</w:t>
      </w:r>
    </w:p>
    <w:p>
      <w:pPr>
        <w:spacing w:after="0" w:line="327"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b w:val="1"/>
          <w:bCs w:val="1"/>
          <w:i w:val="1"/>
          <w:iCs w:val="1"/>
          <w:color w:val="auto"/>
        </w:rPr>
        <w:t>The dual class structure of our common stock has the efect of concentratng votng power with Atlas and its afliates, which may depress the market value of the Class A common stock and will limit a stockholder or a new investor’s ability to infuence the outcome of important transactons, including a change in control.</w:t>
      </w:r>
    </w:p>
    <w:p>
      <w:pPr>
        <w:spacing w:after="0" w:line="111" w:lineRule="exact"/>
        <w:rPr>
          <w:sz w:val="20"/>
          <w:szCs w:val="20"/>
          <w:color w:val="auto"/>
        </w:rPr>
      </w:pPr>
    </w:p>
    <w:p>
      <w:pPr>
        <w:ind w:right="220"/>
        <w:spacing w:after="0" w:line="228" w:lineRule="auto"/>
        <w:rPr>
          <w:sz w:val="20"/>
          <w:szCs w:val="20"/>
          <w:color w:val="auto"/>
        </w:rPr>
      </w:pPr>
      <w:r>
        <w:rPr>
          <w:rFonts w:ascii="Calibri" w:cs="Calibri" w:eastAsia="Calibri" w:hAnsi="Calibri"/>
          <w:sz w:val="18"/>
          <w:szCs w:val="18"/>
          <w:color w:val="auto"/>
        </w:rPr>
        <w:t>While the economic rights of both classes of our common stock are the same, a share of Class A common stock has one (1) vote per share, while a share of Class B common stock has ten (10) votes per share. As of March 25, 2025, our Class B common stockholders represent approximately 70.0% of our votng power. Given the 10:1 votng rato, even a signifcant issuance of Class A common stock, and/or a transacton involving Class A common stock as consideraton, may not impact Atlas’ signifcant majority votng positon in us.</w:t>
      </w:r>
    </w:p>
    <w:p>
      <w:pPr>
        <w:spacing w:after="0" w:line="205" w:lineRule="exact"/>
        <w:rPr>
          <w:sz w:val="20"/>
          <w:szCs w:val="20"/>
          <w:color w:val="auto"/>
        </w:rPr>
      </w:pPr>
    </w:p>
    <w:p>
      <w:pPr>
        <w:ind w:right="40"/>
        <w:spacing w:after="0" w:line="228" w:lineRule="auto"/>
        <w:rPr>
          <w:sz w:val="20"/>
          <w:szCs w:val="20"/>
          <w:color w:val="auto"/>
        </w:rPr>
      </w:pPr>
      <w:r>
        <w:rPr>
          <w:rFonts w:ascii="Calibri" w:cs="Calibri" w:eastAsia="Calibri" w:hAnsi="Calibri"/>
          <w:sz w:val="18"/>
          <w:szCs w:val="18"/>
          <w:color w:val="auto"/>
        </w:rPr>
        <w:t>We have enacted a dual class votng structure to ensure the contnuity of votng control in us for the foreseeable future. The super votng rights of our Class B common stock do not expire untl September 2026. As a result, for the foreseeable future, Atlas and its afliates will be able to control maters submited to stockholders for approval, including the electon of directors, amendments of our organizatonal documents and any merger, consolidaton, sale of all or substantally all of our assets, or other major corporate transactons.</w:t>
      </w:r>
    </w:p>
    <w:p>
      <w:pPr>
        <w:spacing w:after="0" w:line="205" w:lineRule="exact"/>
        <w:rPr>
          <w:sz w:val="20"/>
          <w:szCs w:val="20"/>
          <w:color w:val="auto"/>
        </w:rPr>
      </w:pPr>
    </w:p>
    <w:p>
      <w:pPr>
        <w:jc w:val="both"/>
        <w:ind w:right="20"/>
        <w:spacing w:after="0" w:line="230" w:lineRule="auto"/>
        <w:rPr>
          <w:sz w:val="20"/>
          <w:szCs w:val="20"/>
          <w:color w:val="auto"/>
        </w:rPr>
      </w:pPr>
      <w:r>
        <w:rPr>
          <w:rFonts w:ascii="Calibri" w:cs="Calibri" w:eastAsia="Calibri" w:hAnsi="Calibri"/>
          <w:sz w:val="18"/>
          <w:szCs w:val="18"/>
          <w:color w:val="auto"/>
        </w:rPr>
        <w:t>Atlas and its afliates may have interests that difer from other stockholders and may vote their Class B common stock in a way with which other stockholders may disagree or which may be adverse to such other stockholders’ interests. In additon, this concentrated control will have the efect of delaying, preventng or deterring a change in control of</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4" w:name="page45"/>
    <w:bookmarkEnd w:id="44"/>
    <w:p>
      <w:pPr>
        <w:ind w:right="400"/>
        <w:spacing w:after="0" w:line="227" w:lineRule="auto"/>
        <w:rPr>
          <w:sz w:val="20"/>
          <w:szCs w:val="20"/>
          <w:color w:val="auto"/>
        </w:rPr>
      </w:pPr>
      <w:r>
        <w:rPr>
          <w:rFonts w:ascii="Calibri" w:cs="Calibri" w:eastAsia="Calibri" w:hAnsi="Calibri"/>
          <w:sz w:val="18"/>
          <w:szCs w:val="18"/>
          <w:color w:val="auto"/>
        </w:rPr>
        <w:t>Greenidge, could deprive our stockholders of an opportunity to receive a premium for their capital stock as part of a sale of Greenidge, and might have a negatve efect on the market price of shares of our Class A common stock.</w:t>
      </w:r>
    </w:p>
    <w:p>
      <w:pPr>
        <w:spacing w:after="0" w:line="219" w:lineRule="exact"/>
        <w:rPr>
          <w:sz w:val="20"/>
          <w:szCs w:val="20"/>
          <w:color w:val="auto"/>
        </w:rPr>
      </w:pPr>
    </w:p>
    <w:p>
      <w:pPr>
        <w:jc w:val="both"/>
        <w:ind w:right="360"/>
        <w:spacing w:after="0" w:line="242" w:lineRule="auto"/>
        <w:rPr>
          <w:sz w:val="20"/>
          <w:szCs w:val="20"/>
          <w:color w:val="auto"/>
        </w:rPr>
      </w:pPr>
      <w:r>
        <w:rPr>
          <w:rFonts w:ascii="Calibri" w:cs="Calibri" w:eastAsia="Calibri" w:hAnsi="Calibri"/>
          <w:sz w:val="17"/>
          <w:szCs w:val="17"/>
          <w:b w:val="1"/>
          <w:bCs w:val="1"/>
          <w:i w:val="1"/>
          <w:iCs w:val="1"/>
          <w:color w:val="auto"/>
        </w:rPr>
        <w:t>Our issuance of a signifcant number of additonal shares of Class A common stock in connecton with any future fnancings, acquisitons, investments, commercial arrangements, under our stock incentve plans, or otherwise will dilute all other shareholders and our stock price could decline as a result.</w:t>
      </w:r>
    </w:p>
    <w:p>
      <w:pPr>
        <w:spacing w:after="0" w:line="203" w:lineRule="exact"/>
        <w:rPr>
          <w:sz w:val="20"/>
          <w:szCs w:val="20"/>
          <w:color w:val="auto"/>
        </w:rPr>
      </w:pPr>
    </w:p>
    <w:p>
      <w:pPr>
        <w:ind w:right="300"/>
        <w:spacing w:after="0" w:line="230" w:lineRule="auto"/>
        <w:rPr>
          <w:sz w:val="20"/>
          <w:szCs w:val="20"/>
          <w:color w:val="auto"/>
        </w:rPr>
      </w:pPr>
      <w:r>
        <w:rPr>
          <w:rFonts w:ascii="Calibri" w:cs="Calibri" w:eastAsia="Calibri" w:hAnsi="Calibri"/>
          <w:sz w:val="18"/>
          <w:szCs w:val="18"/>
          <w:color w:val="auto"/>
        </w:rPr>
        <w:t>In July 2024, we entered into the Common Stock Purchase Agreement with B. Riley Principal II pursuant to which we agreed to issue up to an aggregate of 7,300,000 shares of Class A common stock for a 36-month period beginning on the Efectve Date. We issued 1,595,855 shares under the Common Stock Purchase Agreement through the date of the fling of this Annual Report.</w:t>
      </w:r>
    </w:p>
    <w:p>
      <w:pPr>
        <w:spacing w:after="0" w:line="205" w:lineRule="exact"/>
        <w:rPr>
          <w:sz w:val="20"/>
          <w:szCs w:val="20"/>
          <w:color w:val="auto"/>
        </w:rPr>
      </w:pPr>
    </w:p>
    <w:p>
      <w:pPr>
        <w:ind w:right="500"/>
        <w:spacing w:after="0" w:line="258" w:lineRule="auto"/>
        <w:rPr>
          <w:sz w:val="20"/>
          <w:szCs w:val="20"/>
          <w:color w:val="auto"/>
        </w:rPr>
      </w:pPr>
      <w:r>
        <w:rPr>
          <w:rFonts w:ascii="Calibri" w:cs="Calibri" w:eastAsia="Calibri" w:hAnsi="Calibri"/>
          <w:sz w:val="17"/>
          <w:szCs w:val="17"/>
          <w:color w:val="auto"/>
        </w:rPr>
        <w:t>In 2022, we entered into an At Market Issuance Sales Agreement (as amended, the "At Market Issuance Sales Agreement") with B. Riley Securites, Inc., pursuant to which we have issued an aggregate of 4,167,463 shares of Class A common stock through the date of the fling of this Annual Report.</w:t>
      </w:r>
    </w:p>
    <w:p>
      <w:pPr>
        <w:spacing w:after="0" w:line="188" w:lineRule="exact"/>
        <w:rPr>
          <w:sz w:val="20"/>
          <w:szCs w:val="20"/>
          <w:color w:val="auto"/>
        </w:rPr>
      </w:pPr>
    </w:p>
    <w:p>
      <w:pPr>
        <w:ind w:right="360"/>
        <w:spacing w:after="0" w:line="227" w:lineRule="auto"/>
        <w:rPr>
          <w:sz w:val="20"/>
          <w:szCs w:val="20"/>
          <w:color w:val="auto"/>
        </w:rPr>
      </w:pPr>
      <w:r>
        <w:rPr>
          <w:rFonts w:ascii="Calibri" w:cs="Calibri" w:eastAsia="Calibri" w:hAnsi="Calibri"/>
          <w:sz w:val="18"/>
          <w:szCs w:val="18"/>
          <w:color w:val="auto"/>
        </w:rPr>
        <w:t>In December 2023, we entered into the Equity Exchange Agreement with Infnite Reality, pursuant to which we issued 180,000 shares of Class A common stock, and a one-year warrant to purchase 180,000 shares of Class A common stock.</w:t>
      </w:r>
    </w:p>
    <w:p>
      <w:pPr>
        <w:spacing w:after="0" w:line="219"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In February 2024, we entered into the Armistce SPA, pursuant to which we issued 450,300 shares of Class A common stock as SPA Shares, the Pre-Funded Warrant to purchase 810,205 shares of Class A common stock, which has been exercised in full, and the Armistce Warrant to purchase up to 1,260,505 shares of Class A common stock. We may contnue to raise capital by selling shares of Class A common stock, or instruments convertble or exercisable for Class A common stock, through future equity oferings.</w:t>
      </w:r>
    </w:p>
    <w:p>
      <w:pPr>
        <w:spacing w:after="0" w:line="232" w:lineRule="exact"/>
        <w:rPr>
          <w:sz w:val="20"/>
          <w:szCs w:val="20"/>
          <w:color w:val="auto"/>
        </w:rPr>
      </w:pPr>
    </w:p>
    <w:p>
      <w:pPr>
        <w:ind w:right="200"/>
        <w:spacing w:after="0" w:line="230" w:lineRule="auto"/>
        <w:rPr>
          <w:sz w:val="20"/>
          <w:szCs w:val="20"/>
          <w:color w:val="auto"/>
        </w:rPr>
      </w:pPr>
      <w:r>
        <w:rPr>
          <w:rFonts w:ascii="Calibri" w:cs="Calibri" w:eastAsia="Calibri" w:hAnsi="Calibri"/>
          <w:sz w:val="18"/>
          <w:szCs w:val="18"/>
          <w:color w:val="auto"/>
        </w:rPr>
        <w:t>In additon, we have issued equity compensaton pursuant to our 2021 Equity Plan, as amended and restated, and certain inducement grants, and shares of Class A common stock in exchange for our debt pursuant to certain privately negotated exchange agreements, as described under Note 5, "</w:t>
      </w:r>
      <w:r>
        <w:rPr>
          <w:rFonts w:ascii="Calibri" w:cs="Calibri" w:eastAsia="Calibri" w:hAnsi="Calibri"/>
          <w:sz w:val="18"/>
          <w:szCs w:val="18"/>
          <w:i w:val="1"/>
          <w:iCs w:val="1"/>
          <w:color w:val="auto"/>
        </w:rPr>
        <w:t>Debt</w:t>
      </w:r>
      <w:r>
        <w:rPr>
          <w:rFonts w:ascii="Calibri" w:cs="Calibri" w:eastAsia="Calibri" w:hAnsi="Calibri"/>
          <w:sz w:val="18"/>
          <w:szCs w:val="18"/>
          <w:color w:val="auto"/>
        </w:rPr>
        <w:t>", Note 6, "</w:t>
      </w:r>
      <w:r>
        <w:rPr>
          <w:rFonts w:ascii="Calibri" w:cs="Calibri" w:eastAsia="Calibri" w:hAnsi="Calibri"/>
          <w:sz w:val="18"/>
          <w:szCs w:val="18"/>
          <w:i w:val="1"/>
          <w:iCs w:val="1"/>
          <w:color w:val="auto"/>
        </w:rPr>
        <w:t>Stockholders' Defcit</w:t>
      </w:r>
      <w:r>
        <w:rPr>
          <w:rFonts w:ascii="Calibri" w:cs="Calibri" w:eastAsia="Calibri" w:hAnsi="Calibri"/>
          <w:sz w:val="18"/>
          <w:szCs w:val="18"/>
          <w:color w:val="auto"/>
        </w:rPr>
        <w:t>", and Note 17, “</w:t>
      </w:r>
      <w:r>
        <w:rPr>
          <w:rFonts w:ascii="Calibri" w:cs="Calibri" w:eastAsia="Calibri" w:hAnsi="Calibri"/>
          <w:sz w:val="18"/>
          <w:szCs w:val="18"/>
          <w:i w:val="1"/>
          <w:iCs w:val="1"/>
          <w:color w:val="auto"/>
        </w:rPr>
        <w:t>Subsequent Events—Debt Exchange Agreements</w:t>
      </w:r>
      <w:r>
        <w:rPr>
          <w:rFonts w:ascii="Calibri" w:cs="Calibri" w:eastAsia="Calibri" w:hAnsi="Calibri"/>
          <w:sz w:val="18"/>
          <w:szCs w:val="18"/>
          <w:color w:val="auto"/>
        </w:rPr>
        <w:t>".</w:t>
      </w:r>
    </w:p>
    <w:p>
      <w:pPr>
        <w:spacing w:after="0" w:line="232" w:lineRule="exact"/>
        <w:rPr>
          <w:sz w:val="20"/>
          <w:szCs w:val="20"/>
          <w:color w:val="auto"/>
        </w:rPr>
      </w:pPr>
    </w:p>
    <w:p>
      <w:pPr>
        <w:ind w:right="40"/>
        <w:spacing w:after="0" w:line="230" w:lineRule="auto"/>
        <w:rPr>
          <w:sz w:val="20"/>
          <w:szCs w:val="20"/>
          <w:color w:val="auto"/>
        </w:rPr>
      </w:pPr>
      <w:r>
        <w:rPr>
          <w:rFonts w:ascii="Calibri" w:cs="Calibri" w:eastAsia="Calibri" w:hAnsi="Calibri"/>
          <w:sz w:val="18"/>
          <w:szCs w:val="18"/>
          <w:color w:val="auto"/>
        </w:rPr>
        <w:t>We cannot predict what efect, if any, actual or potental future sales of our Class A common stock will have on the market price of our Class A common stock. Sales of substantal amounts of our Class A common stock in the public market, or the percepton that such sales could occur, could materially and adversely afect the market price of our Class A common stock.</w:t>
      </w:r>
    </w:p>
    <w:p>
      <w:pPr>
        <w:spacing w:after="0" w:line="232" w:lineRule="exact"/>
        <w:rPr>
          <w:sz w:val="20"/>
          <w:szCs w:val="20"/>
          <w:color w:val="auto"/>
        </w:rPr>
      </w:pPr>
    </w:p>
    <w:p>
      <w:pPr>
        <w:jc w:val="both"/>
        <w:ind w:right="280"/>
        <w:spacing w:after="0" w:line="230" w:lineRule="auto"/>
        <w:rPr>
          <w:sz w:val="20"/>
          <w:szCs w:val="20"/>
          <w:color w:val="auto"/>
        </w:rPr>
      </w:pPr>
      <w:r>
        <w:rPr>
          <w:rFonts w:ascii="Calibri" w:cs="Calibri" w:eastAsia="Calibri" w:hAnsi="Calibri"/>
          <w:sz w:val="18"/>
          <w:szCs w:val="18"/>
          <w:b w:val="1"/>
          <w:bCs w:val="1"/>
          <w:i w:val="1"/>
          <w:iCs w:val="1"/>
          <w:color w:val="auto"/>
        </w:rPr>
        <w:t>A signifcant porton of our total outstanding shares of Class A common stock are or will be registered for resale or will become eligible for resale under Rule 144, and may be sold into the market in the future. This could cause the market price of our Class A common stock to drop signifcantly, even if our business is doing well.</w:t>
      </w:r>
    </w:p>
    <w:p>
      <w:pPr>
        <w:spacing w:after="0" w:line="232" w:lineRule="exact"/>
        <w:rPr>
          <w:sz w:val="20"/>
          <w:szCs w:val="20"/>
          <w:color w:val="auto"/>
        </w:rPr>
      </w:pPr>
    </w:p>
    <w:p>
      <w:pPr>
        <w:ind w:right="260"/>
        <w:spacing w:after="0" w:line="227" w:lineRule="auto"/>
        <w:rPr>
          <w:sz w:val="20"/>
          <w:szCs w:val="20"/>
          <w:color w:val="auto"/>
        </w:rPr>
      </w:pPr>
      <w:r>
        <w:rPr>
          <w:rFonts w:ascii="Calibri" w:cs="Calibri" w:eastAsia="Calibri" w:hAnsi="Calibri"/>
          <w:sz w:val="18"/>
          <w:szCs w:val="18"/>
          <w:color w:val="auto"/>
        </w:rPr>
        <w:t>Sales of a substantal number of our Class A common stock could occur at any tme. These sales, or the percepton in the market that the holders of a large number of shares intend to sell shares, could reduce the market price of our Class A common stock.</w:t>
      </w:r>
    </w:p>
    <w:p>
      <w:pPr>
        <w:spacing w:after="0" w:line="246" w:lineRule="exact"/>
        <w:rPr>
          <w:sz w:val="20"/>
          <w:szCs w:val="20"/>
          <w:color w:val="auto"/>
        </w:rPr>
      </w:pPr>
    </w:p>
    <w:p>
      <w:pPr>
        <w:ind w:right="120"/>
        <w:spacing w:after="0" w:line="227" w:lineRule="auto"/>
        <w:rPr>
          <w:sz w:val="20"/>
          <w:szCs w:val="20"/>
          <w:color w:val="auto"/>
        </w:rPr>
      </w:pPr>
      <w:r>
        <w:rPr>
          <w:rFonts w:ascii="Calibri" w:cs="Calibri" w:eastAsia="Calibri" w:hAnsi="Calibri"/>
          <w:sz w:val="18"/>
          <w:szCs w:val="18"/>
          <w:color w:val="auto"/>
        </w:rPr>
        <w:t>As of the date of the fling of this Annual Report, we have registered in a registraton statement on Form S-1 up to 7,300,000 shares of Class A common stock issuable pursuant to the Common Stock Purchase Agreement that may be resold from tme to tme, over a 36-month period beginning on the Efectve Date, by B. Riley Principal II, in a registraton statement on Form S-8 up to 307,684 shares of Class A common stock issuable upon the vestng and exercise of non-qualifed stock opton inducement grants, in three registraton statements on Form S-8 an aggregate of up to 1,583,111 shares of Class A common stock that may be delivered from tme to tme pursuant to past and future awards under our 2021 Equity Incentve Plan, as amended and restated (the "2021 Equity Plan"), and in a registraton statement on Form S-3 up to 2,521,010 shares of Class A common stock issuable pursuant to the SPA that may be resold from tme to tme by Armistce.</w:t>
      </w:r>
    </w:p>
    <w:p>
      <w:pPr>
        <w:spacing w:after="0" w:line="233" w:lineRule="exact"/>
        <w:rPr>
          <w:sz w:val="20"/>
          <w:szCs w:val="20"/>
          <w:color w:val="auto"/>
        </w:rPr>
      </w:pPr>
    </w:p>
    <w:p>
      <w:pPr>
        <w:ind w:right="240"/>
        <w:spacing w:after="0" w:line="227" w:lineRule="auto"/>
        <w:rPr>
          <w:sz w:val="20"/>
          <w:szCs w:val="20"/>
          <w:color w:val="auto"/>
        </w:rPr>
      </w:pPr>
      <w:r>
        <w:rPr>
          <w:rFonts w:ascii="Calibri" w:cs="Calibri" w:eastAsia="Calibri" w:hAnsi="Calibri"/>
          <w:sz w:val="18"/>
          <w:szCs w:val="18"/>
          <w:color w:val="auto"/>
        </w:rPr>
        <w:t>As the shares of Class A common stock registered pursuant to these registraton statements can be freely sold in the public market, the market price of our Class A common stock could decline if the stockholders sell their shares or are perceived by the market as intending to sell them.</w:t>
      </w:r>
    </w:p>
    <w:p>
      <w:pPr>
        <w:spacing w:after="0" w:line="232" w:lineRule="exact"/>
        <w:rPr>
          <w:sz w:val="20"/>
          <w:szCs w:val="20"/>
          <w:color w:val="auto"/>
        </w:rPr>
      </w:pPr>
    </w:p>
    <w:p>
      <w:pPr>
        <w:spacing w:after="0" w:line="230" w:lineRule="auto"/>
        <w:rPr>
          <w:sz w:val="20"/>
          <w:szCs w:val="20"/>
          <w:color w:val="auto"/>
        </w:rPr>
      </w:pPr>
      <w:r>
        <w:rPr>
          <w:rFonts w:ascii="Calibri" w:cs="Calibri" w:eastAsia="Calibri" w:hAnsi="Calibri"/>
          <w:sz w:val="18"/>
          <w:szCs w:val="18"/>
          <w:color w:val="auto"/>
        </w:rPr>
        <w:t>In additon, we issued 180,000 shares of Class A common stock and a one-year warrant to purchase 180,000 shares of Class A common stock to Infnite Reality as restricted securites in private placements under Secton 4(a)(2) of the Securites Act, which shares became eligible for resale under Rule 144 under the Securites Act in June 2024, and shares of</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5" w:name="page46"/>
    <w:bookmarkEnd w:id="45"/>
    <w:p>
      <w:pPr>
        <w:ind w:right="280"/>
        <w:spacing w:after="0" w:line="227" w:lineRule="auto"/>
        <w:rPr>
          <w:sz w:val="20"/>
          <w:szCs w:val="20"/>
          <w:color w:val="auto"/>
        </w:rPr>
      </w:pPr>
      <w:r>
        <w:rPr>
          <w:rFonts w:ascii="Calibri" w:cs="Calibri" w:eastAsia="Calibri" w:hAnsi="Calibri"/>
          <w:sz w:val="18"/>
          <w:szCs w:val="18"/>
          <w:color w:val="auto"/>
        </w:rPr>
        <w:t>Class A common stock in exchange for our debt pursuant to certain privately negotated exchange agreements, as described under Note 5, "</w:t>
      </w:r>
      <w:r>
        <w:rPr>
          <w:rFonts w:ascii="Calibri" w:cs="Calibri" w:eastAsia="Calibri" w:hAnsi="Calibri"/>
          <w:sz w:val="18"/>
          <w:szCs w:val="18"/>
          <w:i w:val="1"/>
          <w:iCs w:val="1"/>
          <w:color w:val="auto"/>
        </w:rPr>
        <w:t>Debt</w:t>
      </w:r>
      <w:r>
        <w:rPr>
          <w:rFonts w:ascii="Calibri" w:cs="Calibri" w:eastAsia="Calibri" w:hAnsi="Calibri"/>
          <w:sz w:val="18"/>
          <w:szCs w:val="18"/>
          <w:color w:val="auto"/>
        </w:rPr>
        <w:t>", Note 6, "</w:t>
      </w:r>
      <w:r>
        <w:rPr>
          <w:rFonts w:ascii="Calibri" w:cs="Calibri" w:eastAsia="Calibri" w:hAnsi="Calibri"/>
          <w:sz w:val="18"/>
          <w:szCs w:val="18"/>
          <w:i w:val="1"/>
          <w:iCs w:val="1"/>
          <w:color w:val="auto"/>
        </w:rPr>
        <w:t>Stockholders' Defcit</w:t>
      </w:r>
      <w:r>
        <w:rPr>
          <w:rFonts w:ascii="Calibri" w:cs="Calibri" w:eastAsia="Calibri" w:hAnsi="Calibri"/>
          <w:sz w:val="18"/>
          <w:szCs w:val="18"/>
          <w:color w:val="auto"/>
        </w:rPr>
        <w:t>", and Note 17, “</w:t>
      </w:r>
      <w:r>
        <w:rPr>
          <w:rFonts w:ascii="Calibri" w:cs="Calibri" w:eastAsia="Calibri" w:hAnsi="Calibri"/>
          <w:sz w:val="18"/>
          <w:szCs w:val="18"/>
          <w:i w:val="1"/>
          <w:iCs w:val="1"/>
          <w:color w:val="auto"/>
        </w:rPr>
        <w:t>Subsequent Events—Debt Exchange Agreements</w:t>
      </w:r>
      <w:r>
        <w:rPr>
          <w:rFonts w:ascii="Calibri" w:cs="Calibri" w:eastAsia="Calibri" w:hAnsi="Calibri"/>
          <w:sz w:val="18"/>
          <w:szCs w:val="18"/>
          <w:color w:val="auto"/>
        </w:rPr>
        <w:t>".</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market price, trading volume and marketability of our Class A common stock may be signifcantly afected by numerous factors beyond our control.</w:t>
      </w:r>
    </w:p>
    <w:p>
      <w:pPr>
        <w:spacing w:after="0" w:line="204" w:lineRule="exact"/>
        <w:rPr>
          <w:sz w:val="20"/>
          <w:szCs w:val="20"/>
          <w:color w:val="auto"/>
        </w:rPr>
      </w:pPr>
    </w:p>
    <w:p>
      <w:pPr>
        <w:jc w:val="both"/>
        <w:ind w:right="140"/>
        <w:spacing w:after="0" w:line="228" w:lineRule="auto"/>
        <w:rPr>
          <w:sz w:val="20"/>
          <w:szCs w:val="20"/>
          <w:color w:val="auto"/>
        </w:rPr>
      </w:pPr>
      <w:r>
        <w:rPr>
          <w:rFonts w:ascii="Calibri" w:cs="Calibri" w:eastAsia="Calibri" w:hAnsi="Calibri"/>
          <w:sz w:val="18"/>
          <w:szCs w:val="18"/>
          <w:color w:val="auto"/>
        </w:rPr>
        <w:t>The market price and trading volume of our Class A common stock may fuctuate or decline. The market price of our Class A common stock has been, and is likely to contnue to be, volatle. When the price of bitcoin declines, our stock price has historically fallen as well. We may experience similar declines on our market price in the future if our stock price contnues to track the price of bitcoin. However, in late 2023 and 2024, the price of bitcoin has increased, in part due to the introducton of several spot bitcoin exchange-traded products, which have received billions of dollars of infows.</w:t>
      </w:r>
    </w:p>
    <w:p>
      <w:pPr>
        <w:spacing w:after="0" w:line="232" w:lineRule="exact"/>
        <w:rPr>
          <w:sz w:val="20"/>
          <w:szCs w:val="20"/>
          <w:color w:val="auto"/>
        </w:rPr>
      </w:pPr>
    </w:p>
    <w:p>
      <w:pPr>
        <w:ind w:right="120"/>
        <w:spacing w:after="0" w:line="228" w:lineRule="auto"/>
        <w:rPr>
          <w:sz w:val="20"/>
          <w:szCs w:val="20"/>
          <w:color w:val="auto"/>
        </w:rPr>
      </w:pPr>
      <w:r>
        <w:rPr>
          <w:rFonts w:ascii="Calibri" w:cs="Calibri" w:eastAsia="Calibri" w:hAnsi="Calibri"/>
          <w:sz w:val="18"/>
          <w:szCs w:val="18"/>
          <w:color w:val="auto"/>
        </w:rPr>
        <w:t>Furthermore, if the overall market for stocks of cryptocurrency-related issuers or the stock market in general experiences a loss of investor confdence, the market price of our stock could decline for reasons unrelated to our business, operatng results or fnancial conditon. The market price of our Class A common stock could be subject to arbitrary pricing factors that are not necessarily associated with traditonal factors that infuence stock prices or the value of non-cryptocurrency assets such as revenue, cash fows, proftability, growth prospects or business actvity levels since the value and price, as determined by the investng public, may be infuenced by future antcipated adopton or appreciaton in value of cryptocurrencies or blockchains generally, factors over which we have litle or no infuence or control.</w:t>
      </w:r>
    </w:p>
    <w:p>
      <w:pPr>
        <w:spacing w:after="0" w:line="206" w:lineRule="exact"/>
        <w:rPr>
          <w:sz w:val="20"/>
          <w:szCs w:val="20"/>
          <w:color w:val="auto"/>
        </w:rPr>
      </w:pPr>
    </w:p>
    <w:p>
      <w:pPr>
        <w:spacing w:after="0" w:line="230" w:lineRule="auto"/>
        <w:rPr>
          <w:sz w:val="20"/>
          <w:szCs w:val="20"/>
          <w:color w:val="auto"/>
        </w:rPr>
      </w:pPr>
      <w:r>
        <w:rPr>
          <w:rFonts w:ascii="Calibri" w:cs="Calibri" w:eastAsia="Calibri" w:hAnsi="Calibri"/>
          <w:sz w:val="18"/>
          <w:szCs w:val="18"/>
          <w:color w:val="auto"/>
        </w:rPr>
        <w:t>Additonally, there are many other factors that are beyond our control that may materially and adversely afect the market price of our Class A common stock, the marketability of our Class A common stock and our ability to raise capital through equity fnancings. These factors include, but are not limited to, the following:</w:t>
      </w:r>
    </w:p>
    <w:p>
      <w:pPr>
        <w:spacing w:after="0" w:line="93" w:lineRule="exact"/>
        <w:rPr>
          <w:sz w:val="20"/>
          <w:szCs w:val="20"/>
          <w:color w:val="auto"/>
        </w:rPr>
      </w:pPr>
    </w:p>
    <w:p>
      <w:pPr>
        <w:ind w:left="980" w:hanging="648"/>
        <w:spacing w:after="0"/>
        <w:tabs>
          <w:tab w:leader="none" w:pos="98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the underlying volatlity in pricing of, and demand for, energy and/or bitcoin;</w:t>
      </w:r>
    </w:p>
    <w:p>
      <w:pPr>
        <w:spacing w:after="0" w:line="104" w:lineRule="exact"/>
        <w:rPr>
          <w:rFonts w:ascii="Calibri" w:cs="Calibri" w:eastAsia="Calibri" w:hAnsi="Calibri"/>
          <w:sz w:val="18"/>
          <w:szCs w:val="18"/>
          <w:color w:val="auto"/>
        </w:rPr>
      </w:pPr>
    </w:p>
    <w:p>
      <w:pPr>
        <w:ind w:left="980" w:hanging="648"/>
        <w:spacing w:after="0"/>
        <w:tabs>
          <w:tab w:leader="none" w:pos="98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price and volume fuctuatons in the stock markets generally, which create highly variable and unpredictable pricing of equity securites;</w:t>
      </w:r>
    </w:p>
    <w:p>
      <w:pPr>
        <w:spacing w:after="0" w:line="95" w:lineRule="exact"/>
        <w:rPr>
          <w:rFonts w:ascii="Calibri" w:cs="Calibri" w:eastAsia="Calibri" w:hAnsi="Calibri"/>
          <w:sz w:val="18"/>
          <w:szCs w:val="18"/>
          <w:color w:val="auto"/>
        </w:rPr>
      </w:pPr>
    </w:p>
    <w:p>
      <w:pPr>
        <w:ind w:left="980" w:right="120" w:hanging="648"/>
        <w:spacing w:after="0" w:line="227" w:lineRule="auto"/>
        <w:tabs>
          <w:tab w:leader="none" w:pos="973"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actual or antcipated variatons in our annual or quarterly results of operatons, including our earnings estmates and whether we meet market expectatons with regard to our earnings;</w:t>
      </w:r>
    </w:p>
    <w:p>
      <w:pPr>
        <w:spacing w:after="0" w:line="110" w:lineRule="exact"/>
        <w:rPr>
          <w:rFonts w:ascii="Calibri" w:cs="Calibri" w:eastAsia="Calibri" w:hAnsi="Calibri"/>
          <w:sz w:val="18"/>
          <w:szCs w:val="18"/>
          <w:color w:val="auto"/>
        </w:rPr>
      </w:pPr>
    </w:p>
    <w:p>
      <w:pPr>
        <w:ind w:left="980" w:right="80" w:hanging="648"/>
        <w:spacing w:after="0" w:line="227" w:lineRule="auto"/>
        <w:tabs>
          <w:tab w:leader="none" w:pos="973"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signifcant volatlity in the market price and trading volume of securites of companies in the sectors in which our business operates, which may not be related to the operatng performance of these companies and which may not refect the performance of our businesses;</w:t>
      </w:r>
    </w:p>
    <w:p>
      <w:pPr>
        <w:spacing w:after="0" w:line="92" w:lineRule="exact"/>
        <w:rPr>
          <w:rFonts w:ascii="Calibri" w:cs="Calibri" w:eastAsia="Calibri" w:hAnsi="Calibri"/>
          <w:sz w:val="18"/>
          <w:szCs w:val="18"/>
          <w:color w:val="auto"/>
        </w:rPr>
      </w:pPr>
    </w:p>
    <w:p>
      <w:pPr>
        <w:ind w:left="980" w:hanging="648"/>
        <w:spacing w:after="0"/>
        <w:tabs>
          <w:tab w:leader="none" w:pos="98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loss of a major funding source;</w:t>
      </w:r>
    </w:p>
    <w:p>
      <w:pPr>
        <w:spacing w:after="0" w:line="104" w:lineRule="exact"/>
        <w:rPr>
          <w:rFonts w:ascii="Calibri" w:cs="Calibri" w:eastAsia="Calibri" w:hAnsi="Calibri"/>
          <w:sz w:val="18"/>
          <w:szCs w:val="18"/>
          <w:color w:val="auto"/>
        </w:rPr>
      </w:pPr>
    </w:p>
    <w:p>
      <w:pPr>
        <w:ind w:left="980" w:hanging="648"/>
        <w:spacing w:after="0"/>
        <w:tabs>
          <w:tab w:leader="none" w:pos="98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operatng performance of companies comparable to us;</w:t>
      </w:r>
    </w:p>
    <w:p>
      <w:pPr>
        <w:spacing w:after="0" w:line="90" w:lineRule="exact"/>
        <w:rPr>
          <w:rFonts w:ascii="Calibri" w:cs="Calibri" w:eastAsia="Calibri" w:hAnsi="Calibri"/>
          <w:sz w:val="18"/>
          <w:szCs w:val="18"/>
          <w:color w:val="auto"/>
        </w:rPr>
      </w:pPr>
    </w:p>
    <w:p>
      <w:pPr>
        <w:ind w:left="980" w:hanging="648"/>
        <w:spacing w:after="0"/>
        <w:tabs>
          <w:tab w:leader="none" w:pos="98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changes in regulatons or tax law, including those afectng the holding, transferring, or mining of cryptocurrency;</w:t>
      </w:r>
    </w:p>
    <w:p>
      <w:pPr>
        <w:spacing w:after="0" w:line="90" w:lineRule="exact"/>
        <w:rPr>
          <w:rFonts w:ascii="Calibri" w:cs="Calibri" w:eastAsia="Calibri" w:hAnsi="Calibri"/>
          <w:sz w:val="18"/>
          <w:szCs w:val="18"/>
          <w:color w:val="auto"/>
        </w:rPr>
      </w:pPr>
    </w:p>
    <w:p>
      <w:pPr>
        <w:ind w:left="980" w:hanging="648"/>
        <w:spacing w:after="0"/>
        <w:tabs>
          <w:tab w:leader="none" w:pos="98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share transactons by principal stockholders;</w:t>
      </w:r>
    </w:p>
    <w:p>
      <w:pPr>
        <w:spacing w:after="0" w:line="104" w:lineRule="exact"/>
        <w:rPr>
          <w:rFonts w:ascii="Calibri" w:cs="Calibri" w:eastAsia="Calibri" w:hAnsi="Calibri"/>
          <w:sz w:val="18"/>
          <w:szCs w:val="18"/>
          <w:color w:val="auto"/>
        </w:rPr>
      </w:pPr>
    </w:p>
    <w:p>
      <w:pPr>
        <w:ind w:left="980" w:hanging="648"/>
        <w:spacing w:after="0"/>
        <w:tabs>
          <w:tab w:leader="none" w:pos="98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the Company’s contnued listng on the Nasdaq;</w:t>
      </w:r>
    </w:p>
    <w:p>
      <w:pPr>
        <w:spacing w:after="0" w:line="90" w:lineRule="exact"/>
        <w:rPr>
          <w:rFonts w:ascii="Calibri" w:cs="Calibri" w:eastAsia="Calibri" w:hAnsi="Calibri"/>
          <w:sz w:val="18"/>
          <w:szCs w:val="18"/>
          <w:color w:val="auto"/>
        </w:rPr>
      </w:pPr>
    </w:p>
    <w:p>
      <w:pPr>
        <w:ind w:left="980" w:hanging="648"/>
        <w:spacing w:after="0"/>
        <w:tabs>
          <w:tab w:leader="none" w:pos="98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recruitment or departure of key personnel;</w:t>
      </w:r>
    </w:p>
    <w:p>
      <w:pPr>
        <w:spacing w:after="0" w:line="95" w:lineRule="exact"/>
        <w:rPr>
          <w:rFonts w:ascii="Calibri" w:cs="Calibri" w:eastAsia="Calibri" w:hAnsi="Calibri"/>
          <w:sz w:val="18"/>
          <w:szCs w:val="18"/>
          <w:color w:val="auto"/>
        </w:rPr>
      </w:pPr>
    </w:p>
    <w:p>
      <w:pPr>
        <w:ind w:left="980" w:right="260" w:hanging="648"/>
        <w:spacing w:after="0" w:line="235" w:lineRule="auto"/>
        <w:tabs>
          <w:tab w:leader="none" w:pos="973"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geopolitcal factors, including the ongoing war between Russia and Ukraine, the confict in the Israel-Gaza region, and contnued hostlites in the Middle East;</w:t>
      </w:r>
    </w:p>
    <w:p>
      <w:pPr>
        <w:spacing w:after="0" w:line="91" w:lineRule="exact"/>
        <w:rPr>
          <w:rFonts w:ascii="Calibri" w:cs="Calibri" w:eastAsia="Calibri" w:hAnsi="Calibri"/>
          <w:sz w:val="18"/>
          <w:szCs w:val="18"/>
          <w:color w:val="auto"/>
        </w:rPr>
      </w:pPr>
    </w:p>
    <w:p>
      <w:pPr>
        <w:ind w:left="980" w:hanging="648"/>
        <w:spacing w:after="0"/>
        <w:tabs>
          <w:tab w:leader="none" w:pos="98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general economic trends and other external factors including infaton, new tarifs and interest rates;</w:t>
      </w:r>
    </w:p>
    <w:p>
      <w:pPr>
        <w:spacing w:after="0" w:line="95" w:lineRule="exact"/>
        <w:rPr>
          <w:rFonts w:ascii="Calibri" w:cs="Calibri" w:eastAsia="Calibri" w:hAnsi="Calibri"/>
          <w:sz w:val="18"/>
          <w:szCs w:val="18"/>
          <w:color w:val="auto"/>
        </w:rPr>
      </w:pPr>
    </w:p>
    <w:p>
      <w:pPr>
        <w:ind w:left="980" w:right="540" w:hanging="648"/>
        <w:spacing w:after="0" w:line="235" w:lineRule="auto"/>
        <w:tabs>
          <w:tab w:leader="none" w:pos="973"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increased scrutny by governmental authorites or individual actors or community groups regarding our business, our compettors, or the industry in which we operate;</w:t>
      </w:r>
    </w:p>
    <w:p>
      <w:pPr>
        <w:spacing w:after="0" w:line="96" w:lineRule="exact"/>
        <w:rPr>
          <w:rFonts w:ascii="Calibri" w:cs="Calibri" w:eastAsia="Calibri" w:hAnsi="Calibri"/>
          <w:sz w:val="18"/>
          <w:szCs w:val="18"/>
          <w:color w:val="auto"/>
        </w:rPr>
      </w:pPr>
    </w:p>
    <w:p>
      <w:pPr>
        <w:ind w:left="980" w:right="220" w:hanging="648"/>
        <w:spacing w:after="0" w:line="227" w:lineRule="auto"/>
        <w:tabs>
          <w:tab w:leader="none" w:pos="973"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publicaton of research reports by analysts and others about us or the cryptocurrency mining industry, which may be unfavorable, inaccurate, inconsistent, or not disseminated on a regular basis;</w:t>
      </w:r>
    </w:p>
    <w:p>
      <w:pPr>
        <w:spacing w:after="0" w:line="97" w:lineRule="exact"/>
        <w:rPr>
          <w:rFonts w:ascii="Calibri" w:cs="Calibri" w:eastAsia="Calibri" w:hAnsi="Calibri"/>
          <w:sz w:val="18"/>
          <w:szCs w:val="18"/>
          <w:color w:val="auto"/>
        </w:rPr>
      </w:pPr>
    </w:p>
    <w:p>
      <w:pPr>
        <w:ind w:left="980" w:right="280" w:hanging="648"/>
        <w:spacing w:after="0" w:line="235" w:lineRule="auto"/>
        <w:tabs>
          <w:tab w:leader="none" w:pos="973"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sentment of retail investors about our Class A common stock and business generally (including as may be expressed on fnancial trading and other social media sites and online forums);</w:t>
      </w:r>
    </w:p>
    <w:p>
      <w:pPr>
        <w:spacing w:after="0" w:line="91" w:lineRule="exact"/>
        <w:rPr>
          <w:rFonts w:ascii="Calibri" w:cs="Calibri" w:eastAsia="Calibri" w:hAnsi="Calibri"/>
          <w:sz w:val="18"/>
          <w:szCs w:val="18"/>
          <w:color w:val="auto"/>
        </w:rPr>
      </w:pPr>
    </w:p>
    <w:p>
      <w:pPr>
        <w:ind w:left="980" w:hanging="648"/>
        <w:spacing w:after="0"/>
        <w:tabs>
          <w:tab w:leader="none" w:pos="98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speculaton in the media or investment community about us or the cryptocurrency industry more broadly; and</w:t>
      </w:r>
    </w:p>
    <w:p>
      <w:pPr>
        <w:spacing w:after="0" w:line="90" w:lineRule="exact"/>
        <w:rPr>
          <w:rFonts w:ascii="Calibri" w:cs="Calibri" w:eastAsia="Calibri" w:hAnsi="Calibri"/>
          <w:sz w:val="18"/>
          <w:szCs w:val="18"/>
          <w:color w:val="auto"/>
        </w:rPr>
      </w:pPr>
    </w:p>
    <w:p>
      <w:pPr>
        <w:ind w:left="980" w:hanging="648"/>
        <w:spacing w:after="0"/>
        <w:tabs>
          <w:tab w:leader="none" w:pos="98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the occurrence of any of the other risk factors included in this Annual Report.</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6" w:name="page47"/>
    <w:bookmarkEnd w:id="46"/>
    <w:p>
      <w:pPr>
        <w:ind w:right="80"/>
        <w:spacing w:after="0" w:line="230" w:lineRule="auto"/>
        <w:rPr>
          <w:sz w:val="20"/>
          <w:szCs w:val="20"/>
          <w:color w:val="auto"/>
        </w:rPr>
      </w:pPr>
      <w:r>
        <w:rPr>
          <w:rFonts w:ascii="Calibri" w:cs="Calibri" w:eastAsia="Calibri" w:hAnsi="Calibri"/>
          <w:sz w:val="18"/>
          <w:szCs w:val="18"/>
          <w:b w:val="1"/>
          <w:bCs w:val="1"/>
          <w:i w:val="1"/>
          <w:iCs w:val="1"/>
          <w:color w:val="auto"/>
        </w:rPr>
        <w:t>We are subject to ongoing public reportng requirements that are less rigorous than Exchange Act rules for companies that are not emerging growth companies or smaller reportng companies, and stockholders could receive less informaton than they might expect to receive from larger or more mature public companies.</w:t>
      </w:r>
    </w:p>
    <w:p>
      <w:pPr>
        <w:spacing w:after="0" w:line="97" w:lineRule="exact"/>
        <w:rPr>
          <w:sz w:val="20"/>
          <w:szCs w:val="20"/>
          <w:color w:val="auto"/>
        </w:rPr>
      </w:pPr>
    </w:p>
    <w:p>
      <w:pPr>
        <w:ind w:right="160"/>
        <w:spacing w:after="0" w:line="228" w:lineRule="auto"/>
        <w:rPr>
          <w:sz w:val="20"/>
          <w:szCs w:val="20"/>
          <w:color w:val="auto"/>
        </w:rPr>
      </w:pPr>
      <w:r>
        <w:rPr>
          <w:rFonts w:ascii="Calibri" w:cs="Calibri" w:eastAsia="Calibri" w:hAnsi="Calibri"/>
          <w:sz w:val="18"/>
          <w:szCs w:val="18"/>
          <w:color w:val="auto"/>
        </w:rPr>
        <w:t>We qualify to publicly report on an ongoing basis as an "emerging growth company" (as defned in the JOBS Act) and a "smaller reportng company" (as defned in SEC rules) under the reportng rules set forth under the Exchange Act. For so long as we remain an emerging growth company, we may take advantage of certain exemptons from various reportng requirements that are applicable to other Exchange Act reportng companies that are not emerging growth companies, including but not limited to:</w:t>
      </w:r>
    </w:p>
    <w:p>
      <w:pPr>
        <w:spacing w:after="0" w:line="92" w:lineRule="exact"/>
        <w:rPr>
          <w:sz w:val="20"/>
          <w:szCs w:val="20"/>
          <w:color w:val="auto"/>
        </w:rPr>
      </w:pPr>
    </w:p>
    <w:p>
      <w:pPr>
        <w:ind w:left="640" w:hanging="308"/>
        <w:spacing w:after="0"/>
        <w:tabs>
          <w:tab w:leader="none" w:pos="64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not being required to comply with the auditor atestaton requirements of Secton 404 of the Sarbanes-Oxley Act;</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being permited to include two, not three, years of audited fnancials in our Forms 10-K and other reduced fnancial disclosures;</w:t>
      </w:r>
    </w:p>
    <w:p>
      <w:pPr>
        <w:spacing w:after="0" w:line="95" w:lineRule="exact"/>
        <w:rPr>
          <w:rFonts w:ascii="Calibri" w:cs="Calibri" w:eastAsia="Calibri" w:hAnsi="Calibri"/>
          <w:sz w:val="18"/>
          <w:szCs w:val="18"/>
          <w:color w:val="auto"/>
        </w:rPr>
      </w:pPr>
    </w:p>
    <w:p>
      <w:pPr>
        <w:ind w:left="640" w:hanging="308"/>
        <w:spacing w:after="0"/>
        <w:tabs>
          <w:tab w:leader="none" w:pos="640" w:val="left"/>
        </w:tabs>
        <w:numPr>
          <w:ilvl w:val="0"/>
          <w:numId w:val="21"/>
        </w:numPr>
        <w:rPr>
          <w:rFonts w:ascii="Calibri" w:cs="Calibri" w:eastAsia="Calibri" w:hAnsi="Calibri"/>
          <w:sz w:val="17"/>
          <w:szCs w:val="17"/>
          <w:color w:val="auto"/>
        </w:rPr>
      </w:pPr>
      <w:r>
        <w:rPr>
          <w:rFonts w:ascii="Calibri" w:cs="Calibri" w:eastAsia="Calibri" w:hAnsi="Calibri"/>
          <w:sz w:val="17"/>
          <w:szCs w:val="17"/>
          <w:color w:val="auto"/>
        </w:rPr>
        <w:t>being permited to comply with reduced disclosure obligatons regarding executve compensaton in our periodic reports and proxy statements; and</w:t>
      </w:r>
    </w:p>
    <w:p>
      <w:pPr>
        <w:spacing w:after="0" w:line="102" w:lineRule="exact"/>
        <w:rPr>
          <w:rFonts w:ascii="Calibri" w:cs="Calibri" w:eastAsia="Calibri" w:hAnsi="Calibri"/>
          <w:sz w:val="17"/>
          <w:szCs w:val="17"/>
          <w:color w:val="auto"/>
        </w:rPr>
      </w:pPr>
    </w:p>
    <w:p>
      <w:pPr>
        <w:ind w:left="660" w:right="600" w:hanging="328"/>
        <w:spacing w:after="0" w:line="235" w:lineRule="auto"/>
        <w:tabs>
          <w:tab w:leader="none" w:pos="653"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being exempt from the requirement to hold a non-binding advisory vote on executve compensaton and stockholder approval of any golden parachute payments not previously approved.</w:t>
      </w:r>
    </w:p>
    <w:p>
      <w:pPr>
        <w:spacing w:after="0" w:line="204" w:lineRule="exact"/>
        <w:rPr>
          <w:sz w:val="20"/>
          <w:szCs w:val="20"/>
          <w:color w:val="auto"/>
        </w:rPr>
      </w:pPr>
    </w:p>
    <w:p>
      <w:pPr>
        <w:ind w:right="120"/>
        <w:spacing w:after="0" w:line="226" w:lineRule="auto"/>
        <w:rPr>
          <w:sz w:val="20"/>
          <w:szCs w:val="20"/>
          <w:color w:val="auto"/>
        </w:rPr>
      </w:pPr>
      <w:r>
        <w:rPr>
          <w:rFonts w:ascii="Calibri" w:cs="Calibri" w:eastAsia="Calibri" w:hAnsi="Calibri"/>
          <w:sz w:val="18"/>
          <w:szCs w:val="18"/>
          <w:color w:val="auto"/>
        </w:rPr>
        <w:t>In additon, Secton 107 of the JOBS Act also provides that an emerging growth company can take advantage of the extended transiton period provided in Secton 7(a)(2)(B) of the Securites Act for complying with new or revised accountng standards. This means that an emerging growth company can delay the adopton of certain accountng standards untl those standards would otherwise apply to private companies. We have elected to take advantage of the benefts of this extended transiton period and so our fnancial statements may not be comparable to those of companies that comply with such new or revised accountng standards.</w:t>
      </w:r>
    </w:p>
    <w:p>
      <w:pPr>
        <w:spacing w:after="0" w:line="221" w:lineRule="exact"/>
        <w:rPr>
          <w:sz w:val="20"/>
          <w:szCs w:val="20"/>
          <w:color w:val="auto"/>
        </w:rPr>
      </w:pPr>
    </w:p>
    <w:p>
      <w:pPr>
        <w:spacing w:after="0" w:line="225" w:lineRule="auto"/>
        <w:rPr>
          <w:sz w:val="20"/>
          <w:szCs w:val="20"/>
          <w:color w:val="auto"/>
        </w:rPr>
      </w:pPr>
      <w:r>
        <w:rPr>
          <w:rFonts w:ascii="Calibri" w:cs="Calibri" w:eastAsia="Calibri" w:hAnsi="Calibri"/>
          <w:sz w:val="18"/>
          <w:szCs w:val="18"/>
          <w:color w:val="auto"/>
        </w:rPr>
        <w:t>We expect to take advantage of these reportng exemptons untl we are no longer an emerging growth company or smaller reportng company. We can remain an emerging growth company for up to fve years from our frst sale of common stock pursuant to an efectve Securites Act registraton statement in 2021, although if the market value of our Class A common stock that is held by non-afliates exceeds $700 million or more as of any June 30 before that tme, we would cease to be an emerging growth company as of the following December 31. We also qualify as a smaller reportng company untl our public foat, as of the last day of our second fscal quarter, exceeds $250 million; because our common stock held by our directors, executve ofcers and Atlas and its afliates are excluded from the calculaton of public foat, we antcipate qualifying as a smaller reportng company for the near future.</w:t>
      </w:r>
    </w:p>
    <w:p>
      <w:pPr>
        <w:spacing w:after="0" w:line="114" w:lineRule="exact"/>
        <w:rPr>
          <w:sz w:val="20"/>
          <w:szCs w:val="20"/>
          <w:color w:val="auto"/>
        </w:rPr>
      </w:pPr>
    </w:p>
    <w:p>
      <w:pPr>
        <w:ind w:right="40"/>
        <w:spacing w:after="0" w:line="225" w:lineRule="auto"/>
        <w:rPr>
          <w:sz w:val="20"/>
          <w:szCs w:val="20"/>
          <w:color w:val="auto"/>
        </w:rPr>
      </w:pPr>
      <w:r>
        <w:rPr>
          <w:rFonts w:ascii="Calibri" w:cs="Calibri" w:eastAsia="Calibri" w:hAnsi="Calibri"/>
          <w:sz w:val="18"/>
          <w:szCs w:val="18"/>
          <w:color w:val="auto"/>
        </w:rPr>
        <w:t>Because we will be subject to ongoing public reportng requirements that are less rigorous than Exchange Act rules for companies that are not emerging growth companies or smaller reportng companies, stockholders could receive less informaton than they might expect to receive from more mature or larger public companies, and the Class A common stock may experience less actve trading or more price volatlity as a result.</w:t>
      </w:r>
    </w:p>
    <w:p>
      <w:pPr>
        <w:spacing w:after="0" w:line="327" w:lineRule="exact"/>
        <w:rPr>
          <w:sz w:val="20"/>
          <w:szCs w:val="20"/>
          <w:color w:val="auto"/>
        </w:rPr>
      </w:pPr>
    </w:p>
    <w:p>
      <w:pPr>
        <w:ind w:right="320"/>
        <w:spacing w:after="0" w:line="227" w:lineRule="auto"/>
        <w:rPr>
          <w:sz w:val="20"/>
          <w:szCs w:val="20"/>
          <w:color w:val="auto"/>
        </w:rPr>
      </w:pPr>
      <w:r>
        <w:rPr>
          <w:rFonts w:ascii="Calibri" w:cs="Calibri" w:eastAsia="Calibri" w:hAnsi="Calibri"/>
          <w:sz w:val="18"/>
          <w:szCs w:val="18"/>
          <w:b w:val="1"/>
          <w:bCs w:val="1"/>
          <w:i w:val="1"/>
          <w:iCs w:val="1"/>
          <w:color w:val="auto"/>
        </w:rPr>
        <w:t>We have not historically declared or paid a dividend on our shares of Class A common stock and, consequently, your ability to achieve a return on your investment has depended on appreciaton in the price of our Class A common stock.</w:t>
      </w:r>
    </w:p>
    <w:p>
      <w:pPr>
        <w:spacing w:after="0" w:line="97"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We have never declared or paid cash dividends on our capital stock. The declaraton of dividends, if any, including the form in which they may be paid, will be subject to the discreton of our board, which may consider such factors as our results of operatons, fnancial conditon, capital needs and acquisiton strategy, among others. The success of an investment in our Class A common stock will depend upon any future appreciaton in the price of shares of our Class A common stock, as well as any dividend that our board may determine is advisable to declare or pay to holders of such shares. We can provide no assurance that the price of shares of our Class A common stock will appreciate above the price that a stockholder purchased its shares of Class A common stock and any potental dividend declared or paid thereon.</w:t>
      </w:r>
    </w:p>
    <w:p>
      <w:pPr>
        <w:spacing w:after="0" w:line="314" w:lineRule="exact"/>
        <w:rPr>
          <w:sz w:val="20"/>
          <w:szCs w:val="20"/>
          <w:color w:val="auto"/>
        </w:rPr>
      </w:pPr>
    </w:p>
    <w:p>
      <w:pPr>
        <w:ind w:right="760"/>
        <w:spacing w:after="0" w:line="227" w:lineRule="auto"/>
        <w:rPr>
          <w:sz w:val="20"/>
          <w:szCs w:val="20"/>
          <w:color w:val="auto"/>
        </w:rPr>
      </w:pPr>
      <w:r>
        <w:rPr>
          <w:rFonts w:ascii="Calibri" w:cs="Calibri" w:eastAsia="Calibri" w:hAnsi="Calibri"/>
          <w:sz w:val="18"/>
          <w:szCs w:val="18"/>
          <w:b w:val="1"/>
          <w:bCs w:val="1"/>
          <w:i w:val="1"/>
          <w:iCs w:val="1"/>
          <w:color w:val="auto"/>
        </w:rPr>
        <w:t>Ant-takeover provisions in our charter documents and under Delaware law could make an acquisiton of us more difcult, and limit atempts by stockholders to replace or remove current management.</w:t>
      </w:r>
    </w:p>
    <w:p>
      <w:pPr>
        <w:spacing w:after="0" w:line="111" w:lineRule="exact"/>
        <w:rPr>
          <w:sz w:val="20"/>
          <w:szCs w:val="20"/>
          <w:color w:val="auto"/>
        </w:rPr>
      </w:pPr>
    </w:p>
    <w:p>
      <w:pPr>
        <w:ind w:right="500"/>
        <w:spacing w:after="0" w:line="227" w:lineRule="auto"/>
        <w:rPr>
          <w:sz w:val="20"/>
          <w:szCs w:val="20"/>
          <w:color w:val="auto"/>
        </w:rPr>
      </w:pPr>
      <w:r>
        <w:rPr>
          <w:rFonts w:ascii="Calibri" w:cs="Calibri" w:eastAsia="Calibri" w:hAnsi="Calibri"/>
          <w:sz w:val="18"/>
          <w:szCs w:val="18"/>
          <w:color w:val="auto"/>
        </w:rPr>
        <w:t>Provisions in our second amended and restated certfcate of incorporaton, as amended, and our amended and restated bylaws may have the efect of delaying or preventng a change of control or changes in our management, including provisions that:</w:t>
      </w:r>
    </w:p>
    <w:p>
      <w:pPr>
        <w:spacing w:after="0" w:line="97" w:lineRule="exact"/>
        <w:rPr>
          <w:sz w:val="20"/>
          <w:szCs w:val="20"/>
          <w:color w:val="auto"/>
        </w:rPr>
      </w:pPr>
    </w:p>
    <w:p>
      <w:pPr>
        <w:ind w:left="660" w:right="120" w:hanging="328"/>
        <w:spacing w:after="0" w:line="235" w:lineRule="auto"/>
        <w:tabs>
          <w:tab w:leader="none" w:pos="653"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establish a dual-class common stock structure with ten (10) votes per share for the Class B common stock and one (1) vote per share for the Class A common stock;</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7" w:name="page48"/>
    <w:bookmarkEnd w:id="47"/>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vest solely in our board the power to fx the size of the board and fll any vacancies and newly created directorships;</w:t>
      </w:r>
    </w:p>
    <w:p>
      <w:pPr>
        <w:spacing w:after="0" w:line="95" w:lineRule="exact"/>
        <w:rPr>
          <w:rFonts w:ascii="Calibri" w:cs="Calibri" w:eastAsia="Calibri" w:hAnsi="Calibri"/>
          <w:sz w:val="18"/>
          <w:szCs w:val="18"/>
          <w:color w:val="auto"/>
        </w:rPr>
      </w:pPr>
    </w:p>
    <w:p>
      <w:pPr>
        <w:ind w:left="660" w:right="26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provide that directors may only be removed by the majority in votng power of the shares of stock then outstanding and enttled to vote thereon, votng together as a single class;</w:t>
      </w:r>
    </w:p>
    <w:p>
      <w:pPr>
        <w:spacing w:after="0" w:line="96" w:lineRule="exact"/>
        <w:rPr>
          <w:rFonts w:ascii="Calibri" w:cs="Calibri" w:eastAsia="Calibri" w:hAnsi="Calibri"/>
          <w:sz w:val="18"/>
          <w:szCs w:val="18"/>
          <w:color w:val="auto"/>
        </w:rPr>
      </w:pPr>
    </w:p>
    <w:p>
      <w:pPr>
        <w:ind w:left="660" w:right="60" w:hanging="328"/>
        <w:spacing w:after="0" w:line="227"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establish advance notce requirements for nominatons for electon to the board of directors or for proposing maters that can be acted upon by our stockholders at annual stockholder meetngs; and</w:t>
      </w:r>
    </w:p>
    <w:p>
      <w:pPr>
        <w:spacing w:after="0" w:line="110" w:lineRule="exact"/>
        <w:rPr>
          <w:rFonts w:ascii="Calibri" w:cs="Calibri" w:eastAsia="Calibri" w:hAnsi="Calibri"/>
          <w:sz w:val="18"/>
          <w:szCs w:val="18"/>
          <w:color w:val="auto"/>
        </w:rPr>
      </w:pPr>
    </w:p>
    <w:p>
      <w:pPr>
        <w:ind w:left="660" w:right="40" w:hanging="328"/>
        <w:spacing w:after="0" w:line="228"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require, among other things, advance board approval or subsequent approval by the board and holders of 66 2/3% of the outstanding votng stock not owned by the interested stockholder for any business combinaton with an interested stockholder, which is defned as a person or entty owning 15% or more of our outstanding votng stock or an afliate or associate of us that owned 15% or more of the votng power of the outstanding votng stock at any tme within a period of three years prior to the date of such determinaton, subject to certain exceptons.</w:t>
      </w:r>
    </w:p>
    <w:p>
      <w:pPr>
        <w:spacing w:after="0" w:line="205" w:lineRule="exact"/>
        <w:rPr>
          <w:sz w:val="20"/>
          <w:szCs w:val="20"/>
          <w:color w:val="auto"/>
        </w:rPr>
      </w:pPr>
    </w:p>
    <w:p>
      <w:pPr>
        <w:spacing w:after="0" w:line="242" w:lineRule="auto"/>
        <w:rPr>
          <w:sz w:val="20"/>
          <w:szCs w:val="20"/>
          <w:color w:val="auto"/>
        </w:rPr>
      </w:pPr>
      <w:r>
        <w:rPr>
          <w:rFonts w:ascii="Calibri" w:cs="Calibri" w:eastAsia="Calibri" w:hAnsi="Calibri"/>
          <w:sz w:val="17"/>
          <w:szCs w:val="17"/>
          <w:color w:val="auto"/>
        </w:rPr>
        <w:t>These provisions may frustrate or prevent any atempts by our stockholders to efect a change in control, or to replace or remove our current management by making it more difcult for our stockholders to replace members of the board of directors, which is responsible for appointng the members of management.</w:t>
      </w:r>
    </w:p>
    <w:p>
      <w:pPr>
        <w:spacing w:after="0" w:line="324" w:lineRule="exact"/>
        <w:rPr>
          <w:sz w:val="20"/>
          <w:szCs w:val="20"/>
          <w:color w:val="auto"/>
        </w:rPr>
      </w:pPr>
    </w:p>
    <w:p>
      <w:pPr>
        <w:ind w:right="740"/>
        <w:spacing w:after="0" w:line="235" w:lineRule="auto"/>
        <w:rPr>
          <w:sz w:val="20"/>
          <w:szCs w:val="20"/>
          <w:color w:val="auto"/>
        </w:rPr>
      </w:pPr>
      <w:r>
        <w:rPr>
          <w:rFonts w:ascii="Calibri" w:cs="Calibri" w:eastAsia="Calibri" w:hAnsi="Calibri"/>
          <w:sz w:val="18"/>
          <w:szCs w:val="18"/>
          <w:b w:val="1"/>
          <w:bCs w:val="1"/>
          <w:i w:val="1"/>
          <w:iCs w:val="1"/>
          <w:color w:val="auto"/>
        </w:rPr>
        <w:t>We may not have sufcient resources to repay our Senior Notes upon their maturity in October 2026, and we will face additonal risks if we incur additonal indebtedness.</w:t>
      </w:r>
    </w:p>
    <w:p>
      <w:pPr>
        <w:spacing w:after="0" w:line="110" w:lineRule="exact"/>
        <w:rPr>
          <w:sz w:val="20"/>
          <w:szCs w:val="20"/>
          <w:color w:val="auto"/>
        </w:rPr>
      </w:pPr>
    </w:p>
    <w:p>
      <w:pPr>
        <w:ind w:right="20"/>
        <w:spacing w:after="0" w:line="239" w:lineRule="auto"/>
        <w:rPr>
          <w:sz w:val="20"/>
          <w:szCs w:val="20"/>
          <w:color w:val="auto"/>
        </w:rPr>
      </w:pPr>
      <w:r>
        <w:rPr>
          <w:rFonts w:ascii="Calibri" w:cs="Calibri" w:eastAsia="Calibri" w:hAnsi="Calibri"/>
          <w:sz w:val="17"/>
          <w:szCs w:val="17"/>
          <w:color w:val="auto"/>
        </w:rPr>
        <w:t>As of December 31, 2024, we had $68.5 million of 8.50% Senior Notes due 2026 (the "Senior Notes") outstanding. Given our current fnancial conditon and liquidity positon, we may not have sufcient resources to repay the Senior Notes, in whole or in part, upon their maturity on October 31, 2026, and our ability to earlier redeem or repurchase the Senior Notes, is uncertain. The indenture for the Senior Notes does not limit the amount of indebtedness that we or our subsidiaries may issue. As a result, we and our subsidiaries may be able to incur signifcant additonal indebtedness. If we and our subsidiaries incur new indebtedness, the related risks that we face would be increased, and we may not be able to meet all our debt obligatons, including repayment of the Senior Notes in 2026. If we incur any additonal debt that is secured, the holders of that debt will be enttled to share in the proceeds distributed in connecton with any enforcement against the collateral or an insolvency, liquidaton, reorganizaton, dissoluton, or other winding-up of the applicable obligor prior to applying any such proceeds to the Senior Notes. As of December 31, 2024, we had $68.5 million of indebtedness, all of which was unsecured.</w:t>
      </w:r>
    </w:p>
    <w:p>
      <w:pPr>
        <w:spacing w:after="0" w:line="318" w:lineRule="exact"/>
        <w:rPr>
          <w:sz w:val="20"/>
          <w:szCs w:val="20"/>
          <w:color w:val="auto"/>
        </w:rPr>
      </w:pPr>
    </w:p>
    <w:p>
      <w:pPr>
        <w:ind w:right="20"/>
        <w:spacing w:after="0" w:line="242" w:lineRule="auto"/>
        <w:rPr>
          <w:sz w:val="20"/>
          <w:szCs w:val="20"/>
          <w:color w:val="auto"/>
        </w:rPr>
      </w:pPr>
      <w:r>
        <w:rPr>
          <w:rFonts w:ascii="Calibri" w:cs="Calibri" w:eastAsia="Calibri" w:hAnsi="Calibri"/>
          <w:sz w:val="17"/>
          <w:szCs w:val="17"/>
          <w:b w:val="1"/>
          <w:bCs w:val="1"/>
          <w:i w:val="1"/>
          <w:iCs w:val="1"/>
          <w:color w:val="auto"/>
        </w:rPr>
        <w:t>Our second amended and restated certfcate of incorporaton designates the Delaware Court of Chancery as the sole and exclusive forum for certain types of actons and proceedings that may be initated by our stockholders and provides that claims relatng to causes of acton under U.S. federal securites laws may only be brought in U.S. federal district courts, which could limit the ability of our stockholders to obtain a favorable judicial forum for disputes with us, our directors, ofcers, or employees, if any, and could discourage lawsuits against us and our directors, ofcers, and employees, if any.</w:t>
      </w:r>
    </w:p>
    <w:p>
      <w:pPr>
        <w:spacing w:after="0" w:line="108" w:lineRule="exact"/>
        <w:rPr>
          <w:sz w:val="20"/>
          <w:szCs w:val="20"/>
          <w:color w:val="auto"/>
        </w:rPr>
      </w:pPr>
    </w:p>
    <w:p>
      <w:pPr>
        <w:spacing w:after="0" w:line="225" w:lineRule="auto"/>
        <w:rPr>
          <w:sz w:val="20"/>
          <w:szCs w:val="20"/>
          <w:color w:val="auto"/>
        </w:rPr>
      </w:pPr>
      <w:r>
        <w:rPr>
          <w:rFonts w:ascii="Calibri" w:cs="Calibri" w:eastAsia="Calibri" w:hAnsi="Calibri"/>
          <w:sz w:val="18"/>
          <w:szCs w:val="18"/>
          <w:color w:val="auto"/>
        </w:rPr>
        <w:t>Our second amended and restated certfcate of incorporaton provides that, unless we consent in writng to the selecton of an alternatve forum, the Court of Chancery of the State of Delaware shall, to the fullest extent permited by law, be the sole and exclusive forum for (i) any derivatve acton or proceeding brought on behalf of us, (ii) any acton assertng a claim of breach of a fduciary duty owed by any of our current or former directors, ofcers, employees or stockholders to us or our stockholders, (iii) any acton assertng a claim arising pursuant to any provision of the DGCL or the second amended and restated certfcate of incorporaton or our amended and restated bylaws or as to which the DGCL confers jurisdicton on the Court of Chancery of the State of Delaware, or (iv) any acton assertng a claim governed by the internal afairs doctrine of the laws of the State of Delaware. Our second amended and restated certfcate of incorporaton also provides that, unless we consent in writng to the selecton of an alternatve forum, the U.S. federal district courts shall, to the fullest extent permited by applicable law, be the exclusive forum for the resoluton of any complaint assertng a cause of acton arising under U.S. federal securites laws.</w:t>
      </w:r>
    </w:p>
    <w:p>
      <w:pPr>
        <w:spacing w:after="0" w:line="225"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These exclusive forum provisions may limit the ability of our stockholders to bring a claim in a judicial forum that such stockholders fnd favorable for disputes with us or our directors, ofcers, or employees, if any, which may discourage such lawsuits against us and our directors, ofcers, and employees, if any. Alternatvely, if a court were to fnd the choice of forum provisions contained in our second amended and restated certfcate of incorporaton to be inapplicable or unenforceable in an acton, we may incur additonal costs associated with resolving such acton in other jurisdictons, which could materially and adversely afect our business, fnancial conditon, and operatng results.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sectPr>
      </w:pPr>
    </w:p>
    <w:bookmarkStart w:id="48" w:name="page49"/>
    <w:bookmarkEnd w:id="48"/>
    <w:p>
      <w:pPr>
        <w:spacing w:after="0"/>
        <w:rPr>
          <w:sz w:val="20"/>
          <w:szCs w:val="20"/>
          <w:color w:val="auto"/>
        </w:rPr>
      </w:pPr>
      <w:r>
        <w:rPr>
          <w:rFonts w:ascii="Calibri" w:cs="Calibri" w:eastAsia="Calibri" w:hAnsi="Calibri"/>
          <w:sz w:val="18"/>
          <w:szCs w:val="18"/>
          <w:b w:val="1"/>
          <w:bCs w:val="1"/>
          <w:color w:val="auto"/>
        </w:rPr>
        <w:t>ITEM 1B. UNRESOLVED STAFF COMMENTS.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1C. CYBERSECURITY.</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Cybersecurity Risk Management</w:t>
      </w:r>
    </w:p>
    <w:p>
      <w:pPr>
        <w:spacing w:after="0" w:line="231"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We recognize the importance of assessing, identfying, and managing material risks associated with cybersecurity threats, as such term is defned in Item 106(a) of Regulaton S-K, and have developed and implemented a cybersecurity risk management program intended to protect the confdentality, integrity, and availability of our critcal systems and informaton.</w:t>
      </w:r>
    </w:p>
    <w:p>
      <w:pPr>
        <w:spacing w:after="0" w:line="219"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Our cybersecurity risk management program is an integral component of our overall informaton security platorm sharing common governance processes that monitor, prevent, detect, mitgate, and remediate cybersecurity incidents and guiding contnuous improvement to our broader enterprise IT infrastructure.</w:t>
      </w:r>
    </w:p>
    <w:p>
      <w:pPr>
        <w:spacing w:after="0" w:line="233"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In support of our cybersecurity risk management program, we have adopted an Informaton Security Policy and Incident Response Plan. The Informaton Security Policy and Incident Response Plan establishes a comprehensive guide of controls and operatng procedures to enable internal and external teams to prepare, detect, contain, and recover from cybersecurity incidents. Our cybersecurity risk management program also includes:</w:t>
      </w:r>
    </w:p>
    <w:p>
      <w:pPr>
        <w:spacing w:after="0" w:line="228" w:lineRule="exact"/>
        <w:rPr>
          <w:sz w:val="20"/>
          <w:szCs w:val="20"/>
          <w:color w:val="auto"/>
        </w:rPr>
      </w:pPr>
    </w:p>
    <w:p>
      <w:pPr>
        <w:ind w:left="640" w:hanging="308"/>
        <w:spacing w:after="0"/>
        <w:tabs>
          <w:tab w:leader="none" w:pos="6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Cybersecurity risk assessments to evaluate our readiness if certain risks were to materialize;</w:t>
      </w:r>
    </w:p>
    <w:p>
      <w:pPr>
        <w:spacing w:after="0" w:line="230" w:lineRule="exact"/>
        <w:rPr>
          <w:rFonts w:ascii="Calibri" w:cs="Calibri" w:eastAsia="Calibri" w:hAnsi="Calibri"/>
          <w:sz w:val="18"/>
          <w:szCs w:val="18"/>
          <w:color w:val="auto"/>
        </w:rPr>
      </w:pPr>
    </w:p>
    <w:p>
      <w:pPr>
        <w:ind w:left="660" w:hanging="328"/>
        <w:spacing w:after="0" w:line="227" w:lineRule="auto"/>
        <w:tabs>
          <w:tab w:leader="none" w:pos="653"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Individuals, including management, employees, and external third party service providers, who are responsible for managing our cybersecurity risk assessment processes, our security controls, and our response to cybersecurity incidents;</w:t>
      </w:r>
    </w:p>
    <w:p>
      <w:pPr>
        <w:spacing w:after="0" w:line="227" w:lineRule="exact"/>
        <w:rPr>
          <w:rFonts w:ascii="Calibri" w:cs="Calibri" w:eastAsia="Calibri" w:hAnsi="Calibri"/>
          <w:sz w:val="18"/>
          <w:szCs w:val="18"/>
          <w:color w:val="auto"/>
        </w:rPr>
      </w:pPr>
    </w:p>
    <w:p>
      <w:pPr>
        <w:ind w:left="640" w:hanging="308"/>
        <w:spacing w:after="0"/>
        <w:tabs>
          <w:tab w:leader="none" w:pos="6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The use of external service providers and tools, where appropriate, to assess, test, or otherwise assist with aspects of our security controls;</w:t>
      </w:r>
    </w:p>
    <w:p>
      <w:pPr>
        <w:spacing w:after="0" w:line="225" w:lineRule="exact"/>
        <w:rPr>
          <w:rFonts w:ascii="Calibri" w:cs="Calibri" w:eastAsia="Calibri" w:hAnsi="Calibri"/>
          <w:sz w:val="18"/>
          <w:szCs w:val="18"/>
          <w:color w:val="auto"/>
        </w:rPr>
      </w:pPr>
    </w:p>
    <w:p>
      <w:pPr>
        <w:ind w:left="640" w:hanging="308"/>
        <w:spacing w:after="0"/>
        <w:tabs>
          <w:tab w:leader="none" w:pos="6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Cybersecurity awareness training of our employees, incident response planning and testng, and management; and</w:t>
      </w:r>
    </w:p>
    <w:p>
      <w:pPr>
        <w:spacing w:after="0" w:line="225" w:lineRule="exact"/>
        <w:rPr>
          <w:rFonts w:ascii="Calibri" w:cs="Calibri" w:eastAsia="Calibri" w:hAnsi="Calibri"/>
          <w:sz w:val="18"/>
          <w:szCs w:val="18"/>
          <w:color w:val="auto"/>
        </w:rPr>
      </w:pPr>
    </w:p>
    <w:p>
      <w:pPr>
        <w:ind w:left="640" w:hanging="308"/>
        <w:spacing w:after="0"/>
        <w:tabs>
          <w:tab w:leader="none" w:pos="6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Third-party risk management processes for service providers, suppliers, and vendors.</w:t>
      </w:r>
    </w:p>
    <w:p>
      <w:pPr>
        <w:spacing w:after="0" w:line="217" w:lineRule="exact"/>
        <w:rPr>
          <w:sz w:val="20"/>
          <w:szCs w:val="20"/>
          <w:color w:val="auto"/>
        </w:rPr>
      </w:pPr>
    </w:p>
    <w:p>
      <w:pPr>
        <w:jc w:val="both"/>
        <w:spacing w:after="0" w:line="224" w:lineRule="auto"/>
        <w:rPr>
          <w:sz w:val="20"/>
          <w:szCs w:val="20"/>
          <w:color w:val="auto"/>
        </w:rPr>
      </w:pPr>
      <w:r>
        <w:rPr>
          <w:rFonts w:ascii="Calibri" w:cs="Calibri" w:eastAsia="Calibri" w:hAnsi="Calibri"/>
          <w:sz w:val="18"/>
          <w:szCs w:val="18"/>
          <w:color w:val="auto"/>
        </w:rPr>
        <w:t>In 2024, we did not identfy any cybersecurity threats that have materially afected or are reasonably likely to materially afect our business strategy, results of operatons or fnancial conditon. However, despite our eforts, we may not be successful in eliminatng all risks from cybersecurity threats and can provide no assurance that undetected cybersecurity incidents have not occurred. See Part I, Item 1A. “</w:t>
      </w:r>
      <w:r>
        <w:rPr>
          <w:rFonts w:ascii="Calibri" w:cs="Calibri" w:eastAsia="Calibri" w:hAnsi="Calibri"/>
          <w:sz w:val="18"/>
          <w:szCs w:val="18"/>
          <w:i w:val="1"/>
          <w:iCs w:val="1"/>
          <w:color w:val="auto"/>
        </w:rPr>
        <w:t>Risk Factors—Risks Related to Our Business</w:t>
      </w:r>
      <w:r>
        <w:rPr>
          <w:rFonts w:ascii="Calibri" w:cs="Calibri" w:eastAsia="Calibri" w:hAnsi="Calibri"/>
          <w:sz w:val="18"/>
          <w:szCs w:val="18"/>
          <w:color w:val="auto"/>
        </w:rPr>
        <w:t>” of this Annual Report for more informaton regarding the cybersecurity risks we face.</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Cybersecurity Governance</w:t>
      </w:r>
    </w:p>
    <w:p>
      <w:pPr>
        <w:spacing w:after="0" w:line="231" w:lineRule="exact"/>
        <w:rPr>
          <w:sz w:val="20"/>
          <w:szCs w:val="20"/>
          <w:color w:val="auto"/>
        </w:rPr>
      </w:pPr>
    </w:p>
    <w:p>
      <w:pPr>
        <w:jc w:val="both"/>
        <w:spacing w:after="0" w:line="224" w:lineRule="auto"/>
        <w:rPr>
          <w:sz w:val="20"/>
          <w:szCs w:val="20"/>
          <w:color w:val="auto"/>
        </w:rPr>
      </w:pPr>
      <w:r>
        <w:rPr>
          <w:rFonts w:ascii="Calibri" w:cs="Calibri" w:eastAsia="Calibri" w:hAnsi="Calibri"/>
          <w:sz w:val="18"/>
          <w:szCs w:val="18"/>
          <w:color w:val="auto"/>
        </w:rPr>
        <w:t>Our Board considers cybersecurity risk as part of its risk oversight functon and has delegated to the Audit Commitee oversight of cybersecurity and other informaton technology risks. The Audit Commitee oversees management’s implementaton of our cybersecurity risk management program. The Audit Commitee reports to the full Board regarding its actvites, including those related to cybersecurity. Management updates the Audit Commitee, as necessary, regarding any material cybersecurity incidents, as well as any incidents with lesser impact potental.</w:t>
      </w:r>
    </w:p>
    <w:p>
      <w:pPr>
        <w:spacing w:after="0" w:line="233"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In additon, our management team, comprised of senior staf and executves from multple departments within the Company, including IT, fnance, legal, and operatons, leads all eforts for our overall cybersecurity risk management program and supervises both our internal informaton security personnel with prior work experience in cybersecurity and our retained cybersecurity consultants.</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2. PROPERTIES.</w:t>
      </w:r>
    </w:p>
    <w:p>
      <w:pPr>
        <w:spacing w:after="0" w:line="10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We own the approximately 106 MW nameplate natural gas power generaton facility used by our Cryptocurrency Datacenter and Power Generaton Segment, which is located on our 162-acre property in Torrey, New York. Our Torrey mining operatons take place at this facility. This property is subject to a lease/leaseback relatonship with the Yates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49" w:name="page50"/>
    <w:bookmarkEnd w:id="49"/>
    <w:p>
      <w:pPr>
        <w:ind w:right="180"/>
        <w:spacing w:after="0" w:line="235" w:lineRule="auto"/>
        <w:rPr>
          <w:sz w:val="20"/>
          <w:szCs w:val="20"/>
          <w:color w:val="auto"/>
        </w:rPr>
      </w:pPr>
      <w:r>
        <w:rPr>
          <w:rFonts w:ascii="Calibri" w:cs="Calibri" w:eastAsia="Calibri" w:hAnsi="Calibri"/>
          <w:sz w:val="18"/>
          <w:szCs w:val="18"/>
          <w:color w:val="auto"/>
        </w:rPr>
        <w:t>County Industrial Development Agency. In consideraton for certain incentves provided by the Yates County Industrial Development Agency, we are commited to certain investment and job creaton obligatons, all of which have been fulflled. The primary obligatons are the contnuaton of employment, including the Yates County Industrial Development Agency as an additonal insured on various insurance policies and the completon of annual reportng forms. The payment in lieu of taxes agreement executed by the Yates County Industrial Development Agency and us provides predictability with respect to the increase in the annual real property tax burden on the power plant.</w:t>
      </w:r>
    </w:p>
    <w:p>
      <w:pPr>
        <w:spacing w:after="0" w:line="220"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We also own an additonal 143 acres of land located in Torrey, New York. Approximately 29 acres are occupied by a landfll used to dispose of coal ash by the power plant’s former owners.</w:t>
      </w:r>
    </w:p>
    <w:p>
      <w:pPr>
        <w:spacing w:after="0" w:line="21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We own the 4.6-mile-long natural gas pipeline that runs from our power plant facility, to the connector pipeline in Milo, Yates County, New York. We also hold a series of easements and right-of-way agreements with landowners through whose land the pipeline runs.</w:t>
      </w:r>
    </w:p>
    <w:p>
      <w:pPr>
        <w:spacing w:after="0" w:line="353"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On April 10, 2024, we purchased a parcel of land containing approximately 12 acres located in Columbus, Mississippi, including over 73,000 square feet of industrial warehouse space. This property provides us with access to an additonal 32.5 MW in power capacity, and we deployed 7 MW of miners at the Mississippi Facility in the second quarter of 2024.</w:t>
      </w:r>
    </w:p>
    <w:p>
      <w:pPr>
        <w:spacing w:after="0" w:line="11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We have also deployed additonal miners in conjuncton with a 7.5 MW mining capacity lease in North Dakota, which has a term of fve years and provides us with energy to power mining at a cost of $58.50/MWh.</w:t>
      </w:r>
    </w:p>
    <w:p>
      <w:pPr>
        <w:spacing w:after="0" w:line="96" w:lineRule="exact"/>
        <w:rPr>
          <w:sz w:val="20"/>
          <w:szCs w:val="20"/>
          <w:color w:val="auto"/>
        </w:rPr>
      </w:pPr>
    </w:p>
    <w:p>
      <w:pPr>
        <w:spacing w:after="0" w:line="224" w:lineRule="auto"/>
        <w:rPr>
          <w:sz w:val="20"/>
          <w:szCs w:val="20"/>
          <w:color w:val="auto"/>
        </w:rPr>
      </w:pPr>
      <w:r>
        <w:rPr>
          <w:rFonts w:ascii="Calibri" w:cs="Calibri" w:eastAsia="Calibri" w:hAnsi="Calibri"/>
          <w:sz w:val="18"/>
          <w:szCs w:val="18"/>
          <w:color w:val="auto"/>
        </w:rPr>
        <w:t>We owned and operated a datacenter and approximately 152 acres of land in Spartanburg, South Carolina for development. On November 9, 2023, we closed the sale of the South Carolina Facility to complete the deleveraging transacton with NYDIG. On November 27, 2024, we entered into a defnitve agreement to sell the remaining 152 acre property to Data Journey. This transacton is expected to close in 2025 and this land was classifed as held for sale as of December 31, 2024.</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3. LEGAL PROCEEDINGS.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From tme to tme, we may become involved in various lawsuits and legal proceedings that arise in the ordinary course of business. However, litgaton is</w:t>
      </w:r>
    </w:p>
    <w:p>
      <w:pPr>
        <w:spacing w:after="0" w:line="235" w:lineRule="auto"/>
        <w:rPr>
          <w:sz w:val="20"/>
          <w:szCs w:val="20"/>
          <w:color w:val="auto"/>
        </w:rPr>
      </w:pPr>
      <w:r>
        <w:rPr>
          <w:rFonts w:ascii="Calibri" w:cs="Calibri" w:eastAsia="Calibri" w:hAnsi="Calibri"/>
          <w:sz w:val="18"/>
          <w:szCs w:val="18"/>
          <w:color w:val="auto"/>
        </w:rPr>
        <w:t>subject to inherent uncertaintes, and an adverse result in these, or other maters, may arise and harm our business. Other than as set forth in Note 10,</w:t>
      </w:r>
    </w:p>
    <w:p>
      <w:pPr>
        <w:spacing w:after="0" w:line="2" w:lineRule="exact"/>
        <w:rPr>
          <w:sz w:val="20"/>
          <w:szCs w:val="20"/>
          <w:color w:val="auto"/>
        </w:rPr>
      </w:pPr>
    </w:p>
    <w:p>
      <w:pPr>
        <w:spacing w:after="0"/>
        <w:rPr>
          <w:sz w:val="20"/>
          <w:szCs w:val="20"/>
          <w:color w:val="auto"/>
        </w:rPr>
      </w:pPr>
      <w:r>
        <w:rPr>
          <w:rFonts w:ascii="Calibri" w:cs="Calibri" w:eastAsia="Calibri" w:hAnsi="Calibri"/>
          <w:sz w:val="17"/>
          <w:szCs w:val="17"/>
          <w:color w:val="auto"/>
        </w:rPr>
        <w:t>"</w:t>
      </w:r>
      <w:r>
        <w:rPr>
          <w:rFonts w:ascii="Calibri" w:cs="Calibri" w:eastAsia="Calibri" w:hAnsi="Calibri"/>
          <w:sz w:val="17"/>
          <w:szCs w:val="17"/>
          <w:i w:val="1"/>
          <w:iCs w:val="1"/>
          <w:color w:val="auto"/>
        </w:rPr>
        <w:t>Commitments and Contngencies"</w:t>
      </w:r>
      <w:r>
        <w:rPr>
          <w:rFonts w:ascii="Calibri" w:cs="Calibri" w:eastAsia="Calibri" w:hAnsi="Calibri"/>
          <w:sz w:val="17"/>
          <w:szCs w:val="17"/>
          <w:color w:val="auto"/>
        </w:rPr>
        <w:t xml:space="preserve"> in the Notes to Consolidated Financial Statements included in Item 8 of this Annual Report, including, without limitaton,</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the subsecton ttled "</w:t>
      </w:r>
      <w:r>
        <w:rPr>
          <w:rFonts w:ascii="Calibri" w:cs="Calibri" w:eastAsia="Calibri" w:hAnsi="Calibri"/>
          <w:sz w:val="18"/>
          <w:szCs w:val="18"/>
          <w:u w:val="single" w:color="auto"/>
          <w:color w:val="auto"/>
        </w:rPr>
        <w:t>Title V Air Permit Renewal Litgaton,"</w:t>
      </w:r>
      <w:r>
        <w:rPr>
          <w:rFonts w:ascii="Calibri" w:cs="Calibri" w:eastAsia="Calibri" w:hAnsi="Calibri"/>
          <w:sz w:val="18"/>
          <w:szCs w:val="18"/>
          <w:color w:val="auto"/>
        </w:rPr>
        <w:t xml:space="preserve"> which is incorporated herein by reference, we are currently not aware of any such legal</w:t>
      </w:r>
    </w:p>
    <w:p>
      <w:pPr>
        <w:spacing w:after="0" w:line="235" w:lineRule="auto"/>
        <w:rPr>
          <w:sz w:val="20"/>
          <w:szCs w:val="20"/>
          <w:color w:val="auto"/>
        </w:rPr>
      </w:pPr>
      <w:r>
        <w:rPr>
          <w:rFonts w:ascii="Calibri" w:cs="Calibri" w:eastAsia="Calibri" w:hAnsi="Calibri"/>
          <w:sz w:val="18"/>
          <w:szCs w:val="18"/>
          <w:color w:val="auto"/>
        </w:rPr>
        <w:t>proceedings or claims that we believe will have an adverse efect on our business, fnancial conditon, or operatng results.</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4. MINE SAFETY DISCLOSURES.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5. MARKET FOR REGISTRANT’S COMMON EQUITY, RELATED STOCKHOLDER MATTERS AND ISSUER PURCHASES OF EQUITY SECURITIES.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Market Informaton for Our Class A Common Stock</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Greenidge’s Class A common stock is listed under the tcker symbol "GREE" on the Nasdaq Global Select Market, which is</w:t>
      </w:r>
    </w:p>
    <w:p>
      <w:pPr>
        <w:ind w:right="80"/>
        <w:spacing w:after="0" w:line="213" w:lineRule="auto"/>
        <w:rPr>
          <w:sz w:val="20"/>
          <w:szCs w:val="20"/>
          <w:color w:val="auto"/>
        </w:rPr>
      </w:pPr>
      <w:r>
        <w:rPr>
          <w:rFonts w:ascii="Calibri" w:cs="Calibri" w:eastAsia="Calibri" w:hAnsi="Calibri"/>
          <w:sz w:val="18"/>
          <w:szCs w:val="18"/>
          <w:color w:val="auto"/>
        </w:rPr>
        <w:t>the principal market for such stock. As of December 31, 2024, 10,292,233 shares of Greenidge Class A common stock were issued and outstanding. Our Class B common stock is not listed or traded on any stock exchange.</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Holders of Record</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As of March 25, 2025, we had 37 registered holders of our Class A common stock, including Cede &amp; Co., the nominee for the Depository Trust Company and 7 registered holders of our Class B common stock. The Class A common stock registered holders' number excludes stockholders whose stock is held in nominee or street name by brokers.</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Dividend Policy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never declared or paid cash dividends on our capital stock. The declaraton of dividends, if any, including the form in which they may be paid, will be subject to the discreton of our board, which may consider such factors as our results of operatons, fnancial conditon, capital needs and acquisiton strategy, among others.</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 Sales of Unregistered Securites and Use of Proceeds</w:t>
      </w:r>
    </w:p>
    <w:p>
      <w:pPr>
        <w:spacing w:after="0" w:line="217" w:lineRule="exact"/>
        <w:rPr>
          <w:sz w:val="20"/>
          <w:szCs w:val="20"/>
          <w:color w:val="auto"/>
        </w:rPr>
      </w:pPr>
    </w:p>
    <w:p>
      <w:pPr>
        <w:spacing w:after="0" w:line="229" w:lineRule="auto"/>
        <w:rPr>
          <w:sz w:val="20"/>
          <w:szCs w:val="20"/>
          <w:color w:val="auto"/>
        </w:rPr>
      </w:pPr>
      <w:r>
        <w:rPr>
          <w:rFonts w:ascii="Calibri" w:cs="Calibri" w:eastAsia="Calibri" w:hAnsi="Calibri"/>
          <w:sz w:val="18"/>
          <w:szCs w:val="18"/>
          <w:b w:val="1"/>
          <w:bCs w:val="1"/>
          <w:color w:val="auto"/>
        </w:rPr>
        <w:t xml:space="preserve">Debt Exchange Agreements. </w:t>
      </w:r>
      <w:r>
        <w:rPr>
          <w:rFonts w:ascii="Calibri" w:cs="Calibri" w:eastAsia="Calibri" w:hAnsi="Calibri"/>
          <w:sz w:val="18"/>
          <w:szCs w:val="18"/>
          <w:color w:val="auto"/>
        </w:rPr>
        <w:t>During the fourth quarter of 2024, we entered into privately negotated exchange agreements, pursuant to which we issued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shares of our Class A common stock in exchange for principal amounts of our Senior Notes. From the date of the frst exchange to the date of this Annual Report, we issued 1,335,889 shares of our Class A common stock in exchange for $5.5 million aggregate principal amount of our Senior Notes, of which 692,433 shares were exchanged for $3.7 million aggregate principal amount of our Senior Notes during the year ended December 31, 2024. Such transactons were exempt from registraton under Secton 3(a)(9) of the Securites Act.</w:t>
      </w:r>
    </w:p>
    <w:p>
      <w:pPr>
        <w:spacing w:after="0" w:line="31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6. RESERVED</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7. MANAGEMENT’S DISCUSSION AND ANALYSIS OF FINANCIAL CONDITION AND RESULTS OF OPERATIONS</w:t>
      </w:r>
    </w:p>
    <w:p>
      <w:pPr>
        <w:spacing w:after="0" w:line="10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i w:val="1"/>
          <w:iCs w:val="1"/>
          <w:color w:val="auto"/>
        </w:rPr>
        <w:t>You should read the following discussion of our fnancial conditon and results of operatons in conjuncton with our consolidated fnancial statements and related notes included herein. Among other things, those fnancial statements include more detailed informaton regarding the basis of presentaton for the following informaton. The fnancial statements have been prepared in accordance with accountng principles generally accepted in the United States of America ("U.S. GAAP") and are presented in U.S. dollars. The following discussion contains forward-looking statements that involve risks and uncertaintes. As a result of many factors, such as those set forth under "Risk Factors," "Cautonary Statement Regarding Forward-Looking Statements" and elsewhere in this Annual Report, our actual results may difer materially from those antcipated in these forward-looking statements. You should carefully review the sectons ttled "Cautonary Statement Regarding Forward-Looking Statements" and "Risk Factors" in this Annual Report.</w:t>
      </w:r>
    </w:p>
    <w:p>
      <w:pPr>
        <w:spacing w:after="0" w:line="21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0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We own cryptocurrency datacenter operatons in Torrey, New York, Columbia, Mississippi, lease property for purposes of operatng a cryptocurrency datacenter in Underwood, North Dakota and previously owned and operated a facility in Spartanburg, South Carolina (collectvely, the "facilites"). The New York Facility is a vertcally integrated cryptocurrency datacenter and power generaton facility with an approximately 106 MW nameplate capacity, natural gas power</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51" w:name="page52"/>
    <w:bookmarkEnd w:id="51"/>
    <w:p>
      <w:pPr>
        <w:ind w:right="160"/>
        <w:spacing w:after="0" w:line="235" w:lineRule="auto"/>
        <w:rPr>
          <w:sz w:val="20"/>
          <w:szCs w:val="20"/>
          <w:color w:val="auto"/>
        </w:rPr>
      </w:pPr>
      <w:r>
        <w:rPr>
          <w:rFonts w:ascii="Calibri" w:cs="Calibri" w:eastAsia="Calibri" w:hAnsi="Calibri"/>
          <w:sz w:val="18"/>
          <w:szCs w:val="18"/>
          <w:color w:val="auto"/>
        </w:rPr>
        <w:t>generaton facility. We generate revenue from four primary sources: (1) datacenter hostng, which we commenced on January 30, 2023, (2) cryptocurrency mining, and (3) power and capacity.</w:t>
      </w:r>
    </w:p>
    <w:p>
      <w:pPr>
        <w:spacing w:after="0" w:line="11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generate all the power we require for operatons in the New York Facility, where we enjoy relatvely lower market prices for natural gas due to our access to the Millennium Gas Pipeline price hub. We believe our compettve advantages include efciently designed mining infrastructure and in-house operatonal expertse that we believe is capable of maintaining a higher operatonal uptme of miners. We are mining bitcoin and hostng bitcoin miners, which contributes to the security and transactability of the bitcoin ecosystem while concurrently supplying power to assist in meetng the power needs of homes and businesses in the region served by our New York Facility.</w:t>
      </w:r>
    </w:p>
    <w:p>
      <w:pPr>
        <w:spacing w:after="0" w:line="112"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Our datacenter operatons consist of approximately 30,700 miners with approximately 3.3 EH/s of combined capacity for both datacenter hostng and cryptocurrency mining, of which 18,200 miners or 1.8 EH/s, are associated with datacenter hostng and 12,500 miners, or 1.5 EH/s are associated with our cryptocurrency mining. In 2023, prior to the South Carolina transacton, our datacenter operatons consisted of approximately 42,300 miners with approximately 4.6 EH/s of combined capacity for both datacenter hostng and cryptocurrency mining, of which 32,100 miners, or 3.4 EH/s, were associated with datacenter hostng and 10,200 miners, or 1.2 EH/s, were associated with Greenidge’s cryptocurrency mining.</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Discontnued Operatons</w:t>
      </w:r>
    </w:p>
    <w:p>
      <w:pPr>
        <w:spacing w:after="0" w:line="204"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contract with Support.com’s largest customer expired on December 31, 2022 and was not renewed and the business ceased operatons in 2023. As a result, we have classifed the Support.com business as held for sale and discontnued operatons in these condensed consolidated fnancial statements as a result of management and the board of directors making a decision to pursue alternatves for the Support.com business and to strictly focus on its cryptocurrency mining, datacenter hostng and power generaton operatons. See Note 3, "</w:t>
      </w:r>
      <w:r>
        <w:rPr>
          <w:rFonts w:ascii="Calibri" w:cs="Calibri" w:eastAsia="Calibri" w:hAnsi="Calibri"/>
          <w:sz w:val="18"/>
          <w:szCs w:val="18"/>
          <w:i w:val="1"/>
          <w:iCs w:val="1"/>
          <w:color w:val="auto"/>
        </w:rPr>
        <w:t>Discontnued Operatons"</w:t>
      </w:r>
      <w:r>
        <w:rPr>
          <w:rFonts w:ascii="Calibri" w:cs="Calibri" w:eastAsia="Calibri" w:hAnsi="Calibri"/>
          <w:sz w:val="18"/>
          <w:szCs w:val="18"/>
          <w:color w:val="auto"/>
        </w:rPr>
        <w:t xml:space="preserve"> of our audited condensed consolidated fnancial statements for additonal informaton.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5" w:right="419" w:bottom="1440" w:gutter="0" w:footer="0" w:header="0"/>
        </w:sectPr>
      </w:pPr>
    </w:p>
    <w:bookmarkStart w:id="52" w:name="page53"/>
    <w:bookmarkEnd w:id="52"/>
    <w:p>
      <w:pPr>
        <w:spacing w:after="0"/>
        <w:rPr>
          <w:sz w:val="20"/>
          <w:szCs w:val="20"/>
          <w:color w:val="auto"/>
        </w:rPr>
      </w:pPr>
      <w:r>
        <w:rPr>
          <w:rFonts w:ascii="Calibri" w:cs="Calibri" w:eastAsia="Calibri" w:hAnsi="Calibri"/>
          <w:sz w:val="18"/>
          <w:szCs w:val="18"/>
          <w:b w:val="1"/>
          <w:bCs w:val="1"/>
          <w:color w:val="auto"/>
        </w:rPr>
        <w:t>Results from Contnuing Operatons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key components of our results from contnuing operatons during the years ended December 31, 2024 and 2023.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gridSpan w:val="5"/>
          </w:tcPr>
          <w:p>
            <w:pPr>
              <w:ind w:left="440"/>
              <w:spacing w:after="0"/>
              <w:rPr>
                <w:sz w:val="20"/>
                <w:szCs w:val="20"/>
                <w:color w:val="auto"/>
              </w:rPr>
            </w:pPr>
            <w:r>
              <w:rPr>
                <w:rFonts w:ascii="Calibri" w:cs="Calibri" w:eastAsia="Calibri" w:hAnsi="Calibri"/>
                <w:sz w:val="14"/>
                <w:szCs w:val="14"/>
                <w:b w:val="1"/>
                <w:bCs w:val="1"/>
                <w:color w:val="auto"/>
              </w:rPr>
              <w:t>Years Ended December 31,</w:t>
            </w:r>
          </w:p>
        </w:tc>
        <w:tc>
          <w:tcPr>
            <w:tcW w:w="400" w:type="dxa"/>
            <w:vAlign w:val="bottom"/>
          </w:tcPr>
          <w:p>
            <w:pPr>
              <w:spacing w:after="0"/>
              <w:rPr>
                <w:sz w:val="14"/>
                <w:szCs w:val="14"/>
                <w:color w:val="auto"/>
              </w:rPr>
            </w:pPr>
          </w:p>
        </w:tc>
        <w:tc>
          <w:tcPr>
            <w:tcW w:w="1600" w:type="dxa"/>
            <w:vAlign w:val="bottom"/>
            <w:gridSpan w:val="3"/>
          </w:tcPr>
          <w:p>
            <w:pPr>
              <w:ind w:left="860"/>
              <w:spacing w:after="0"/>
              <w:rPr>
                <w:sz w:val="20"/>
                <w:szCs w:val="20"/>
                <w:color w:val="auto"/>
              </w:rPr>
            </w:pPr>
            <w:r>
              <w:rPr>
                <w:rFonts w:ascii="Calibri" w:cs="Calibri" w:eastAsia="Calibri" w:hAnsi="Calibri"/>
                <w:sz w:val="14"/>
                <w:szCs w:val="14"/>
                <w:b w:val="1"/>
                <w:bCs w:val="1"/>
                <w:color w:val="auto"/>
              </w:rPr>
              <w:t>Variance</w:t>
            </w:r>
          </w:p>
        </w:tc>
        <w:tc>
          <w:tcPr>
            <w:tcW w:w="1040" w:type="dxa"/>
            <w:vAlign w:val="bottom"/>
          </w:tcPr>
          <w:p>
            <w:pPr>
              <w:spacing w:after="0"/>
              <w:rPr>
                <w:sz w:val="14"/>
                <w:szCs w:val="14"/>
                <w:color w:val="auto"/>
              </w:rPr>
            </w:pPr>
          </w:p>
        </w:tc>
      </w:tr>
      <w:tr>
        <w:trPr>
          <w:trHeight w:val="253"/>
        </w:trPr>
        <w:tc>
          <w:tcPr>
            <w:tcW w:w="4940" w:type="dxa"/>
            <w:vAlign w:val="bottom"/>
          </w:tcPr>
          <w:p>
            <w:pPr>
              <w:ind w:left="20"/>
              <w:spacing w:after="0"/>
              <w:rPr>
                <w:sz w:val="20"/>
                <w:szCs w:val="20"/>
                <w:color w:val="auto"/>
              </w:rPr>
            </w:pPr>
            <w:r>
              <w:rPr>
                <w:rFonts w:ascii="Calibri" w:cs="Calibri" w:eastAsia="Calibri" w:hAnsi="Calibri"/>
                <w:sz w:val="16"/>
                <w:szCs w:val="16"/>
                <w:b w:val="1"/>
                <w:bCs w:val="1"/>
                <w:color w:val="auto"/>
              </w:rPr>
              <w:t>$ in thousands</w:t>
            </w:r>
          </w:p>
        </w:tc>
        <w:tc>
          <w:tcPr>
            <w:tcW w:w="360" w:type="dxa"/>
            <w:vAlign w:val="bottom"/>
          </w:tcPr>
          <w:p>
            <w:pPr>
              <w:spacing w:after="0"/>
              <w:rPr>
                <w:sz w:val="22"/>
                <w:szCs w:val="22"/>
                <w:color w:val="auto"/>
              </w:rPr>
            </w:pPr>
          </w:p>
        </w:tc>
        <w:tc>
          <w:tcPr>
            <w:tcW w:w="1180" w:type="dxa"/>
            <w:vAlign w:val="bottom"/>
          </w:tcPr>
          <w:p>
            <w:pPr>
              <w:jc w:val="right"/>
              <w:ind w:right="532"/>
              <w:spacing w:after="0"/>
              <w:rPr>
                <w:sz w:val="20"/>
                <w:szCs w:val="20"/>
                <w:color w:val="auto"/>
              </w:rPr>
            </w:pPr>
            <w:r>
              <w:rPr>
                <w:rFonts w:ascii="Calibri" w:cs="Calibri" w:eastAsia="Calibri" w:hAnsi="Calibri"/>
                <w:sz w:val="14"/>
                <w:szCs w:val="14"/>
                <w:b w:val="1"/>
                <w:bCs w:val="1"/>
                <w:color w:val="auto"/>
              </w:rPr>
              <w:t>2024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531"/>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592"/>
              <w:spacing w:after="0"/>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jc w:val="right"/>
              <w:ind w:right="610"/>
              <w:spacing w:after="0"/>
              <w:rPr>
                <w:sz w:val="20"/>
                <w:szCs w:val="20"/>
                <w:color w:val="auto"/>
              </w:rPr>
            </w:pPr>
            <w:r>
              <w:rPr>
                <w:rFonts w:ascii="Calibri" w:cs="Calibri" w:eastAsia="Calibri" w:hAnsi="Calibri"/>
                <w:sz w:val="18"/>
                <w:szCs w:val="18"/>
                <w:color w:val="auto"/>
              </w:rPr>
              <w:t>%</w:t>
            </w:r>
          </w:p>
        </w:tc>
      </w:tr>
      <w:tr>
        <w:trPr>
          <w:trHeight w:val="23"/>
        </w:trPr>
        <w:tc>
          <w:tcPr>
            <w:tcW w:w="4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494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Total revenue</w:t>
            </w:r>
          </w:p>
        </w:tc>
        <w:tc>
          <w:tcPr>
            <w:tcW w:w="36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ind w:right="112"/>
              <w:spacing w:after="0" w:line="215" w:lineRule="exact"/>
              <w:rPr>
                <w:sz w:val="20"/>
                <w:szCs w:val="20"/>
                <w:color w:val="auto"/>
              </w:rPr>
            </w:pPr>
            <w:r>
              <w:rPr>
                <w:rFonts w:ascii="Calibri" w:cs="Calibri" w:eastAsia="Calibri" w:hAnsi="Calibri"/>
                <w:sz w:val="18"/>
                <w:szCs w:val="18"/>
                <w:color w:val="auto"/>
              </w:rPr>
              <w:t>59,533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ind w:right="91"/>
              <w:spacing w:after="0" w:line="215" w:lineRule="exact"/>
              <w:rPr>
                <w:sz w:val="20"/>
                <w:szCs w:val="20"/>
                <w:color w:val="auto"/>
              </w:rPr>
            </w:pPr>
            <w:r>
              <w:rPr>
                <w:rFonts w:ascii="Calibri" w:cs="Calibri" w:eastAsia="Calibri" w:hAnsi="Calibri"/>
                <w:sz w:val="18"/>
                <w:szCs w:val="18"/>
                <w:color w:val="auto"/>
              </w:rPr>
              <w:t>70,388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(10,855)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w:t>
            </w:r>
          </w:p>
        </w:tc>
      </w:tr>
      <w:tr>
        <w:trPr>
          <w:trHeight w:val="222"/>
        </w:trPr>
        <w:tc>
          <w:tcPr>
            <w:tcW w:w="4940" w:type="dxa"/>
            <w:vAlign w:val="bottom"/>
          </w:tcPr>
          <w:p>
            <w:pPr>
              <w:ind w:left="20"/>
              <w:spacing w:after="0" w:line="215" w:lineRule="exact"/>
              <w:rPr>
                <w:sz w:val="20"/>
                <w:szCs w:val="20"/>
                <w:color w:val="auto"/>
              </w:rPr>
            </w:pPr>
            <w:r>
              <w:rPr>
                <w:rFonts w:ascii="Calibri" w:cs="Calibri" w:eastAsia="Calibri" w:hAnsi="Calibri"/>
                <w:sz w:val="18"/>
                <w:szCs w:val="18"/>
                <w:color w:val="auto"/>
              </w:rPr>
              <w:t>Cost of revenue (exclusive of depreciaton shown below)</w:t>
            </w:r>
          </w:p>
        </w:tc>
        <w:tc>
          <w:tcPr>
            <w:tcW w:w="360" w:type="dxa"/>
            <w:vAlign w:val="bottom"/>
          </w:tcPr>
          <w:p>
            <w:pPr>
              <w:spacing w:after="0"/>
              <w:rPr>
                <w:sz w:val="19"/>
                <w:szCs w:val="19"/>
                <w:color w:val="auto"/>
              </w:rPr>
            </w:pPr>
          </w:p>
        </w:tc>
        <w:tc>
          <w:tcPr>
            <w:tcW w:w="1180" w:type="dxa"/>
            <w:vAlign w:val="bottom"/>
          </w:tcPr>
          <w:p>
            <w:pPr>
              <w:jc w:val="right"/>
              <w:ind w:right="112"/>
              <w:spacing w:after="0" w:line="215" w:lineRule="exact"/>
              <w:rPr>
                <w:sz w:val="20"/>
                <w:szCs w:val="20"/>
                <w:color w:val="auto"/>
              </w:rPr>
            </w:pPr>
            <w:r>
              <w:rPr>
                <w:rFonts w:ascii="Calibri" w:cs="Calibri" w:eastAsia="Calibri" w:hAnsi="Calibri"/>
                <w:sz w:val="18"/>
                <w:szCs w:val="18"/>
                <w:color w:val="auto"/>
              </w:rPr>
              <w:t>41,108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51,005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(9,897)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(19)%</w:t>
            </w:r>
          </w:p>
        </w:tc>
      </w:tr>
      <w:tr>
        <w:trPr>
          <w:trHeight w:val="237"/>
        </w:trPr>
        <w:tc>
          <w:tcPr>
            <w:tcW w:w="49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Depreciaton</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2"/>
              <w:spacing w:after="0"/>
              <w:rPr>
                <w:sz w:val="20"/>
                <w:szCs w:val="20"/>
                <w:color w:val="auto"/>
              </w:rPr>
            </w:pPr>
            <w:r>
              <w:rPr>
                <w:rFonts w:ascii="Calibri" w:cs="Calibri" w:eastAsia="Calibri" w:hAnsi="Calibri"/>
                <w:sz w:val="18"/>
                <w:szCs w:val="18"/>
                <w:color w:val="auto"/>
              </w:rPr>
              <w:t>13,471</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13,602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w:t>
            </w:r>
          </w:p>
        </w:tc>
      </w:tr>
      <w:tr>
        <w:trPr>
          <w:trHeight w:val="222"/>
        </w:trPr>
        <w:tc>
          <w:tcPr>
            <w:tcW w:w="4940" w:type="dxa"/>
            <w:vAlign w:val="bottom"/>
          </w:tcPr>
          <w:p>
            <w:pPr>
              <w:ind w:left="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360" w:type="dxa"/>
            <w:vAlign w:val="bottom"/>
          </w:tcPr>
          <w:p>
            <w:pPr>
              <w:spacing w:after="0"/>
              <w:rPr>
                <w:sz w:val="19"/>
                <w:szCs w:val="19"/>
                <w:color w:val="auto"/>
              </w:rPr>
            </w:pPr>
          </w:p>
        </w:tc>
        <w:tc>
          <w:tcPr>
            <w:tcW w:w="1180" w:type="dxa"/>
            <w:vAlign w:val="bottom"/>
          </w:tcPr>
          <w:p>
            <w:pPr>
              <w:jc w:val="right"/>
              <w:ind w:right="112"/>
              <w:spacing w:after="0" w:line="215" w:lineRule="exact"/>
              <w:rPr>
                <w:sz w:val="20"/>
                <w:szCs w:val="20"/>
                <w:color w:val="auto"/>
              </w:rPr>
            </w:pPr>
            <w:r>
              <w:rPr>
                <w:rFonts w:ascii="Calibri" w:cs="Calibri" w:eastAsia="Calibri" w:hAnsi="Calibri"/>
                <w:sz w:val="18"/>
                <w:szCs w:val="18"/>
                <w:color w:val="auto"/>
              </w:rPr>
              <w:t>17,294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26,167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(8,873)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(34)%</w:t>
            </w:r>
          </w:p>
        </w:tc>
      </w:tr>
      <w:tr>
        <w:trPr>
          <w:trHeight w:val="237"/>
        </w:trPr>
        <w:tc>
          <w:tcPr>
            <w:tcW w:w="49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Gain on digital assets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2"/>
              <w:spacing w:after="0"/>
              <w:rPr>
                <w:sz w:val="20"/>
                <w:szCs w:val="20"/>
                <w:color w:val="auto"/>
              </w:rPr>
            </w:pPr>
            <w:r>
              <w:rPr>
                <w:rFonts w:ascii="Calibri" w:cs="Calibri" w:eastAsia="Calibri" w:hAnsi="Calibri"/>
                <w:sz w:val="18"/>
                <w:szCs w:val="18"/>
                <w:color w:val="auto"/>
              </w:rPr>
              <w:t>(2,154)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Calibri" w:cs="Calibri" w:eastAsia="Calibri" w:hAnsi="Calibri"/>
                <w:sz w:val="18"/>
                <w:szCs w:val="18"/>
                <w:color w:val="auto"/>
              </w:rPr>
              <w:t>—</w:t>
            </w: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(2,154)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N/A</w:t>
            </w:r>
          </w:p>
        </w:tc>
      </w:tr>
      <w:tr>
        <w:trPr>
          <w:trHeight w:val="222"/>
        </w:trPr>
        <w:tc>
          <w:tcPr>
            <w:tcW w:w="4940" w:type="dxa"/>
            <w:vAlign w:val="bottom"/>
          </w:tcPr>
          <w:p>
            <w:pPr>
              <w:ind w:left="20"/>
              <w:spacing w:after="0" w:line="215" w:lineRule="exact"/>
              <w:rPr>
                <w:sz w:val="20"/>
                <w:szCs w:val="20"/>
                <w:color w:val="auto"/>
              </w:rPr>
            </w:pPr>
            <w:r>
              <w:rPr>
                <w:rFonts w:ascii="Calibri" w:cs="Calibri" w:eastAsia="Calibri" w:hAnsi="Calibri"/>
                <w:sz w:val="18"/>
                <w:szCs w:val="18"/>
                <w:color w:val="auto"/>
              </w:rPr>
              <w:t>Loss (gain) on sale of asset</w:t>
            </w:r>
          </w:p>
        </w:tc>
        <w:tc>
          <w:tcPr>
            <w:tcW w:w="360" w:type="dxa"/>
            <w:vAlign w:val="bottom"/>
          </w:tcPr>
          <w:p>
            <w:pPr>
              <w:spacing w:after="0"/>
              <w:rPr>
                <w:sz w:val="19"/>
                <w:szCs w:val="19"/>
                <w:color w:val="auto"/>
              </w:rPr>
            </w:pPr>
          </w:p>
        </w:tc>
        <w:tc>
          <w:tcPr>
            <w:tcW w:w="1180" w:type="dxa"/>
            <w:vAlign w:val="bottom"/>
          </w:tcPr>
          <w:p>
            <w:pPr>
              <w:jc w:val="right"/>
              <w:ind w:right="112"/>
              <w:spacing w:after="0" w:line="215" w:lineRule="exact"/>
              <w:rPr>
                <w:sz w:val="20"/>
                <w:szCs w:val="20"/>
                <w:color w:val="auto"/>
              </w:rPr>
            </w:pPr>
            <w:r>
              <w:rPr>
                <w:rFonts w:ascii="Calibri" w:cs="Calibri" w:eastAsia="Calibri" w:hAnsi="Calibri"/>
                <w:sz w:val="18"/>
                <w:szCs w:val="18"/>
                <w:color w:val="auto"/>
              </w:rPr>
              <w:t>641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(9,903)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10,544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(106)%</w:t>
            </w:r>
          </w:p>
        </w:tc>
      </w:tr>
      <w:tr>
        <w:trPr>
          <w:trHeight w:val="237"/>
        </w:trPr>
        <w:tc>
          <w:tcPr>
            <w:tcW w:w="49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Impairment of long-lived assets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2"/>
              <w:spacing w:after="0"/>
              <w:rPr>
                <w:sz w:val="20"/>
                <w:szCs w:val="20"/>
                <w:color w:val="auto"/>
              </w:rPr>
            </w:pPr>
            <w:r>
              <w:rPr>
                <w:rFonts w:ascii="Calibri" w:cs="Calibri" w:eastAsia="Calibri" w:hAnsi="Calibri"/>
                <w:sz w:val="18"/>
                <w:szCs w:val="18"/>
                <w:color w:val="auto"/>
              </w:rPr>
              <w:t>169</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4,000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(3,831)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(96)%</w:t>
            </w:r>
          </w:p>
        </w:tc>
      </w:tr>
      <w:tr>
        <w:trPr>
          <w:trHeight w:val="223"/>
        </w:trPr>
        <w:tc>
          <w:tcPr>
            <w:tcW w:w="494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Remeasurement of environmental liability</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2"/>
              <w:spacing w:after="0" w:line="215" w:lineRule="exact"/>
              <w:rPr>
                <w:sz w:val="20"/>
                <w:szCs w:val="20"/>
                <w:color w:val="auto"/>
              </w:rPr>
            </w:pPr>
            <w:r>
              <w:rPr>
                <w:rFonts w:ascii="Calibri" w:cs="Calibri" w:eastAsia="Calibri" w:hAnsi="Calibri"/>
                <w:sz w:val="18"/>
                <w:szCs w:val="18"/>
                <w:color w:val="auto"/>
              </w:rPr>
              <w:t>453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1"/>
              <w:spacing w:after="0" w:line="215" w:lineRule="exact"/>
              <w:rPr>
                <w:sz w:val="20"/>
                <w:szCs w:val="20"/>
                <w:color w:val="auto"/>
              </w:rPr>
            </w:pPr>
            <w:r>
              <w:rPr>
                <w:rFonts w:ascii="Calibri" w:cs="Calibri" w:eastAsia="Calibri" w:hAnsi="Calibri"/>
                <w:sz w:val="18"/>
                <w:szCs w:val="18"/>
                <w:color w:val="auto"/>
              </w:rPr>
              <w:t>2,409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(1,956)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(81)%</w:t>
            </w:r>
          </w:p>
        </w:tc>
      </w:tr>
      <w:tr>
        <w:trPr>
          <w:trHeight w:val="229"/>
        </w:trPr>
        <w:tc>
          <w:tcPr>
            <w:tcW w:w="494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Operatng loss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line="215" w:lineRule="exact"/>
              <w:rPr>
                <w:sz w:val="20"/>
                <w:szCs w:val="20"/>
                <w:color w:val="auto"/>
              </w:rPr>
            </w:pPr>
            <w:r>
              <w:rPr>
                <w:rFonts w:ascii="Calibri" w:cs="Calibri" w:eastAsia="Calibri" w:hAnsi="Calibri"/>
                <w:sz w:val="18"/>
                <w:szCs w:val="18"/>
                <w:color w:val="auto"/>
              </w:rPr>
              <w:t>(11,449)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line="215" w:lineRule="exact"/>
              <w:rPr>
                <w:sz w:val="20"/>
                <w:szCs w:val="20"/>
                <w:color w:val="auto"/>
              </w:rPr>
            </w:pPr>
            <w:r>
              <w:rPr>
                <w:rFonts w:ascii="Calibri" w:cs="Calibri" w:eastAsia="Calibri" w:hAnsi="Calibri"/>
                <w:sz w:val="18"/>
                <w:szCs w:val="18"/>
                <w:color w:val="auto"/>
              </w:rPr>
              <w:t>(16,892)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5,443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w:t>
            </w:r>
          </w:p>
        </w:tc>
      </w:tr>
      <w:tr>
        <w:trPr>
          <w:trHeight w:val="222"/>
        </w:trPr>
        <w:tc>
          <w:tcPr>
            <w:tcW w:w="4940" w:type="dxa"/>
            <w:vAlign w:val="bottom"/>
          </w:tcPr>
          <w:p>
            <w:pPr>
              <w:ind w:left="20"/>
              <w:spacing w:after="0" w:line="215" w:lineRule="exact"/>
              <w:rPr>
                <w:sz w:val="20"/>
                <w:szCs w:val="20"/>
                <w:color w:val="auto"/>
              </w:rPr>
            </w:pPr>
            <w:r>
              <w:rPr>
                <w:rFonts w:ascii="Calibri" w:cs="Calibri" w:eastAsia="Calibri" w:hAnsi="Calibri"/>
                <w:sz w:val="18"/>
                <w:szCs w:val="18"/>
                <w:color w:val="auto"/>
              </w:rPr>
              <w:t>Other (expense) income: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7"/>
        </w:trPr>
        <w:tc>
          <w:tcPr>
            <w:tcW w:w="494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Interest expense, net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2"/>
              <w:spacing w:after="0"/>
              <w:rPr>
                <w:sz w:val="20"/>
                <w:szCs w:val="20"/>
                <w:color w:val="auto"/>
              </w:rPr>
            </w:pPr>
            <w:r>
              <w:rPr>
                <w:rFonts w:ascii="Calibri" w:cs="Calibri" w:eastAsia="Calibri" w:hAnsi="Calibri"/>
                <w:sz w:val="18"/>
                <w:szCs w:val="18"/>
                <w:color w:val="auto"/>
              </w:rPr>
              <w:t>(7,082)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1"/>
              <w:spacing w:after="0"/>
              <w:rPr>
                <w:sz w:val="20"/>
                <w:szCs w:val="20"/>
                <w:color w:val="auto"/>
              </w:rPr>
            </w:pPr>
            <w:r>
              <w:rPr>
                <w:rFonts w:ascii="Calibri" w:cs="Calibri" w:eastAsia="Calibri" w:hAnsi="Calibri"/>
                <w:sz w:val="18"/>
                <w:szCs w:val="18"/>
                <w:color w:val="auto"/>
              </w:rPr>
              <w:t>(12,659)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5,577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(44)%</w:t>
            </w:r>
          </w:p>
        </w:tc>
      </w:tr>
      <w:tr>
        <w:trPr>
          <w:trHeight w:val="222"/>
        </w:trPr>
        <w:tc>
          <w:tcPr>
            <w:tcW w:w="4940" w:type="dxa"/>
            <w:vAlign w:val="bottom"/>
          </w:tcPr>
          <w:p>
            <w:pPr>
              <w:ind w:left="240"/>
              <w:spacing w:after="0" w:line="215" w:lineRule="exact"/>
              <w:rPr>
                <w:sz w:val="20"/>
                <w:szCs w:val="20"/>
                <w:color w:val="auto"/>
              </w:rPr>
            </w:pPr>
            <w:r>
              <w:rPr>
                <w:rFonts w:ascii="Calibri" w:cs="Calibri" w:eastAsia="Calibri" w:hAnsi="Calibri"/>
                <w:sz w:val="18"/>
                <w:szCs w:val="18"/>
                <w:color w:val="auto"/>
              </w:rPr>
              <w:t>Gain on sale of digital assets</w:t>
            </w:r>
          </w:p>
        </w:tc>
        <w:tc>
          <w:tcPr>
            <w:tcW w:w="360" w:type="dxa"/>
            <w:vAlign w:val="bottom"/>
          </w:tcPr>
          <w:p>
            <w:pPr>
              <w:spacing w:after="0"/>
              <w:rPr>
                <w:sz w:val="19"/>
                <w:szCs w:val="19"/>
                <w:color w:val="auto"/>
              </w:rPr>
            </w:pPr>
          </w:p>
        </w:tc>
        <w:tc>
          <w:tcPr>
            <w:tcW w:w="126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512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(100)%</w:t>
            </w:r>
          </w:p>
        </w:tc>
      </w:tr>
      <w:tr>
        <w:trPr>
          <w:trHeight w:val="237"/>
        </w:trPr>
        <w:tc>
          <w:tcPr>
            <w:tcW w:w="494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Change in fair value of warrant asset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2"/>
              <w:spacing w:after="0"/>
              <w:rPr>
                <w:sz w:val="20"/>
                <w:szCs w:val="20"/>
                <w:color w:val="auto"/>
              </w:rPr>
            </w:pPr>
            <w:r>
              <w:rPr>
                <w:rFonts w:ascii="Calibri" w:cs="Calibri" w:eastAsia="Calibri" w:hAnsi="Calibri"/>
                <w:sz w:val="18"/>
                <w:szCs w:val="18"/>
                <w:color w:val="auto"/>
              </w:rPr>
              <w:t>(477)</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Calibri" w:cs="Calibri" w:eastAsia="Calibri" w:hAnsi="Calibri"/>
                <w:sz w:val="18"/>
                <w:szCs w:val="18"/>
                <w:color w:val="auto"/>
              </w:rPr>
              <w:t>—</w:t>
            </w: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(477)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N/A</w:t>
            </w:r>
          </w:p>
        </w:tc>
      </w:tr>
      <w:tr>
        <w:trPr>
          <w:trHeight w:val="222"/>
        </w:trPr>
        <w:tc>
          <w:tcPr>
            <w:tcW w:w="4940" w:type="dxa"/>
            <w:vAlign w:val="bottom"/>
          </w:tcPr>
          <w:p>
            <w:pPr>
              <w:ind w:left="240"/>
              <w:spacing w:after="0" w:line="215" w:lineRule="exact"/>
              <w:rPr>
                <w:sz w:val="20"/>
                <w:szCs w:val="20"/>
                <w:color w:val="auto"/>
              </w:rPr>
            </w:pPr>
            <w:r>
              <w:rPr>
                <w:rFonts w:ascii="Calibri" w:cs="Calibri" w:eastAsia="Calibri" w:hAnsi="Calibri"/>
                <w:sz w:val="18"/>
                <w:szCs w:val="18"/>
                <w:color w:val="auto"/>
              </w:rPr>
              <w:t>Impairment of equity securites</w:t>
            </w:r>
          </w:p>
        </w:tc>
        <w:tc>
          <w:tcPr>
            <w:tcW w:w="360" w:type="dxa"/>
            <w:vAlign w:val="bottom"/>
          </w:tcPr>
          <w:p>
            <w:pPr>
              <w:spacing w:after="0"/>
              <w:rPr>
                <w:sz w:val="19"/>
                <w:szCs w:val="19"/>
                <w:color w:val="auto"/>
              </w:rPr>
            </w:pPr>
          </w:p>
        </w:tc>
        <w:tc>
          <w:tcPr>
            <w:tcW w:w="1180" w:type="dxa"/>
            <w:vAlign w:val="bottom"/>
          </w:tcPr>
          <w:p>
            <w:pPr>
              <w:jc w:val="right"/>
              <w:ind w:right="72"/>
              <w:spacing w:after="0" w:line="215" w:lineRule="exact"/>
              <w:rPr>
                <w:sz w:val="20"/>
                <w:szCs w:val="20"/>
                <w:color w:val="auto"/>
              </w:rPr>
            </w:pPr>
            <w:r>
              <w:rPr>
                <w:rFonts w:ascii="Calibri" w:cs="Calibri" w:eastAsia="Calibri" w:hAnsi="Calibri"/>
                <w:sz w:val="18"/>
                <w:szCs w:val="18"/>
                <w:color w:val="auto"/>
              </w:rPr>
              <w:t>(869)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(869)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N/A</w:t>
            </w:r>
          </w:p>
        </w:tc>
      </w:tr>
      <w:tr>
        <w:trPr>
          <w:trHeight w:val="237"/>
        </w:trPr>
        <w:tc>
          <w:tcPr>
            <w:tcW w:w="494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Other income, net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2"/>
              <w:spacing w:after="0"/>
              <w:rPr>
                <w:sz w:val="20"/>
                <w:szCs w:val="20"/>
                <w:color w:val="auto"/>
              </w:rPr>
            </w:pPr>
            <w:r>
              <w:rPr>
                <w:rFonts w:ascii="Calibri" w:cs="Calibri" w:eastAsia="Calibri" w:hAnsi="Calibri"/>
                <w:sz w:val="18"/>
                <w:szCs w:val="18"/>
                <w:color w:val="auto"/>
              </w:rPr>
              <w:t>23</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Calibri" w:cs="Calibri" w:eastAsia="Calibri" w:hAnsi="Calibri"/>
                <w:sz w:val="18"/>
                <w:szCs w:val="18"/>
                <w:color w:val="auto"/>
              </w:rPr>
              <w:t>—</w:t>
            </w: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N/A</w:t>
            </w:r>
          </w:p>
        </w:tc>
      </w:tr>
      <w:tr>
        <w:trPr>
          <w:trHeight w:val="217"/>
        </w:trPr>
        <w:tc>
          <w:tcPr>
            <w:tcW w:w="4940" w:type="dxa"/>
            <w:vAlign w:val="bottom"/>
            <w:tcBorders>
              <w:bottom w:val="single" w:sz="8" w:color="CCEEFF"/>
            </w:tcBorders>
          </w:tcPr>
          <w:p>
            <w:pPr>
              <w:ind w:left="20"/>
              <w:spacing w:after="0" w:line="199" w:lineRule="exact"/>
              <w:rPr>
                <w:sz w:val="20"/>
                <w:szCs w:val="20"/>
                <w:color w:val="auto"/>
              </w:rPr>
            </w:pPr>
            <w:r>
              <w:rPr>
                <w:rFonts w:ascii="Calibri" w:cs="Calibri" w:eastAsia="Calibri" w:hAnsi="Calibri"/>
                <w:sz w:val="18"/>
                <w:szCs w:val="18"/>
                <w:color w:val="auto"/>
              </w:rPr>
              <w:t>Total other expense, net</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72"/>
              <w:spacing w:after="0" w:line="215" w:lineRule="exact"/>
              <w:rPr>
                <w:sz w:val="20"/>
                <w:szCs w:val="20"/>
                <w:color w:val="auto"/>
              </w:rPr>
            </w:pPr>
            <w:r>
              <w:rPr>
                <w:rFonts w:ascii="Calibri" w:cs="Calibri" w:eastAsia="Calibri" w:hAnsi="Calibri"/>
                <w:sz w:val="18"/>
                <w:szCs w:val="18"/>
                <w:color w:val="auto"/>
              </w:rPr>
              <w:t>(8,405)</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
              <w:spacing w:after="0" w:line="215" w:lineRule="exact"/>
              <w:rPr>
                <w:sz w:val="20"/>
                <w:szCs w:val="20"/>
                <w:color w:val="auto"/>
              </w:rPr>
            </w:pPr>
            <w:r>
              <w:rPr>
                <w:rFonts w:ascii="Calibri" w:cs="Calibri" w:eastAsia="Calibri" w:hAnsi="Calibri"/>
                <w:sz w:val="18"/>
                <w:szCs w:val="18"/>
                <w:color w:val="auto"/>
              </w:rPr>
              <w:t>(12,147)</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3,742</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(31)%</w:t>
            </w:r>
          </w:p>
        </w:tc>
      </w:tr>
      <w:tr>
        <w:trPr>
          <w:trHeight w:val="229"/>
        </w:trPr>
        <w:tc>
          <w:tcPr>
            <w:tcW w:w="494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Loss from contnuing operatons before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line="215" w:lineRule="exact"/>
              <w:rPr>
                <w:sz w:val="20"/>
                <w:szCs w:val="20"/>
                <w:color w:val="auto"/>
              </w:rPr>
            </w:pPr>
            <w:r>
              <w:rPr>
                <w:rFonts w:ascii="Calibri" w:cs="Calibri" w:eastAsia="Calibri" w:hAnsi="Calibri"/>
                <w:sz w:val="18"/>
                <w:szCs w:val="18"/>
                <w:color w:val="auto"/>
              </w:rPr>
              <w:t>(19,854)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line="215" w:lineRule="exact"/>
              <w:rPr>
                <w:sz w:val="20"/>
                <w:szCs w:val="20"/>
                <w:color w:val="auto"/>
              </w:rPr>
            </w:pPr>
            <w:r>
              <w:rPr>
                <w:rFonts w:ascii="Calibri" w:cs="Calibri" w:eastAsia="Calibri" w:hAnsi="Calibri"/>
                <w:sz w:val="18"/>
                <w:szCs w:val="18"/>
                <w:color w:val="auto"/>
              </w:rPr>
              <w:t>(29,039)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9,185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w:t>
            </w:r>
          </w:p>
        </w:tc>
      </w:tr>
      <w:tr>
        <w:trPr>
          <w:trHeight w:val="223"/>
        </w:trPr>
        <w:tc>
          <w:tcPr>
            <w:tcW w:w="4940" w:type="dxa"/>
            <w:vAlign w:val="bottom"/>
          </w:tcPr>
          <w:p>
            <w:pPr>
              <w:ind w:left="20"/>
              <w:spacing w:after="0" w:line="215" w:lineRule="exact"/>
              <w:rPr>
                <w:sz w:val="20"/>
                <w:szCs w:val="20"/>
                <w:color w:val="auto"/>
              </w:rPr>
            </w:pPr>
            <w:r>
              <w:rPr>
                <w:rFonts w:ascii="Calibri" w:cs="Calibri" w:eastAsia="Calibri" w:hAnsi="Calibri"/>
                <w:sz w:val="18"/>
                <w:szCs w:val="18"/>
                <w:color w:val="auto"/>
              </w:rPr>
              <w:t>Beneft from income taxes</w:t>
            </w:r>
          </w:p>
        </w:tc>
        <w:tc>
          <w:tcPr>
            <w:tcW w:w="360" w:type="dxa"/>
            <w:vAlign w:val="bottom"/>
          </w:tcPr>
          <w:p>
            <w:pPr>
              <w:spacing w:after="0"/>
              <w:rPr>
                <w:sz w:val="19"/>
                <w:szCs w:val="19"/>
                <w:color w:val="auto"/>
              </w:rPr>
            </w:pPr>
          </w:p>
        </w:tc>
        <w:tc>
          <w:tcPr>
            <w:tcW w:w="1180" w:type="dxa"/>
            <w:vAlign w:val="bottom"/>
          </w:tcPr>
          <w:p>
            <w:pPr>
              <w:jc w:val="right"/>
              <w:ind w:right="72"/>
              <w:spacing w:after="0" w:line="215" w:lineRule="exact"/>
              <w:rPr>
                <w:sz w:val="20"/>
                <w:szCs w:val="20"/>
                <w:color w:val="auto"/>
              </w:rPr>
            </w:pPr>
            <w:r>
              <w:rPr>
                <w:rFonts w:ascii="Calibri" w:cs="Calibri" w:eastAsia="Calibri" w:hAnsi="Calibri"/>
                <w:sz w:val="18"/>
                <w:szCs w:val="18"/>
                <w:color w:val="auto"/>
              </w:rPr>
              <w:t>(69)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N/A</w:t>
            </w:r>
          </w:p>
        </w:tc>
      </w:tr>
      <w:tr>
        <w:trPr>
          <w:trHeight w:val="255"/>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Net loss from contnuing operatons</w:t>
            </w:r>
          </w:p>
        </w:tc>
        <w:tc>
          <w:tcPr>
            <w:tcW w:w="360" w:type="dxa"/>
            <w:vAlign w:val="bottom"/>
            <w:tcBorders>
              <w:top w:val="single" w:sz="8" w:color="auto"/>
              <w:bottom w:val="single" w:sz="8" w:color="auto"/>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top w:val="single" w:sz="8" w:color="auto"/>
              <w:bottom w:val="single" w:sz="8" w:color="auto"/>
            </w:tcBorders>
            <w:shd w:val="clear" w:color="auto" w:fill="CCEEFF"/>
          </w:tcPr>
          <w:p>
            <w:pPr>
              <w:jc w:val="right"/>
              <w:ind w:right="72"/>
              <w:spacing w:after="0" w:line="215" w:lineRule="exact"/>
              <w:rPr>
                <w:sz w:val="20"/>
                <w:szCs w:val="20"/>
                <w:color w:val="auto"/>
              </w:rPr>
            </w:pPr>
            <w:r>
              <w:rPr>
                <w:rFonts w:ascii="Calibri" w:cs="Calibri" w:eastAsia="Calibri" w:hAnsi="Calibri"/>
                <w:sz w:val="18"/>
                <w:szCs w:val="18"/>
                <w:color w:val="auto"/>
              </w:rPr>
              <w:t>(19,785)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bottom w:val="single" w:sz="8" w:color="auto"/>
            </w:tcBorders>
            <w:shd w:val="clear" w:color="auto" w:fill="CCEEFF"/>
          </w:tcPr>
          <w:p>
            <w:pPr>
              <w:jc w:val="right"/>
              <w:ind w:right="51"/>
              <w:spacing w:after="0" w:line="215" w:lineRule="exact"/>
              <w:rPr>
                <w:sz w:val="20"/>
                <w:szCs w:val="20"/>
                <w:color w:val="auto"/>
              </w:rPr>
            </w:pPr>
            <w:r>
              <w:rPr>
                <w:rFonts w:ascii="Calibri" w:cs="Calibri" w:eastAsia="Calibri" w:hAnsi="Calibri"/>
                <w:sz w:val="18"/>
                <w:szCs w:val="18"/>
                <w:color w:val="auto"/>
              </w:rPr>
              <w:t>(29,039)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9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i w:val="1"/>
                <w:iCs w:val="1"/>
                <w:color w:val="auto"/>
              </w:rPr>
              <w:t>Other Financial Data (a)</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2"/>
        </w:trPr>
        <w:tc>
          <w:tcPr>
            <w:tcW w:w="4940" w:type="dxa"/>
            <w:vAlign w:val="bottom"/>
          </w:tcPr>
          <w:p>
            <w:pPr>
              <w:ind w:left="20"/>
              <w:spacing w:after="0" w:line="215" w:lineRule="exact"/>
              <w:rPr>
                <w:sz w:val="20"/>
                <w:szCs w:val="20"/>
                <w:color w:val="auto"/>
              </w:rPr>
            </w:pPr>
            <w:r>
              <w:rPr>
                <w:rFonts w:ascii="Calibri" w:cs="Calibri" w:eastAsia="Calibri" w:hAnsi="Calibri"/>
                <w:sz w:val="18"/>
                <w:szCs w:val="18"/>
                <w:color w:val="auto"/>
              </w:rPr>
              <w:t>EBITDA (loss) from contnuing operatons</w:t>
            </w: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ind w:right="112"/>
              <w:spacing w:after="0" w:line="215" w:lineRule="exact"/>
              <w:rPr>
                <w:sz w:val="20"/>
                <w:szCs w:val="20"/>
                <w:color w:val="auto"/>
              </w:rPr>
            </w:pPr>
            <w:r>
              <w:rPr>
                <w:rFonts w:ascii="Calibri" w:cs="Calibri" w:eastAsia="Calibri" w:hAnsi="Calibri"/>
                <w:sz w:val="18"/>
                <w:szCs w:val="18"/>
                <w:color w:val="auto"/>
              </w:rPr>
              <w:t>699</w:t>
            </w:r>
          </w:p>
        </w:tc>
        <w:tc>
          <w:tcPr>
            <w:tcW w:w="8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(2,778)</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3,477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(125)%</w:t>
            </w:r>
          </w:p>
        </w:tc>
      </w:tr>
      <w:tr>
        <w:trPr>
          <w:trHeight w:val="237"/>
        </w:trPr>
        <w:tc>
          <w:tcPr>
            <w:tcW w:w="4940" w:type="dxa"/>
            <w:vAlign w:val="bottom"/>
            <w:shd w:val="clear" w:color="auto" w:fill="CCEEFF"/>
          </w:tcPr>
          <w:p>
            <w:pPr>
              <w:ind w:left="20"/>
              <w:spacing w:after="0"/>
              <w:rPr>
                <w:sz w:val="20"/>
                <w:szCs w:val="20"/>
                <w:color w:val="auto"/>
              </w:rPr>
            </w:pPr>
            <w:r>
              <w:rPr>
                <w:rFonts w:ascii="Calibri" w:cs="Calibri" w:eastAsia="Calibri" w:hAnsi="Calibri"/>
                <w:sz w:val="18"/>
                <w:szCs w:val="18"/>
                <w:i w:val="1"/>
                <w:iCs w:val="1"/>
                <w:color w:val="auto"/>
              </w:rPr>
              <w:t>as a percent of revenues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1.2 %</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(3.9)%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2"/>
        </w:trPr>
        <w:tc>
          <w:tcPr>
            <w:tcW w:w="4940" w:type="dxa"/>
            <w:vAlign w:val="bottom"/>
          </w:tcPr>
          <w:p>
            <w:pPr>
              <w:ind w:left="20"/>
              <w:spacing w:after="0" w:line="215" w:lineRule="exact"/>
              <w:rPr>
                <w:sz w:val="20"/>
                <w:szCs w:val="20"/>
                <w:color w:val="auto"/>
              </w:rPr>
            </w:pPr>
            <w:r>
              <w:rPr>
                <w:rFonts w:ascii="Calibri" w:cs="Calibri" w:eastAsia="Calibri" w:hAnsi="Calibri"/>
                <w:sz w:val="18"/>
                <w:szCs w:val="18"/>
                <w:color w:val="auto"/>
              </w:rPr>
              <w:t>Adjusted EBITDA (loss) from contnuing operatons</w:t>
            </w: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ind w:right="112"/>
              <w:spacing w:after="0" w:line="215" w:lineRule="exact"/>
              <w:rPr>
                <w:sz w:val="20"/>
                <w:szCs w:val="20"/>
                <w:color w:val="auto"/>
              </w:rPr>
            </w:pPr>
            <w:r>
              <w:rPr>
                <w:rFonts w:ascii="Calibri" w:cs="Calibri" w:eastAsia="Calibri" w:hAnsi="Calibri"/>
                <w:sz w:val="18"/>
                <w:szCs w:val="18"/>
                <w:color w:val="auto"/>
              </w:rPr>
              <w:t>5,490</w:t>
            </w:r>
          </w:p>
        </w:tc>
        <w:tc>
          <w:tcPr>
            <w:tcW w:w="80" w:type="dxa"/>
            <w:vAlign w:val="bottom"/>
          </w:tcPr>
          <w:p>
            <w:pPr>
              <w:spacing w:after="0"/>
              <w:rPr>
                <w:sz w:val="19"/>
                <w:szCs w:val="19"/>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153</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5,337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3488 %</w:t>
            </w:r>
          </w:p>
        </w:tc>
      </w:tr>
      <w:tr>
        <w:trPr>
          <w:trHeight w:val="237"/>
        </w:trPr>
        <w:tc>
          <w:tcPr>
            <w:tcW w:w="4940" w:type="dxa"/>
            <w:vAlign w:val="bottom"/>
            <w:shd w:val="clear" w:color="auto" w:fill="CCEEFF"/>
          </w:tcPr>
          <w:p>
            <w:pPr>
              <w:ind w:left="20"/>
              <w:spacing w:after="0"/>
              <w:rPr>
                <w:sz w:val="20"/>
                <w:szCs w:val="20"/>
                <w:color w:val="auto"/>
              </w:rPr>
            </w:pPr>
            <w:r>
              <w:rPr>
                <w:rFonts w:ascii="Calibri" w:cs="Calibri" w:eastAsia="Calibri" w:hAnsi="Calibri"/>
                <w:sz w:val="18"/>
                <w:szCs w:val="18"/>
                <w:i w:val="1"/>
                <w:iCs w:val="1"/>
                <w:color w:val="auto"/>
              </w:rPr>
              <w:t>as a percent of revenues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9.2 %</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i w:val="1"/>
                <w:iCs w:val="1"/>
                <w:color w:val="auto"/>
              </w:rPr>
              <w:t>0.2 %</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bl>
    <w:p>
      <w:pPr>
        <w:spacing w:after="0" w:line="180" w:lineRule="exact"/>
        <w:rPr>
          <w:sz w:val="20"/>
          <w:szCs w:val="20"/>
          <w:color w:val="auto"/>
        </w:rPr>
      </w:pPr>
    </w:p>
    <w:p>
      <w:pPr>
        <w:ind w:left="660" w:right="180" w:hanging="328"/>
        <w:spacing w:after="0" w:line="235" w:lineRule="auto"/>
        <w:tabs>
          <w:tab w:leader="none" w:pos="649"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Metrics under Other Financial Data are non-GAAP performance measures. A reconciliaton of reported amounts to adjusted amounts can be found in the "Non-GAAP Measures and Reconciliatons" secton of this Management's Discussion and Analysis of Financial Conditon and Results of Operatons ("MD&amp;A").</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53" w:name="page54"/>
    <w:bookmarkEnd w:id="53"/>
    <w:p>
      <w:pPr>
        <w:spacing w:after="0"/>
        <w:rPr>
          <w:sz w:val="20"/>
          <w:szCs w:val="20"/>
          <w:color w:val="auto"/>
        </w:rPr>
      </w:pPr>
      <w:r>
        <w:rPr>
          <w:rFonts w:ascii="Calibri" w:cs="Calibri" w:eastAsia="Calibri" w:hAnsi="Calibri"/>
          <w:sz w:val="18"/>
          <w:szCs w:val="18"/>
          <w:b w:val="1"/>
          <w:bCs w:val="1"/>
          <w:color w:val="auto"/>
        </w:rPr>
        <w:t>Key Metrics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provides a summary of key metrics related to the years ended December 31, 2024 and 2023.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00" w:type="dxa"/>
            <w:vAlign w:val="bottom"/>
            <w:gridSpan w:val="5"/>
          </w:tcPr>
          <w:p>
            <w:pPr>
              <w:ind w:left="420"/>
              <w:spacing w:after="0"/>
              <w:rPr>
                <w:sz w:val="20"/>
                <w:szCs w:val="20"/>
                <w:color w:val="auto"/>
              </w:rPr>
            </w:pPr>
            <w:r>
              <w:rPr>
                <w:rFonts w:ascii="Calibri" w:cs="Calibri" w:eastAsia="Calibri" w:hAnsi="Calibri"/>
                <w:sz w:val="14"/>
                <w:szCs w:val="14"/>
                <w:b w:val="1"/>
                <w:bCs w:val="1"/>
                <w:color w:val="auto"/>
              </w:rPr>
              <w:t>Years Ended December 31,</w:t>
            </w:r>
          </w:p>
        </w:tc>
        <w:tc>
          <w:tcPr>
            <w:tcW w:w="380" w:type="dxa"/>
            <w:vAlign w:val="bottom"/>
          </w:tcPr>
          <w:p>
            <w:pPr>
              <w:spacing w:after="0"/>
              <w:rPr>
                <w:sz w:val="14"/>
                <w:szCs w:val="14"/>
                <w:color w:val="auto"/>
              </w:rPr>
            </w:pPr>
          </w:p>
        </w:tc>
        <w:tc>
          <w:tcPr>
            <w:tcW w:w="1600" w:type="dxa"/>
            <w:vAlign w:val="bottom"/>
            <w:gridSpan w:val="3"/>
          </w:tcPr>
          <w:p>
            <w:pPr>
              <w:ind w:left="860"/>
              <w:spacing w:after="0"/>
              <w:rPr>
                <w:sz w:val="20"/>
                <w:szCs w:val="20"/>
                <w:color w:val="auto"/>
              </w:rPr>
            </w:pPr>
            <w:r>
              <w:rPr>
                <w:rFonts w:ascii="Calibri" w:cs="Calibri" w:eastAsia="Calibri" w:hAnsi="Calibri"/>
                <w:sz w:val="14"/>
                <w:szCs w:val="14"/>
                <w:b w:val="1"/>
                <w:bCs w:val="1"/>
                <w:color w:val="auto"/>
              </w:rPr>
              <w:t>Variance</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3"/>
          </w:tcPr>
          <w:p>
            <w:pPr>
              <w:spacing w:after="0"/>
              <w:rPr>
                <w:sz w:val="20"/>
                <w:szCs w:val="20"/>
                <w:color w:val="auto"/>
              </w:rPr>
            </w:pPr>
            <w:r>
              <w:rPr>
                <w:rFonts w:ascii="Calibri" w:cs="Calibri" w:eastAsia="Calibri" w:hAnsi="Calibri"/>
                <w:sz w:val="14"/>
                <w:szCs w:val="14"/>
                <w:b w:val="1"/>
                <w:bCs w:val="1"/>
                <w:color w:val="auto"/>
              </w:rPr>
              <w:t>$ in thousands, except $ per MWh and average bitcoin price</w:t>
            </w:r>
          </w:p>
        </w:tc>
        <w:tc>
          <w:tcPr>
            <w:tcW w:w="380" w:type="dxa"/>
            <w:vAlign w:val="bottom"/>
          </w:tcPr>
          <w:p>
            <w:pPr>
              <w:spacing w:after="0"/>
              <w:rPr>
                <w:sz w:val="17"/>
                <w:szCs w:val="17"/>
                <w:color w:val="auto"/>
              </w:rPr>
            </w:pPr>
          </w:p>
        </w:tc>
        <w:tc>
          <w:tcPr>
            <w:tcW w:w="1160" w:type="dxa"/>
            <w:vAlign w:val="bottom"/>
          </w:tcPr>
          <w:p>
            <w:pPr>
              <w:jc w:val="right"/>
              <w:ind w:right="531"/>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31"/>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591"/>
              <w:spacing w:after="0"/>
              <w:rPr>
                <w:sz w:val="20"/>
                <w:szCs w:val="20"/>
                <w:color w:val="auto"/>
              </w:rPr>
            </w:pPr>
            <w:r>
              <w:rPr>
                <w:rFonts w:ascii="Calibri" w:cs="Calibri" w:eastAsia="Calibri" w:hAnsi="Calibri"/>
                <w:sz w:val="14"/>
                <w:szCs w:val="14"/>
                <w:b w:val="1"/>
                <w:bCs w:val="1"/>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611"/>
              <w:spacing w:after="0"/>
              <w:rPr>
                <w:sz w:val="20"/>
                <w:szCs w:val="20"/>
                <w:color w:val="auto"/>
              </w:rPr>
            </w:pPr>
            <w:r>
              <w:rPr>
                <w:rFonts w:ascii="Calibri" w:cs="Calibri" w:eastAsia="Calibri" w:hAnsi="Calibri"/>
                <w:sz w:val="14"/>
                <w:szCs w:val="14"/>
                <w:b w:val="1"/>
                <w:bCs w:val="1"/>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840" w:type="dxa"/>
            <w:vAlign w:val="bottom"/>
            <w:tcBorders>
              <w:bottom w:val="single" w:sz="8" w:color="CCEEFF"/>
            </w:tcBorders>
          </w:tcPr>
          <w:p>
            <w:pPr>
              <w:spacing w:after="0"/>
              <w:rPr>
                <w:sz w:val="4"/>
                <w:szCs w:val="4"/>
                <w:color w:val="auto"/>
              </w:rPr>
            </w:pPr>
          </w:p>
        </w:tc>
        <w:tc>
          <w:tcPr>
            <w:tcW w:w="24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line="199" w:lineRule="exact"/>
              <w:rPr>
                <w:sz w:val="20"/>
                <w:szCs w:val="20"/>
                <w:color w:val="auto"/>
              </w:rPr>
            </w:pPr>
            <w:r>
              <w:rPr>
                <w:rFonts w:ascii="Calibri" w:cs="Calibri" w:eastAsia="Calibri" w:hAnsi="Calibri"/>
                <w:sz w:val="18"/>
                <w:szCs w:val="18"/>
                <w:color w:val="auto"/>
              </w:rPr>
              <w:t>Cryptocurrency mining</w:t>
            </w:r>
          </w:p>
        </w:tc>
        <w:tc>
          <w:tcPr>
            <w:tcW w:w="38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ind w:right="91"/>
              <w:spacing w:after="0" w:line="215" w:lineRule="exact"/>
              <w:rPr>
                <w:sz w:val="20"/>
                <w:szCs w:val="20"/>
                <w:color w:val="auto"/>
              </w:rPr>
            </w:pPr>
            <w:r>
              <w:rPr>
                <w:rFonts w:ascii="Calibri" w:cs="Calibri" w:eastAsia="Calibri" w:hAnsi="Calibri"/>
                <w:sz w:val="18"/>
                <w:szCs w:val="18"/>
                <w:color w:val="auto"/>
              </w:rPr>
              <w:t>19,061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ind w:right="91"/>
              <w:spacing w:after="0" w:line="215" w:lineRule="exact"/>
              <w:rPr>
                <w:sz w:val="20"/>
                <w:szCs w:val="20"/>
                <w:color w:val="auto"/>
              </w:rPr>
            </w:pPr>
            <w:r>
              <w:rPr>
                <w:rFonts w:ascii="Calibri" w:cs="Calibri" w:eastAsia="Calibri" w:hAnsi="Calibri"/>
                <w:sz w:val="18"/>
                <w:szCs w:val="18"/>
                <w:color w:val="auto"/>
              </w:rPr>
              <w:t>24,238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(5,177)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3"/>
          </w:tcPr>
          <w:p>
            <w:pPr>
              <w:spacing w:after="0" w:line="215" w:lineRule="exact"/>
              <w:rPr>
                <w:sz w:val="20"/>
                <w:szCs w:val="20"/>
                <w:color w:val="auto"/>
              </w:rPr>
            </w:pPr>
            <w:r>
              <w:rPr>
                <w:rFonts w:ascii="Calibri" w:cs="Calibri" w:eastAsia="Calibri" w:hAnsi="Calibri"/>
                <w:sz w:val="18"/>
                <w:szCs w:val="18"/>
                <w:color w:val="auto"/>
              </w:rPr>
              <w:t>Datacenter hostng</w:t>
            </w:r>
          </w:p>
        </w:tc>
        <w:tc>
          <w:tcPr>
            <w:tcW w:w="380" w:type="dxa"/>
            <w:vAlign w:val="bottom"/>
          </w:tcPr>
          <w:p>
            <w:pPr>
              <w:spacing w:after="0"/>
              <w:rPr>
                <w:sz w:val="19"/>
                <w:szCs w:val="19"/>
                <w:color w:val="auto"/>
              </w:rPr>
            </w:pPr>
          </w:p>
        </w:tc>
        <w:tc>
          <w:tcPr>
            <w:tcW w:w="116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29,838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39,478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(9,640)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Power and capacity</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Calibri" w:cs="Calibri" w:eastAsia="Calibri" w:hAnsi="Calibri"/>
                <w:sz w:val="18"/>
                <w:szCs w:val="18"/>
                <w:color w:val="auto"/>
              </w:rPr>
              <w:t>10,634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Calibri" w:cs="Calibri" w:eastAsia="Calibri" w:hAnsi="Calibri"/>
                <w:sz w:val="18"/>
                <w:szCs w:val="18"/>
                <w:color w:val="auto"/>
              </w:rPr>
              <w:t>6,672</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3,962</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59 %</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ind w:left="160"/>
              <w:spacing w:after="0"/>
              <w:rPr>
                <w:sz w:val="20"/>
                <w:szCs w:val="20"/>
                <w:color w:val="auto"/>
              </w:rPr>
            </w:pPr>
            <w:r>
              <w:rPr>
                <w:rFonts w:ascii="Calibri" w:cs="Calibri" w:eastAsia="Calibri" w:hAnsi="Calibri"/>
                <w:sz w:val="18"/>
                <w:szCs w:val="18"/>
                <w:color w:val="auto"/>
              </w:rPr>
              <w:t>Total revenue</w:t>
            </w:r>
          </w:p>
        </w:tc>
        <w:tc>
          <w:tcPr>
            <w:tcW w:w="38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ind w:right="91"/>
              <w:spacing w:after="0" w:line="215" w:lineRule="exact"/>
              <w:rPr>
                <w:sz w:val="20"/>
                <w:szCs w:val="20"/>
                <w:color w:val="auto"/>
              </w:rPr>
            </w:pPr>
            <w:r>
              <w:rPr>
                <w:rFonts w:ascii="Calibri" w:cs="Calibri" w:eastAsia="Calibri" w:hAnsi="Calibri"/>
                <w:sz w:val="18"/>
                <w:szCs w:val="18"/>
                <w:color w:val="auto"/>
              </w:rPr>
              <w:t>59,533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tcPr>
          <w:p>
            <w:pPr>
              <w:jc w:val="right"/>
              <w:ind w:right="91"/>
              <w:spacing w:after="0" w:line="215" w:lineRule="exact"/>
              <w:rPr>
                <w:sz w:val="20"/>
                <w:szCs w:val="20"/>
                <w:color w:val="auto"/>
              </w:rPr>
            </w:pPr>
            <w:r>
              <w:rPr>
                <w:rFonts w:ascii="Calibri" w:cs="Calibri" w:eastAsia="Calibri" w:hAnsi="Calibri"/>
                <w:sz w:val="18"/>
                <w:szCs w:val="18"/>
                <w:color w:val="auto"/>
              </w:rPr>
              <w:t>70,388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(10,855)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auto"/>
              </w:rPr>
              <w:t>(15)%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720" w:type="dxa"/>
            <w:vAlign w:val="bottom"/>
            <w:gridSpan w:val="3"/>
            <w:shd w:val="clear" w:color="auto" w:fill="CCEEFF"/>
          </w:tcPr>
          <w:p>
            <w:pPr>
              <w:spacing w:after="0" w:line="195" w:lineRule="exact"/>
              <w:rPr>
                <w:sz w:val="20"/>
                <w:szCs w:val="20"/>
                <w:color w:val="auto"/>
              </w:rPr>
            </w:pPr>
            <w:r>
              <w:rPr>
                <w:rFonts w:ascii="Calibri" w:cs="Calibri" w:eastAsia="Calibri" w:hAnsi="Calibri"/>
                <w:sz w:val="18"/>
                <w:szCs w:val="18"/>
                <w:b w:val="1"/>
                <w:bCs w:val="1"/>
                <w:color w:val="auto"/>
              </w:rPr>
              <w:t>Components of revenue as % of total</w:t>
            </w: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line="199" w:lineRule="exact"/>
              <w:rPr>
                <w:sz w:val="20"/>
                <w:szCs w:val="20"/>
                <w:color w:val="auto"/>
              </w:rPr>
            </w:pPr>
            <w:r>
              <w:rPr>
                <w:rFonts w:ascii="Calibri" w:cs="Calibri" w:eastAsia="Calibri" w:hAnsi="Calibri"/>
                <w:sz w:val="18"/>
                <w:szCs w:val="18"/>
                <w:color w:val="auto"/>
              </w:rPr>
              <w:t>Cryptocurrency mining</w:t>
            </w:r>
          </w:p>
        </w:tc>
        <w:tc>
          <w:tcPr>
            <w:tcW w:w="38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34 %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Datacenter hostng</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50 %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57 %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gridSpan w:val="3"/>
          </w:tcPr>
          <w:p>
            <w:pPr>
              <w:spacing w:after="0" w:line="215" w:lineRule="exact"/>
              <w:rPr>
                <w:sz w:val="20"/>
                <w:szCs w:val="20"/>
                <w:color w:val="auto"/>
              </w:rPr>
            </w:pPr>
            <w:r>
              <w:rPr>
                <w:rFonts w:ascii="Calibri" w:cs="Calibri" w:eastAsia="Calibri" w:hAnsi="Calibri"/>
                <w:sz w:val="18"/>
                <w:szCs w:val="18"/>
                <w:color w:val="auto"/>
              </w:rPr>
              <w:t>Power and capacity</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160"/>
              <w:spacing w:after="0"/>
              <w:rPr>
                <w:sz w:val="20"/>
                <w:szCs w:val="20"/>
                <w:color w:val="auto"/>
              </w:rPr>
            </w:pPr>
            <w:r>
              <w:rPr>
                <w:rFonts w:ascii="Calibri" w:cs="Calibri" w:eastAsia="Calibri" w:hAnsi="Calibri"/>
                <w:sz w:val="18"/>
                <w:szCs w:val="18"/>
                <w:color w:val="auto"/>
              </w:rPr>
              <w:t>Total revenue</w:t>
            </w: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72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Calibri" w:cs="Calibri" w:eastAsia="Calibri" w:hAnsi="Calibri"/>
                <w:sz w:val="17"/>
                <w:szCs w:val="17"/>
                <w:b w:val="1"/>
                <w:bCs w:val="1"/>
                <w:color w:val="auto"/>
              </w:rPr>
              <w:t>MWh</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472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line="215" w:lineRule="exact"/>
              <w:rPr>
                <w:sz w:val="20"/>
                <w:szCs w:val="20"/>
                <w:color w:val="auto"/>
              </w:rPr>
            </w:pPr>
            <w:r>
              <w:rPr>
                <w:rFonts w:ascii="Calibri" w:cs="Calibri" w:eastAsia="Calibri" w:hAnsi="Calibri"/>
                <w:sz w:val="18"/>
                <w:szCs w:val="18"/>
                <w:color w:val="auto"/>
              </w:rPr>
              <w:t>Cryptocurrency mining</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1"/>
              <w:spacing w:after="0" w:line="215" w:lineRule="exact"/>
              <w:rPr>
                <w:sz w:val="20"/>
                <w:szCs w:val="20"/>
                <w:color w:val="auto"/>
              </w:rPr>
            </w:pPr>
            <w:r>
              <w:rPr>
                <w:rFonts w:ascii="Calibri" w:cs="Calibri" w:eastAsia="Calibri" w:hAnsi="Calibri"/>
                <w:sz w:val="18"/>
                <w:szCs w:val="18"/>
                <w:color w:val="auto"/>
              </w:rPr>
              <w:t>184,077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line="215" w:lineRule="exact"/>
              <w:rPr>
                <w:sz w:val="20"/>
                <w:szCs w:val="20"/>
                <w:color w:val="auto"/>
              </w:rPr>
            </w:pPr>
            <w:r>
              <w:rPr>
                <w:rFonts w:ascii="Calibri" w:cs="Calibri" w:eastAsia="Calibri" w:hAnsi="Calibri"/>
                <w:sz w:val="18"/>
                <w:szCs w:val="18"/>
                <w:color w:val="auto"/>
              </w:rPr>
              <w:t>232,496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(48,419)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3"/>
          </w:tcPr>
          <w:p>
            <w:pPr>
              <w:spacing w:after="0" w:line="215" w:lineRule="exact"/>
              <w:rPr>
                <w:sz w:val="20"/>
                <w:szCs w:val="20"/>
                <w:color w:val="auto"/>
              </w:rPr>
            </w:pPr>
            <w:r>
              <w:rPr>
                <w:rFonts w:ascii="Calibri" w:cs="Calibri" w:eastAsia="Calibri" w:hAnsi="Calibri"/>
                <w:sz w:val="18"/>
                <w:szCs w:val="18"/>
                <w:color w:val="auto"/>
              </w:rPr>
              <w:t>Datacenter hostng</w:t>
            </w:r>
          </w:p>
        </w:tc>
        <w:tc>
          <w:tcPr>
            <w:tcW w:w="380" w:type="dxa"/>
            <w:vAlign w:val="bottom"/>
          </w:tcPr>
          <w:p>
            <w:pPr>
              <w:spacing w:after="0"/>
              <w:rPr>
                <w:sz w:val="19"/>
                <w:szCs w:val="19"/>
                <w:color w:val="auto"/>
              </w:rPr>
            </w:pPr>
          </w:p>
        </w:tc>
        <w:tc>
          <w:tcPr>
            <w:tcW w:w="116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436,733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568,147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(131,414)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Power and capacity</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164,532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133,446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31,086</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23 %</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gridSpan w:val="3"/>
          </w:tcPr>
          <w:p>
            <w:pPr>
              <w:spacing w:after="0" w:line="215" w:lineRule="exact"/>
              <w:rPr>
                <w:sz w:val="20"/>
                <w:szCs w:val="20"/>
                <w:color w:val="auto"/>
              </w:rPr>
            </w:pPr>
            <w:r>
              <w:rPr>
                <w:rFonts w:ascii="Calibri" w:cs="Calibri" w:eastAsia="Calibri" w:hAnsi="Calibri"/>
                <w:sz w:val="18"/>
                <w:szCs w:val="18"/>
                <w:b w:val="1"/>
                <w:bCs w:val="1"/>
                <w:i w:val="1"/>
                <w:iCs w:val="1"/>
                <w:color w:val="auto"/>
              </w:rPr>
              <w:t>Revenue per MWh</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47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Cryptocurrency mining</w:t>
            </w:r>
          </w:p>
        </w:tc>
        <w:tc>
          <w:tcPr>
            <w:tcW w:w="38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104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104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w w:val="87"/>
              </w:rPr>
              <w:t>$</w:t>
            </w:r>
          </w:p>
        </w:tc>
        <w:tc>
          <w:tcPr>
            <w:tcW w:w="1600" w:type="dxa"/>
            <w:vAlign w:val="bottom"/>
            <w:gridSpan w:val="3"/>
            <w:shd w:val="clear" w:color="auto" w:fill="CCEEFF"/>
          </w:tcPr>
          <w:p>
            <w:pPr>
              <w:jc w:val="right"/>
              <w:ind w:right="640"/>
              <w:spacing w:after="0"/>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 %</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3"/>
          </w:tcPr>
          <w:p>
            <w:pPr>
              <w:spacing w:after="0" w:line="215" w:lineRule="exact"/>
              <w:rPr>
                <w:sz w:val="20"/>
                <w:szCs w:val="20"/>
                <w:color w:val="auto"/>
              </w:rPr>
            </w:pPr>
            <w:r>
              <w:rPr>
                <w:rFonts w:ascii="Calibri" w:cs="Calibri" w:eastAsia="Calibri" w:hAnsi="Calibri"/>
                <w:sz w:val="18"/>
                <w:szCs w:val="18"/>
                <w:color w:val="auto"/>
              </w:rPr>
              <w:t>Datacenter hostng</w:t>
            </w: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68</w:t>
            </w:r>
          </w:p>
        </w:tc>
        <w:tc>
          <w:tcPr>
            <w:tcW w:w="100" w:type="dxa"/>
            <w:vAlign w:val="bottom"/>
          </w:tcPr>
          <w:p>
            <w:pPr>
              <w:spacing w:after="0"/>
              <w:rPr>
                <w:sz w:val="19"/>
                <w:szCs w:val="19"/>
                <w:color w:val="auto"/>
              </w:rPr>
            </w:pP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69</w:t>
            </w:r>
          </w:p>
        </w:tc>
        <w:tc>
          <w:tcPr>
            <w:tcW w:w="100" w:type="dxa"/>
            <w:vAlign w:val="bottom"/>
          </w:tcPr>
          <w:p>
            <w:pPr>
              <w:spacing w:after="0"/>
              <w:rPr>
                <w:sz w:val="19"/>
                <w:szCs w:val="19"/>
                <w:color w:val="auto"/>
              </w:rPr>
            </w:pP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Power and capacity</w:t>
            </w:r>
          </w:p>
        </w:tc>
        <w:tc>
          <w:tcPr>
            <w:tcW w:w="38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65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50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30 %</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3"/>
          </w:tcPr>
          <w:p>
            <w:pPr>
              <w:spacing w:after="0" w:line="215" w:lineRule="exact"/>
              <w:rPr>
                <w:sz w:val="20"/>
                <w:szCs w:val="20"/>
                <w:color w:val="auto"/>
              </w:rPr>
            </w:pPr>
            <w:r>
              <w:rPr>
                <w:rFonts w:ascii="Calibri" w:cs="Calibri" w:eastAsia="Calibri" w:hAnsi="Calibri"/>
                <w:sz w:val="18"/>
                <w:szCs w:val="18"/>
                <w:b w:val="1"/>
                <w:bCs w:val="1"/>
                <w:color w:val="auto"/>
              </w:rPr>
              <w:t>Cost of revenue (exclusive of depreciaton)</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Cryptocurrency mining</w:t>
            </w:r>
          </w:p>
        </w:tc>
        <w:tc>
          <w:tcPr>
            <w:tcW w:w="38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12,080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15,051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(2,971)</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3"/>
          </w:tcPr>
          <w:p>
            <w:pPr>
              <w:spacing w:after="0" w:line="215" w:lineRule="exact"/>
              <w:rPr>
                <w:sz w:val="20"/>
                <w:szCs w:val="20"/>
                <w:color w:val="auto"/>
              </w:rPr>
            </w:pPr>
            <w:r>
              <w:rPr>
                <w:rFonts w:ascii="Calibri" w:cs="Calibri" w:eastAsia="Calibri" w:hAnsi="Calibri"/>
                <w:sz w:val="18"/>
                <w:szCs w:val="18"/>
                <w:color w:val="auto"/>
              </w:rPr>
              <w:t>Datacenter hostng</w:t>
            </w: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22,237</w:t>
            </w:r>
          </w:p>
        </w:tc>
        <w:tc>
          <w:tcPr>
            <w:tcW w:w="100" w:type="dxa"/>
            <w:vAlign w:val="bottom"/>
          </w:tcPr>
          <w:p>
            <w:pPr>
              <w:spacing w:after="0"/>
              <w:rPr>
                <w:sz w:val="19"/>
                <w:szCs w:val="19"/>
                <w:color w:val="auto"/>
              </w:rPr>
            </w:pP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29,695</w:t>
            </w:r>
          </w:p>
        </w:tc>
        <w:tc>
          <w:tcPr>
            <w:tcW w:w="100" w:type="dxa"/>
            <w:vAlign w:val="bottom"/>
          </w:tcPr>
          <w:p>
            <w:pPr>
              <w:spacing w:after="0"/>
              <w:rPr>
                <w:sz w:val="19"/>
                <w:szCs w:val="19"/>
                <w:color w:val="auto"/>
              </w:rPr>
            </w:pP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(7,458)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Power and capacity</w:t>
            </w:r>
          </w:p>
        </w:tc>
        <w:tc>
          <w:tcPr>
            <w:tcW w:w="38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6,791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6,259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532</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8 %</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3"/>
          </w:tcPr>
          <w:p>
            <w:pPr>
              <w:spacing w:after="0" w:line="215" w:lineRule="exact"/>
              <w:rPr>
                <w:sz w:val="20"/>
                <w:szCs w:val="20"/>
                <w:color w:val="auto"/>
              </w:rPr>
            </w:pPr>
            <w:r>
              <w:rPr>
                <w:rFonts w:ascii="Calibri" w:cs="Calibri" w:eastAsia="Calibri" w:hAnsi="Calibri"/>
                <w:sz w:val="18"/>
                <w:szCs w:val="18"/>
                <w:b w:val="1"/>
                <w:bCs w:val="1"/>
                <w:color w:val="auto"/>
              </w:rPr>
              <w:t>Cost of revenue per MWh (exclusive of depreciaton)</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Cryptocurrency mining</w:t>
            </w:r>
          </w:p>
        </w:tc>
        <w:tc>
          <w:tcPr>
            <w:tcW w:w="38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66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65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2 %</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3"/>
          </w:tcPr>
          <w:p>
            <w:pPr>
              <w:spacing w:after="0" w:line="215" w:lineRule="exact"/>
              <w:rPr>
                <w:sz w:val="20"/>
                <w:szCs w:val="20"/>
                <w:color w:val="auto"/>
              </w:rPr>
            </w:pPr>
            <w:r>
              <w:rPr>
                <w:rFonts w:ascii="Calibri" w:cs="Calibri" w:eastAsia="Calibri" w:hAnsi="Calibri"/>
                <w:sz w:val="18"/>
                <w:szCs w:val="18"/>
                <w:color w:val="auto"/>
              </w:rPr>
              <w:t>Datacenter hostng</w:t>
            </w: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51</w:t>
            </w:r>
          </w:p>
        </w:tc>
        <w:tc>
          <w:tcPr>
            <w:tcW w:w="100" w:type="dxa"/>
            <w:vAlign w:val="bottom"/>
          </w:tcPr>
          <w:p>
            <w:pPr>
              <w:spacing w:after="0"/>
              <w:rPr>
                <w:sz w:val="19"/>
                <w:szCs w:val="19"/>
                <w:color w:val="auto"/>
              </w:rPr>
            </w:pP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52</w:t>
            </w:r>
          </w:p>
        </w:tc>
        <w:tc>
          <w:tcPr>
            <w:tcW w:w="100" w:type="dxa"/>
            <w:vAlign w:val="bottom"/>
          </w:tcPr>
          <w:p>
            <w:pPr>
              <w:spacing w:after="0"/>
              <w:rPr>
                <w:sz w:val="19"/>
                <w:szCs w:val="19"/>
                <w:color w:val="auto"/>
              </w:rPr>
            </w:pP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Power and capacity</w:t>
            </w:r>
          </w:p>
        </w:tc>
        <w:tc>
          <w:tcPr>
            <w:tcW w:w="38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41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47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gridSpan w:val="3"/>
          </w:tcPr>
          <w:p>
            <w:pPr>
              <w:spacing w:after="0" w:line="175" w:lineRule="exact"/>
              <w:rPr>
                <w:sz w:val="20"/>
                <w:szCs w:val="20"/>
                <w:color w:val="auto"/>
              </w:rPr>
            </w:pPr>
            <w:r>
              <w:rPr>
                <w:rFonts w:ascii="Calibri" w:cs="Calibri" w:eastAsia="Calibri" w:hAnsi="Calibri"/>
                <w:sz w:val="18"/>
                <w:szCs w:val="18"/>
                <w:b w:val="1"/>
                <w:bCs w:val="1"/>
                <w:color w:val="auto"/>
              </w:rPr>
              <w:t>Cryptocurrency Mining Metrics</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line="215" w:lineRule="exact"/>
              <w:rPr>
                <w:sz w:val="20"/>
                <w:szCs w:val="20"/>
                <w:color w:val="auto"/>
              </w:rPr>
            </w:pPr>
            <w:r>
              <w:rPr>
                <w:rFonts w:ascii="Calibri" w:cs="Calibri" w:eastAsia="Calibri" w:hAnsi="Calibri"/>
                <w:sz w:val="18"/>
                <w:szCs w:val="18"/>
                <w:b w:val="1"/>
                <w:bCs w:val="1"/>
                <w:color w:val="auto"/>
              </w:rPr>
              <w:t>Bitcoins produced:</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3"/>
          </w:tcPr>
          <w:p>
            <w:pPr>
              <w:ind w:left="120"/>
              <w:spacing w:after="0" w:line="215" w:lineRule="exact"/>
              <w:rPr>
                <w:sz w:val="20"/>
                <w:szCs w:val="20"/>
                <w:color w:val="auto"/>
              </w:rPr>
            </w:pPr>
            <w:r>
              <w:rPr>
                <w:rFonts w:ascii="Calibri" w:cs="Calibri" w:eastAsia="Calibri" w:hAnsi="Calibri"/>
                <w:sz w:val="18"/>
                <w:szCs w:val="18"/>
                <w:color w:val="auto"/>
              </w:rPr>
              <w:t>Cryptocurrency mining</w:t>
            </w:r>
          </w:p>
        </w:tc>
        <w:tc>
          <w:tcPr>
            <w:tcW w:w="380" w:type="dxa"/>
            <w:vAlign w:val="bottom"/>
          </w:tcPr>
          <w:p>
            <w:pPr>
              <w:spacing w:after="0"/>
              <w:rPr>
                <w:sz w:val="19"/>
                <w:szCs w:val="19"/>
                <w:color w:val="auto"/>
              </w:rPr>
            </w:pPr>
          </w:p>
        </w:tc>
        <w:tc>
          <w:tcPr>
            <w:tcW w:w="116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309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891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(582)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ind w:left="120"/>
              <w:spacing w:after="0"/>
              <w:rPr>
                <w:sz w:val="20"/>
                <w:szCs w:val="20"/>
                <w:color w:val="auto"/>
              </w:rPr>
            </w:pPr>
            <w:r>
              <w:rPr>
                <w:rFonts w:ascii="Calibri" w:cs="Calibri" w:eastAsia="Calibri" w:hAnsi="Calibri"/>
                <w:sz w:val="18"/>
                <w:szCs w:val="18"/>
                <w:color w:val="auto"/>
              </w:rPr>
              <w:t>Datacenter hostng</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Calibri" w:cs="Calibri" w:eastAsia="Calibri" w:hAnsi="Calibri"/>
                <w:sz w:val="18"/>
                <w:szCs w:val="18"/>
                <w:color w:val="auto"/>
              </w:rPr>
              <w:t>632</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Calibri" w:cs="Calibri" w:eastAsia="Calibri" w:hAnsi="Calibri"/>
                <w:sz w:val="18"/>
                <w:szCs w:val="18"/>
                <w:color w:val="auto"/>
              </w:rPr>
              <w:t>2,047</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(1,415)</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Calibri" w:cs="Calibri" w:eastAsia="Calibri" w:hAnsi="Calibri"/>
                <w:sz w:val="18"/>
                <w:szCs w:val="18"/>
                <w:color w:val="auto"/>
              </w:rPr>
              <w:t>Total Bitcoins produced</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1"/>
              <w:spacing w:after="0" w:line="215" w:lineRule="exact"/>
              <w:rPr>
                <w:sz w:val="20"/>
                <w:szCs w:val="20"/>
                <w:color w:val="auto"/>
              </w:rPr>
            </w:pPr>
            <w:r>
              <w:rPr>
                <w:rFonts w:ascii="Calibri" w:cs="Calibri" w:eastAsia="Calibri" w:hAnsi="Calibri"/>
                <w:sz w:val="18"/>
                <w:szCs w:val="18"/>
                <w:color w:val="auto"/>
              </w:rPr>
              <w:t>941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line="215" w:lineRule="exact"/>
              <w:rPr>
                <w:sz w:val="20"/>
                <w:szCs w:val="20"/>
                <w:color w:val="auto"/>
              </w:rPr>
            </w:pPr>
            <w:r>
              <w:rPr>
                <w:rFonts w:ascii="Calibri" w:cs="Calibri" w:eastAsia="Calibri" w:hAnsi="Calibri"/>
                <w:sz w:val="18"/>
                <w:szCs w:val="18"/>
                <w:color w:val="auto"/>
              </w:rPr>
              <w:t>2,938</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(1,997)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auto"/>
              </w:rPr>
              <w:t>(68)%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3"/>
          </w:tcPr>
          <w:p>
            <w:pPr>
              <w:spacing w:after="0" w:line="215" w:lineRule="exact"/>
              <w:rPr>
                <w:sz w:val="20"/>
                <w:szCs w:val="20"/>
                <w:color w:val="auto"/>
              </w:rPr>
            </w:pPr>
            <w:r>
              <w:rPr>
                <w:rFonts w:ascii="Calibri" w:cs="Calibri" w:eastAsia="Calibri" w:hAnsi="Calibri"/>
                <w:sz w:val="18"/>
                <w:szCs w:val="18"/>
                <w:color w:val="auto"/>
              </w:rPr>
              <w:t>Average bitcoin price</w:t>
            </w:r>
          </w:p>
        </w:tc>
        <w:tc>
          <w:tcPr>
            <w:tcW w:w="380" w:type="dxa"/>
            <w:vAlign w:val="bottom"/>
          </w:tcPr>
          <w:p>
            <w:pPr>
              <w:spacing w:after="0"/>
              <w:rPr>
                <w:sz w:val="19"/>
                <w:szCs w:val="19"/>
                <w:color w:val="auto"/>
              </w:rPr>
            </w:pPr>
          </w:p>
        </w:tc>
        <w:tc>
          <w:tcPr>
            <w:tcW w:w="116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65,825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28,788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37,037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129 %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Average actve hashrate (EH/s) Company-owned miners</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795,166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1"/>
              <w:spacing w:after="0"/>
              <w:rPr>
                <w:sz w:val="20"/>
                <w:szCs w:val="20"/>
                <w:color w:val="auto"/>
              </w:rPr>
            </w:pPr>
            <w:r>
              <w:rPr>
                <w:rFonts w:ascii="Calibri" w:cs="Calibri" w:eastAsia="Calibri" w:hAnsi="Calibri"/>
                <w:sz w:val="18"/>
                <w:szCs w:val="18"/>
                <w:color w:val="auto"/>
              </w:rPr>
              <w:t>914,539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(119,373)</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3"/>
          </w:tcPr>
          <w:p>
            <w:pPr>
              <w:spacing w:after="0" w:line="215" w:lineRule="exact"/>
              <w:rPr>
                <w:sz w:val="20"/>
                <w:szCs w:val="20"/>
                <w:color w:val="auto"/>
              </w:rPr>
            </w:pPr>
            <w:r>
              <w:rPr>
                <w:rFonts w:ascii="Calibri" w:cs="Calibri" w:eastAsia="Calibri" w:hAnsi="Calibri"/>
                <w:sz w:val="18"/>
                <w:szCs w:val="18"/>
                <w:color w:val="auto"/>
              </w:rPr>
              <w:t>Average actve hashrate (EH/s) Hosted miners</w:t>
            </w:r>
          </w:p>
        </w:tc>
        <w:tc>
          <w:tcPr>
            <w:tcW w:w="380" w:type="dxa"/>
            <w:vAlign w:val="bottom"/>
          </w:tcPr>
          <w:p>
            <w:pPr>
              <w:spacing w:after="0"/>
              <w:rPr>
                <w:sz w:val="19"/>
                <w:szCs w:val="19"/>
                <w:color w:val="auto"/>
              </w:rPr>
            </w:pPr>
          </w:p>
        </w:tc>
        <w:tc>
          <w:tcPr>
            <w:tcW w:w="116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1,642,105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line="215" w:lineRule="exact"/>
              <w:rPr>
                <w:sz w:val="20"/>
                <w:szCs w:val="20"/>
                <w:color w:val="auto"/>
              </w:rPr>
            </w:pPr>
            <w:r>
              <w:rPr>
                <w:rFonts w:ascii="Calibri" w:cs="Calibri" w:eastAsia="Calibri" w:hAnsi="Calibri"/>
                <w:sz w:val="18"/>
                <w:szCs w:val="18"/>
                <w:color w:val="auto"/>
              </w:rPr>
              <w:t>2,204,794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(562,689)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spacing w:after="0"/>
              <w:rPr>
                <w:sz w:val="20"/>
                <w:szCs w:val="20"/>
                <w:color w:val="auto"/>
              </w:rPr>
            </w:pPr>
            <w:r>
              <w:rPr>
                <w:rFonts w:ascii="Calibri" w:cs="Calibri" w:eastAsia="Calibri" w:hAnsi="Calibri"/>
                <w:sz w:val="18"/>
                <w:szCs w:val="18"/>
                <w:color w:val="auto"/>
              </w:rPr>
              <w:t>Average difculty (in trillions of hash)</w:t>
            </w:r>
          </w:p>
        </w:tc>
        <w:tc>
          <w:tcPr>
            <w:tcW w:w="3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720"/>
              <w:spacing w:after="0"/>
              <w:rPr>
                <w:sz w:val="20"/>
                <w:szCs w:val="20"/>
                <w:color w:val="auto"/>
              </w:rPr>
            </w:pPr>
            <w:r>
              <w:rPr>
                <w:rFonts w:ascii="Calibri" w:cs="Calibri" w:eastAsia="Calibri" w:hAnsi="Calibri"/>
                <w:sz w:val="18"/>
                <w:szCs w:val="18"/>
                <w:color w:val="auto"/>
              </w:rPr>
              <w:t>87.3 T</w:t>
            </w: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860"/>
              <w:spacing w:after="0"/>
              <w:rPr>
                <w:sz w:val="20"/>
                <w:szCs w:val="20"/>
                <w:color w:val="auto"/>
              </w:rPr>
            </w:pPr>
            <w:r>
              <w:rPr>
                <w:rFonts w:ascii="Calibri" w:cs="Calibri" w:eastAsia="Calibri" w:hAnsi="Calibri"/>
                <w:sz w:val="18"/>
                <w:szCs w:val="18"/>
                <w:color w:val="auto"/>
              </w:rPr>
              <w:t>52 T</w:t>
            </w:r>
          </w:p>
        </w:tc>
        <w:tc>
          <w:tcPr>
            <w:tcW w:w="38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ind w:left="580"/>
              <w:spacing w:after="0"/>
              <w:rPr>
                <w:sz w:val="20"/>
                <w:szCs w:val="20"/>
                <w:color w:val="auto"/>
              </w:rPr>
            </w:pPr>
            <w:r>
              <w:rPr>
                <w:rFonts w:ascii="Calibri" w:cs="Calibri" w:eastAsia="Calibri" w:hAnsi="Calibri"/>
                <w:sz w:val="18"/>
                <w:szCs w:val="18"/>
                <w:color w:val="auto"/>
              </w:rPr>
              <w:t>35.3 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68 %</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54" w:name="page55"/>
    <w:bookmarkEnd w:id="54"/>
    <w:p>
      <w:pPr>
        <w:ind w:right="120"/>
        <w:spacing w:after="0" w:line="235" w:lineRule="auto"/>
        <w:rPr>
          <w:sz w:val="20"/>
          <w:szCs w:val="20"/>
          <w:color w:val="auto"/>
        </w:rPr>
      </w:pPr>
      <w:r>
        <w:rPr>
          <w:rFonts w:ascii="Calibri" w:cs="Calibri" w:eastAsia="Calibri" w:hAnsi="Calibri"/>
          <w:sz w:val="18"/>
          <w:szCs w:val="18"/>
          <w:color w:val="auto"/>
        </w:rPr>
        <w:t>Revenue per MWh for datacenter hostng, cryptocurrency mining and power and capacity are used by management to consider the extent to which we may generate electricity to either produce cryptocurrency or sell power to the New York wholesale power market. Cost of revenue (excluding depreciaton) per MWh represents a measure of the cost of natural gas, emissions credits, payroll and benefts and other direct producton costs associated with the MWh's produced to generate the respectve revenue category for each MWh utlized. Depreciaton expense is excluded from the cost of revenue (exclusive of depreciaton) per MWh metric; therefore, not all cost of revenues for datacenter hostng, cryptocurrency mining and power and capacity are fully refected. To the extent any other cryptocurrency datacenters are public or may go public, the cost of revenue (exclusive of depreciaton) per MWh metric may not be comparable because some compettors may include depreciaton in their cost of revenue fgures.</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color w:val="auto"/>
        </w:rPr>
        <w:t>Average bitcoin price is derived from the daily average bitcoin price at open as reported by Coinbase, a leading cryptocurrency exchange.</w:t>
      </w:r>
    </w:p>
    <w:p>
      <w:pPr>
        <w:spacing w:after="0" w:line="244" w:lineRule="exact"/>
        <w:rPr>
          <w:sz w:val="20"/>
          <w:szCs w:val="20"/>
          <w:color w:val="auto"/>
        </w:rPr>
      </w:pPr>
    </w:p>
    <w:p>
      <w:pPr>
        <w:spacing w:after="0"/>
        <w:rPr>
          <w:sz w:val="20"/>
          <w:szCs w:val="20"/>
          <w:color w:val="auto"/>
        </w:rPr>
      </w:pPr>
      <w:r>
        <w:rPr>
          <w:rFonts w:ascii="Calibri" w:cs="Calibri" w:eastAsia="Calibri" w:hAnsi="Calibri"/>
          <w:sz w:val="17"/>
          <w:szCs w:val="17"/>
          <w:color w:val="auto"/>
        </w:rPr>
        <w:t>Average hashrate is Greenidge’s average computng power over the period supplied to pool operators, which is measured using data from the pool operators.</w:t>
      </w:r>
    </w:p>
    <w:p>
      <w:pPr>
        <w:spacing w:after="0" w:line="238" w:lineRule="exact"/>
        <w:rPr>
          <w:sz w:val="20"/>
          <w:szCs w:val="20"/>
          <w:color w:val="auto"/>
        </w:rPr>
      </w:pPr>
    </w:p>
    <w:p>
      <w:pPr>
        <w:ind w:right="120"/>
        <w:spacing w:after="0" w:line="228" w:lineRule="auto"/>
        <w:rPr>
          <w:sz w:val="20"/>
          <w:szCs w:val="20"/>
          <w:color w:val="auto"/>
        </w:rPr>
      </w:pPr>
      <w:r>
        <w:rPr>
          <w:rFonts w:ascii="Calibri" w:cs="Calibri" w:eastAsia="Calibri" w:hAnsi="Calibri"/>
          <w:sz w:val="18"/>
          <w:szCs w:val="18"/>
          <w:color w:val="auto"/>
        </w:rPr>
        <w:t>Average difculty is a measure of how difcult and tme-consuming it is to fnd the right hash to solve the algorithm on the blockchain in order to receive a reward. Difculty increases or decreases over tme, depending on the amount of hashrate being provided to the network. It is the number of hashes it takes to solve the algorithm on the bitcoin blockchain. Our measure of Average difculty is derived from the daily average difculty reported by Coinmetrics, a leading provider of crypto fnancial intelligence.</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w:t>
      </w:r>
    </w:p>
    <w:p>
      <w:pPr>
        <w:spacing w:after="0" w:line="163"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On January 30, 2023, upon entering into the NYDIG Hostng Agreement, we transitoned the majority of the capacity of our owned datacenter facilites to datacenter hostng operatons. We entered into hostng arrangements at third party sites for the remaining owned miners in the frst and second quarters of 2023 which were terminated in the second quarter of 2024.</w:t>
      </w:r>
    </w:p>
    <w:p>
      <w:pPr>
        <w:spacing w:after="0" w:line="165" w:lineRule="exact"/>
        <w:rPr>
          <w:sz w:val="20"/>
          <w:szCs w:val="20"/>
          <w:color w:val="auto"/>
        </w:rPr>
      </w:pPr>
    </w:p>
    <w:p>
      <w:pPr>
        <w:jc w:val="both"/>
        <w:ind w:right="300"/>
        <w:spacing w:after="0" w:line="235" w:lineRule="auto"/>
        <w:rPr>
          <w:sz w:val="20"/>
          <w:szCs w:val="20"/>
          <w:color w:val="auto"/>
        </w:rPr>
      </w:pPr>
      <w:r>
        <w:rPr>
          <w:rFonts w:ascii="Calibri" w:cs="Calibri" w:eastAsia="Calibri" w:hAnsi="Calibri"/>
          <w:sz w:val="18"/>
          <w:szCs w:val="18"/>
          <w:color w:val="auto"/>
        </w:rPr>
        <w:t>At December 31, 2024, Greenidge datacenter operatons consisted of approximately 30,700 miners with approximately 3.3 EH/s of combined capacity for both datacenter hostng and cryptocurrency mining, of which 18,200 miners, or 1.8 EH/s, is associated with datacenter hostng and 12,500 miners, or 1.5 EH/s, is associated with Greenidge's cryptocurrency mining.</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Cryptocurrency mining revenue</w:t>
      </w:r>
    </w:p>
    <w:p>
      <w:pPr>
        <w:spacing w:after="0" w:line="109"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For our cryptocurrency mining revenue, we generate revenue in the form of bitcoin by earning bitcoin as rewards and transacton fees for supportng the global bitcoin network with applicaton-specifc integrated circuit computers ("ASICs" or "miners") owned by us. Our cryptocurrency mining revenue decreased by $5.2 million, or 21%, to $19.1 million during the year ended December 31, 2024.</w:t>
      </w:r>
    </w:p>
    <w:p>
      <w:pPr>
        <w:spacing w:after="0" w:line="111"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We estmate that the decrease was primarily driven by the 13% decrease in average hashrate for company owned miners. The decline in average hashrate is atributable to our focus on maximizing proftability by prioritzing operatons of our most efcient miners and curtailing operatons of less efcient miners during periods of decreased proftability. The 68% increase in the difculty factor and the lower bitcoin rewards as a result of the halving was ofset by the 129% increase in the average price of bitcoin year-over-year.</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color w:val="auto"/>
        </w:rPr>
        <w:t>The miners associated with our cryptocurrency mining for the year ended December 31, 2024 were comprised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780" w:type="dxa"/>
            <w:vAlign w:val="bottom"/>
            <w:tcBorders>
              <w:top w:val="single" w:sz="8" w:color="auto"/>
              <w:bottom w:val="single" w:sz="8" w:color="CCEEFF"/>
            </w:tcBorders>
            <w:shd w:val="clear" w:color="auto" w:fill="CCEEFF"/>
          </w:tcPr>
          <w:p>
            <w:pPr>
              <w:ind w:left="720"/>
              <w:spacing w:after="0"/>
              <w:rPr>
                <w:sz w:val="20"/>
                <w:szCs w:val="20"/>
                <w:color w:val="auto"/>
              </w:rPr>
            </w:pPr>
            <w:r>
              <w:rPr>
                <w:rFonts w:ascii="Calibri" w:cs="Calibri" w:eastAsia="Calibri" w:hAnsi="Calibri"/>
                <w:sz w:val="18"/>
                <w:szCs w:val="18"/>
                <w:b w:val="1"/>
                <w:bCs w:val="1"/>
                <w:color w:val="auto"/>
              </w:rPr>
              <w:t>Vendor and Model</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6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Calibri" w:cs="Calibri" w:eastAsia="Calibri" w:hAnsi="Calibri"/>
                <w:sz w:val="18"/>
                <w:szCs w:val="18"/>
                <w:b w:val="1"/>
                <w:bCs w:val="1"/>
                <w:color w:val="auto"/>
              </w:rPr>
              <w:t>Number of Miners</w:t>
            </w:r>
          </w:p>
        </w:tc>
      </w:tr>
      <w:tr>
        <w:trPr>
          <w:trHeight w:val="216"/>
        </w:trPr>
        <w:tc>
          <w:tcPr>
            <w:tcW w:w="2780" w:type="dxa"/>
            <w:vAlign w:val="bottom"/>
            <w:tcBorders>
              <w:top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Bitmain S19</w:t>
            </w:r>
          </w:p>
        </w:tc>
        <w:tc>
          <w:tcPr>
            <w:tcW w:w="140" w:type="dxa"/>
            <w:vAlign w:val="bottom"/>
          </w:tcPr>
          <w:p>
            <w:pPr>
              <w:spacing w:after="0"/>
              <w:rPr>
                <w:sz w:val="18"/>
                <w:szCs w:val="18"/>
                <w:color w:val="auto"/>
              </w:rPr>
            </w:pPr>
          </w:p>
        </w:tc>
        <w:tc>
          <w:tcPr>
            <w:tcW w:w="166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4,000</w:t>
            </w:r>
          </w:p>
        </w:tc>
      </w:tr>
      <w:tr>
        <w:trPr>
          <w:trHeight w:val="237"/>
        </w:trPr>
        <w:tc>
          <w:tcPr>
            <w:tcW w:w="292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Bitmain S19 Pro</w:t>
            </w: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2,000</w:t>
            </w:r>
          </w:p>
        </w:tc>
      </w:tr>
      <w:tr>
        <w:trPr>
          <w:trHeight w:val="222"/>
        </w:trPr>
        <w:tc>
          <w:tcPr>
            <w:tcW w:w="292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Bitmain S19j Pro</w:t>
            </w: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900</w:t>
            </w:r>
          </w:p>
        </w:tc>
      </w:tr>
      <w:tr>
        <w:trPr>
          <w:trHeight w:val="237"/>
        </w:trPr>
        <w:tc>
          <w:tcPr>
            <w:tcW w:w="292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Bitmain S19 XP</w:t>
            </w: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4,800</w:t>
            </w:r>
          </w:p>
        </w:tc>
      </w:tr>
      <w:tr>
        <w:trPr>
          <w:trHeight w:val="222"/>
        </w:trPr>
        <w:tc>
          <w:tcPr>
            <w:tcW w:w="292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Bitmain S19 Hydro</w:t>
            </w: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200</w:t>
            </w:r>
          </w:p>
        </w:tc>
      </w:tr>
      <w:tr>
        <w:trPr>
          <w:trHeight w:val="264"/>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8"/>
                <w:szCs w:val="18"/>
                <w:color w:val="auto"/>
              </w:rPr>
              <w:t>Bitmain S21 Pro</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600</w:t>
            </w:r>
          </w:p>
        </w:tc>
      </w:tr>
      <w:tr>
        <w:trPr>
          <w:trHeight w:val="216"/>
        </w:trPr>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12,500</w:t>
            </w:r>
          </w:p>
        </w:tc>
      </w:tr>
      <w:tr>
        <w:trPr>
          <w:trHeight w:val="27"/>
        </w:trPr>
        <w:tc>
          <w:tcPr>
            <w:tcW w:w="2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55" w:name="page56"/>
    <w:bookmarkEnd w:id="55"/>
    <w:p>
      <w:pPr>
        <w:ind w:right="180"/>
        <w:spacing w:after="0" w:line="228" w:lineRule="auto"/>
        <w:rPr>
          <w:sz w:val="20"/>
          <w:szCs w:val="20"/>
          <w:color w:val="auto"/>
        </w:rPr>
      </w:pPr>
      <w:r>
        <w:rPr>
          <w:rFonts w:ascii="Calibri" w:cs="Calibri" w:eastAsia="Calibri" w:hAnsi="Calibri"/>
          <w:sz w:val="18"/>
          <w:szCs w:val="18"/>
          <w:color w:val="auto"/>
        </w:rPr>
        <w:t>As of December 31, 2024, our feet of miners ranged in age from 0.2 to 3.3 years and had an average age of approximately 2.25 years. We do not have scheduled downtme for our miners. When we have unscheduled downtme, we may from tme to tme replace a miner with a substtute miner to minimize overall feet downtme. As of December 31, 2024, our feet of miners ranged in efciency from approximately 15.0 to 34.0 joules per terahash (“J/TH”) and had an average efciency of 27.4 J/TH.</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auto"/>
        </w:rPr>
        <w:t>The table below presents the average cost of mining each bitcoin 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63093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0936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80" w:type="dxa"/>
            <w:vAlign w:val="bottom"/>
          </w:tcPr>
          <w:p>
            <w:pPr>
              <w:ind w:left="20"/>
              <w:spacing w:after="0"/>
              <w:rPr>
                <w:sz w:val="20"/>
                <w:szCs w:val="20"/>
                <w:color w:val="auto"/>
              </w:rPr>
            </w:pPr>
            <w:r>
              <w:rPr>
                <w:rFonts w:ascii="Calibri" w:cs="Calibri" w:eastAsia="Calibri" w:hAnsi="Calibri"/>
                <w:sz w:val="18"/>
                <w:szCs w:val="18"/>
                <w:b w:val="1"/>
                <w:bCs w:val="1"/>
                <w:color w:val="auto"/>
              </w:rPr>
              <w:t>Cost of Mining - Analysis of Costs to Mine One Bitcoin</w:t>
            </w:r>
          </w:p>
        </w:tc>
        <w:tc>
          <w:tcPr>
            <w:tcW w:w="940" w:type="dxa"/>
            <w:vAlign w:val="bottom"/>
          </w:tcPr>
          <w:p>
            <w:pPr>
              <w:spacing w:after="0"/>
              <w:rPr>
                <w:sz w:val="20"/>
                <w:szCs w:val="20"/>
                <w:color w:val="auto"/>
              </w:rPr>
            </w:pPr>
          </w:p>
        </w:tc>
        <w:tc>
          <w:tcPr>
            <w:tcW w:w="2220" w:type="dxa"/>
            <w:vAlign w:val="bottom"/>
          </w:tcPr>
          <w:p>
            <w:pPr>
              <w:jc w:val="right"/>
              <w:ind w:right="530"/>
              <w:spacing w:after="0"/>
              <w:rPr>
                <w:sz w:val="20"/>
                <w:szCs w:val="20"/>
                <w:color w:val="auto"/>
              </w:rPr>
            </w:pPr>
            <w:r>
              <w:rPr>
                <w:rFonts w:ascii="Calibri" w:cs="Calibri" w:eastAsia="Calibri" w:hAnsi="Calibri"/>
                <w:sz w:val="18"/>
                <w:szCs w:val="18"/>
                <w:color w:val="auto"/>
              </w:rPr>
              <w:t>December 31, 2024</w:t>
            </w:r>
          </w:p>
        </w:tc>
        <w:tc>
          <w:tcPr>
            <w:tcW w:w="1500" w:type="dxa"/>
            <w:vAlign w:val="bottom"/>
          </w:tcPr>
          <w:p>
            <w:pPr>
              <w:ind w:left="80"/>
              <w:spacing w:after="0"/>
              <w:rPr>
                <w:sz w:val="20"/>
                <w:szCs w:val="20"/>
                <w:color w:val="auto"/>
              </w:rPr>
            </w:pPr>
            <w:r>
              <w:rPr>
                <w:rFonts w:ascii="Calibri" w:cs="Calibri" w:eastAsia="Calibri" w:hAnsi="Calibri"/>
                <w:sz w:val="18"/>
                <w:szCs w:val="18"/>
                <w:color w:val="auto"/>
                <w:w w:val="97"/>
              </w:rPr>
              <w:t>December 31, 2023</w:t>
            </w:r>
          </w:p>
        </w:tc>
        <w:tc>
          <w:tcPr>
            <w:tcW w:w="700" w:type="dxa"/>
            <w:vAlign w:val="bottom"/>
          </w:tcPr>
          <w:p>
            <w:pPr>
              <w:spacing w:after="0"/>
              <w:rPr>
                <w:sz w:val="20"/>
                <w:szCs w:val="20"/>
                <w:color w:val="auto"/>
              </w:rPr>
            </w:pPr>
          </w:p>
        </w:tc>
      </w:tr>
      <w:tr>
        <w:trPr>
          <w:trHeight w:val="23"/>
        </w:trPr>
        <w:tc>
          <w:tcPr>
            <w:tcW w:w="4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4580" w:type="dxa"/>
            <w:vAlign w:val="bottom"/>
            <w:shd w:val="clear" w:color="auto" w:fill="CCEEFF"/>
          </w:tcPr>
          <w:p>
            <w:pPr>
              <w:ind w:left="20"/>
              <w:spacing w:after="0" w:line="223" w:lineRule="exact"/>
              <w:rPr>
                <w:sz w:val="20"/>
                <w:szCs w:val="20"/>
                <w:color w:val="auto"/>
              </w:rPr>
            </w:pPr>
            <w:r>
              <w:rPr>
                <w:rFonts w:ascii="Calibri" w:cs="Calibri" w:eastAsia="Calibri" w:hAnsi="Calibri"/>
                <w:sz w:val="18"/>
                <w:szCs w:val="18"/>
                <w:color w:val="auto"/>
              </w:rPr>
              <w:t>Cost to mine one bitcoin</w:t>
            </w:r>
            <w:r>
              <w:rPr>
                <w:rFonts w:ascii="Calibri" w:cs="Calibri" w:eastAsia="Calibri" w:hAnsi="Calibri"/>
                <w:sz w:val="23"/>
                <w:szCs w:val="23"/>
                <w:color w:val="auto"/>
                <w:vertAlign w:val="superscript"/>
              </w:rPr>
              <w:t>(1)</w:t>
            </w:r>
          </w:p>
        </w:tc>
        <w:tc>
          <w:tcPr>
            <w:tcW w:w="94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222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39,094</w:t>
            </w:r>
          </w:p>
        </w:tc>
        <w:tc>
          <w:tcPr>
            <w:tcW w:w="1500" w:type="dxa"/>
            <w:vAlign w:val="bottom"/>
            <w:shd w:val="clear" w:color="auto" w:fill="CCEEFF"/>
          </w:tcPr>
          <w:p>
            <w:pPr>
              <w:ind w:left="8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w w:val="99"/>
              </w:rPr>
              <w:t>16,892</w:t>
            </w:r>
          </w:p>
        </w:tc>
      </w:tr>
      <w:tr>
        <w:trPr>
          <w:trHeight w:val="256"/>
        </w:trPr>
        <w:tc>
          <w:tcPr>
            <w:tcW w:w="4580" w:type="dxa"/>
            <w:vAlign w:val="bottom"/>
          </w:tcPr>
          <w:p>
            <w:pPr>
              <w:ind w:left="20"/>
              <w:spacing w:after="0" w:line="257" w:lineRule="exact"/>
              <w:rPr>
                <w:sz w:val="20"/>
                <w:szCs w:val="20"/>
                <w:color w:val="auto"/>
              </w:rPr>
            </w:pPr>
            <w:r>
              <w:rPr>
                <w:rFonts w:ascii="Calibri" w:cs="Calibri" w:eastAsia="Calibri" w:hAnsi="Calibri"/>
                <w:sz w:val="18"/>
                <w:szCs w:val="18"/>
                <w:color w:val="auto"/>
              </w:rPr>
              <w:t>Value of each bitcoin mined</w:t>
            </w:r>
            <w:r>
              <w:rPr>
                <w:rFonts w:ascii="Calibri" w:cs="Calibri" w:eastAsia="Calibri" w:hAnsi="Calibri"/>
                <w:sz w:val="23"/>
                <w:szCs w:val="23"/>
                <w:color w:val="auto"/>
                <w:vertAlign w:val="superscript"/>
              </w:rPr>
              <w:t>(2)</w:t>
            </w:r>
          </w:p>
        </w:tc>
        <w:tc>
          <w:tcPr>
            <w:tcW w:w="940" w:type="dxa"/>
            <w:vAlign w:val="bottom"/>
          </w:tcPr>
          <w:p>
            <w:pPr>
              <w:jc w:val="right"/>
              <w:ind w:right="130"/>
              <w:spacing w:after="0"/>
              <w:rPr>
                <w:sz w:val="20"/>
                <w:szCs w:val="20"/>
                <w:color w:val="auto"/>
              </w:rPr>
            </w:pPr>
            <w:r>
              <w:rPr>
                <w:rFonts w:ascii="Calibri" w:cs="Calibri" w:eastAsia="Calibri" w:hAnsi="Calibri"/>
                <w:sz w:val="18"/>
                <w:szCs w:val="18"/>
                <w:color w:val="auto"/>
              </w:rPr>
              <w:t>$</w:t>
            </w:r>
          </w:p>
        </w:tc>
        <w:tc>
          <w:tcPr>
            <w:tcW w:w="2220" w:type="dxa"/>
            <w:vAlign w:val="bottom"/>
          </w:tcPr>
          <w:p>
            <w:pPr>
              <w:jc w:val="right"/>
              <w:ind w:right="170"/>
              <w:spacing w:after="0"/>
              <w:rPr>
                <w:sz w:val="20"/>
                <w:szCs w:val="20"/>
                <w:color w:val="auto"/>
              </w:rPr>
            </w:pPr>
            <w:r>
              <w:rPr>
                <w:rFonts w:ascii="Calibri" w:cs="Calibri" w:eastAsia="Calibri" w:hAnsi="Calibri"/>
                <w:sz w:val="18"/>
                <w:szCs w:val="18"/>
                <w:color w:val="auto"/>
              </w:rPr>
              <w:t>61,686</w:t>
            </w:r>
          </w:p>
        </w:tc>
        <w:tc>
          <w:tcPr>
            <w:tcW w:w="1500" w:type="dxa"/>
            <w:vAlign w:val="bottom"/>
          </w:tcPr>
          <w:p>
            <w:pPr>
              <w:ind w:left="80"/>
              <w:spacing w:after="0"/>
              <w:rPr>
                <w:sz w:val="20"/>
                <w:szCs w:val="20"/>
                <w:color w:val="auto"/>
              </w:rPr>
            </w:pPr>
            <w:r>
              <w:rPr>
                <w:rFonts w:ascii="Calibri" w:cs="Calibri" w:eastAsia="Calibri" w:hAnsi="Calibri"/>
                <w:sz w:val="18"/>
                <w:szCs w:val="18"/>
                <w:color w:val="auto"/>
              </w:rPr>
              <w:t>$</w:t>
            </w:r>
          </w:p>
        </w:tc>
        <w:tc>
          <w:tcPr>
            <w:tcW w:w="700" w:type="dxa"/>
            <w:vAlign w:val="bottom"/>
          </w:tcPr>
          <w:p>
            <w:pPr>
              <w:jc w:val="right"/>
              <w:ind w:right="90"/>
              <w:spacing w:after="0"/>
              <w:rPr>
                <w:sz w:val="20"/>
                <w:szCs w:val="20"/>
                <w:color w:val="auto"/>
              </w:rPr>
            </w:pPr>
            <w:r>
              <w:rPr>
                <w:rFonts w:ascii="Calibri" w:cs="Calibri" w:eastAsia="Calibri" w:hAnsi="Calibri"/>
                <w:sz w:val="18"/>
                <w:szCs w:val="18"/>
                <w:color w:val="auto"/>
                <w:w w:val="99"/>
              </w:rPr>
              <w:t>27,203</w:t>
            </w:r>
          </w:p>
        </w:tc>
      </w:tr>
      <w:tr>
        <w:trPr>
          <w:trHeight w:val="230"/>
        </w:trPr>
        <w:tc>
          <w:tcPr>
            <w:tcW w:w="45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Cost to mine one bitcoin as % of value of bitcoin mined</w:t>
            </w:r>
          </w:p>
        </w:tc>
        <w:tc>
          <w:tcPr>
            <w:tcW w:w="94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63.4 %</w:t>
            </w:r>
          </w:p>
        </w:tc>
        <w:tc>
          <w:tcPr>
            <w:tcW w:w="15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62.1 %</w:t>
            </w:r>
          </w:p>
        </w:tc>
      </w:tr>
    </w:tbl>
    <w:p>
      <w:pPr>
        <w:spacing w:after="0" w:line="52" w:lineRule="exact"/>
        <w:rPr>
          <w:sz w:val="20"/>
          <w:szCs w:val="20"/>
          <w:color w:val="auto"/>
        </w:rPr>
      </w:pPr>
    </w:p>
    <w:p>
      <w:pPr>
        <w:ind w:left="200" w:hanging="192"/>
        <w:spacing w:after="0"/>
        <w:tabs>
          <w:tab w:leader="none" w:pos="20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Computed as cost of revenue of cryptocurrency mining divided by number of bitcoins produced from cryptocurrency mining.</w:t>
      </w:r>
    </w:p>
    <w:p>
      <w:pPr>
        <w:spacing w:after="0" w:line="4" w:lineRule="exact"/>
        <w:rPr>
          <w:rFonts w:ascii="Calibri" w:cs="Calibri" w:eastAsia="Calibri" w:hAnsi="Calibri"/>
          <w:sz w:val="14"/>
          <w:szCs w:val="14"/>
          <w:color w:val="auto"/>
        </w:rPr>
      </w:pPr>
    </w:p>
    <w:p>
      <w:pPr>
        <w:ind w:left="200" w:hanging="192"/>
        <w:spacing w:after="0"/>
        <w:tabs>
          <w:tab w:leader="none" w:pos="20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Computed as cryptocurrency mining revenue divided by number of bitcoins produced from cryptocurrency mining.</w:t>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Datacenter hostng revenue</w:t>
      </w:r>
    </w:p>
    <w:p>
      <w:pPr>
        <w:spacing w:after="0" w:line="163" w:lineRule="exact"/>
        <w:rPr>
          <w:sz w:val="20"/>
          <w:szCs w:val="20"/>
          <w:color w:val="auto"/>
        </w:rPr>
      </w:pPr>
    </w:p>
    <w:p>
      <w:pPr>
        <w:ind w:right="60"/>
        <w:spacing w:after="0" w:line="251" w:lineRule="auto"/>
        <w:rPr>
          <w:sz w:val="20"/>
          <w:szCs w:val="20"/>
          <w:color w:val="auto"/>
        </w:rPr>
      </w:pPr>
      <w:r>
        <w:rPr>
          <w:rFonts w:ascii="Calibri" w:cs="Calibri" w:eastAsia="Calibri" w:hAnsi="Calibri"/>
          <w:sz w:val="17"/>
          <w:szCs w:val="17"/>
          <w:color w:val="auto"/>
        </w:rPr>
        <w:t>Under the NYDIG Hostng Agreement, we generate revenue from a reimbursement fee that covers the cost of power and direct costs associated with management of the mining facilites, a hostng fee and a gross proft-sharing arrangement. The arrangement covers substantally all of our current mining capacity at the New York Facility. The South Carolina Facility was dedicated to hostng from February 2023 through the date of the sale of such facility on November 15, 2023. We generated revenue of $29.8 million and $39.5 million in 2024 and 2023, respectvely. This decrease of $9.6 million was mainly due to the sale of the South Carolina Facility in the fourth quarter of 2023, which accounted for a $12.4 million decrease in hostng revenue. The New York Facility hostng revenue increased by $2.4 million, primarily due to an additonal month of hostng in 2024, as the contract commenced at the end of January 2023.</w:t>
      </w:r>
    </w:p>
    <w:p>
      <w:pPr>
        <w:spacing w:after="0" w:line="31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Power and capacity revenue</w:t>
      </w:r>
    </w:p>
    <w:p>
      <w:pPr>
        <w:spacing w:after="0" w:line="10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Power and capacity revenue at our New York Facility is earned when we sell capacity and energy and ancillary services to the wholesale power grid managed by the NYISO. Through these sales, we earn revenue in three streams, including: (1) power revenue received based on the hourly price of power, (2) capacity revenue for commitng to sell power to the NYISO when dispatched and (3) other ancillary service revenue received as compensaton for the provision of operatng reserves.</w:t>
      </w:r>
    </w:p>
    <w:p>
      <w:pPr>
        <w:spacing w:after="0" w:line="111"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Our power and capacity revenue increased $4.0 million, or 59%, to $10.6 million in 2024. We estmate that higher power and capacity sales volume due to increased demand and higher average power and capacity prices caused revenue increases of approximately 23% and 36%, respectvely.</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Cost of revenue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5"/>
          </w:tcPr>
          <w:p>
            <w:pPr>
              <w:ind w:left="420"/>
              <w:spacing w:after="0"/>
              <w:rPr>
                <w:sz w:val="20"/>
                <w:szCs w:val="20"/>
                <w:color w:val="auto"/>
              </w:rPr>
            </w:pPr>
            <w:r>
              <w:rPr>
                <w:rFonts w:ascii="Calibri" w:cs="Calibri" w:eastAsia="Calibri" w:hAnsi="Calibri"/>
                <w:sz w:val="14"/>
                <w:szCs w:val="14"/>
                <w:b w:val="1"/>
                <w:bCs w:val="1"/>
                <w:color w:val="auto"/>
              </w:rPr>
              <w:t>Years Ended December 31,</w:t>
            </w:r>
          </w:p>
        </w:tc>
        <w:tc>
          <w:tcPr>
            <w:tcW w:w="400" w:type="dxa"/>
            <w:vAlign w:val="bottom"/>
          </w:tcPr>
          <w:p>
            <w:pPr>
              <w:spacing w:after="0"/>
              <w:rPr>
                <w:sz w:val="14"/>
                <w:szCs w:val="14"/>
                <w:color w:val="auto"/>
              </w:rPr>
            </w:pPr>
          </w:p>
        </w:tc>
        <w:tc>
          <w:tcPr>
            <w:tcW w:w="1600" w:type="dxa"/>
            <w:vAlign w:val="bottom"/>
            <w:gridSpan w:val="3"/>
          </w:tcPr>
          <w:p>
            <w:pPr>
              <w:ind w:left="860"/>
              <w:spacing w:after="0"/>
              <w:rPr>
                <w:sz w:val="20"/>
                <w:szCs w:val="20"/>
                <w:color w:val="auto"/>
              </w:rPr>
            </w:pPr>
            <w:r>
              <w:rPr>
                <w:rFonts w:ascii="Calibri" w:cs="Calibri" w:eastAsia="Calibri" w:hAnsi="Calibri"/>
                <w:sz w:val="14"/>
                <w:szCs w:val="14"/>
                <w:b w:val="1"/>
                <w:bCs w:val="1"/>
                <w:color w:val="auto"/>
              </w:rPr>
              <w:t>Variance</w:t>
            </w:r>
          </w:p>
        </w:tc>
        <w:tc>
          <w:tcPr>
            <w:tcW w:w="1040" w:type="dxa"/>
            <w:vAlign w:val="bottom"/>
          </w:tcPr>
          <w:p>
            <w:pPr>
              <w:spacing w:after="0"/>
              <w:rPr>
                <w:sz w:val="14"/>
                <w:szCs w:val="14"/>
                <w:color w:val="auto"/>
              </w:rPr>
            </w:pPr>
          </w:p>
        </w:tc>
      </w:tr>
      <w:tr>
        <w:trPr>
          <w:trHeight w:val="253"/>
        </w:trPr>
        <w:tc>
          <w:tcPr>
            <w:tcW w:w="4940" w:type="dxa"/>
            <w:vAlign w:val="bottom"/>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380" w:type="dxa"/>
            <w:vAlign w:val="bottom"/>
          </w:tcPr>
          <w:p>
            <w:pPr>
              <w:spacing w:after="0"/>
              <w:rPr>
                <w:sz w:val="22"/>
                <w:szCs w:val="22"/>
                <w:color w:val="auto"/>
              </w:rPr>
            </w:pPr>
          </w:p>
        </w:tc>
        <w:tc>
          <w:tcPr>
            <w:tcW w:w="1160" w:type="dxa"/>
            <w:vAlign w:val="bottom"/>
          </w:tcPr>
          <w:p>
            <w:pPr>
              <w:jc w:val="right"/>
              <w:ind w:right="535"/>
              <w:spacing w:after="0"/>
              <w:rPr>
                <w:sz w:val="20"/>
                <w:szCs w:val="20"/>
                <w:color w:val="auto"/>
              </w:rPr>
            </w:pPr>
            <w:r>
              <w:rPr>
                <w:rFonts w:ascii="Calibri" w:cs="Calibri" w:eastAsia="Calibri" w:hAnsi="Calibri"/>
                <w:sz w:val="14"/>
                <w:szCs w:val="14"/>
                <w:b w:val="1"/>
                <w:bCs w:val="1"/>
                <w:color w:val="auto"/>
              </w:rPr>
              <w:t>2024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533"/>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596"/>
              <w:spacing w:after="0"/>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jc w:val="right"/>
              <w:ind w:right="610"/>
              <w:spacing w:after="0"/>
              <w:rPr>
                <w:sz w:val="20"/>
                <w:szCs w:val="20"/>
                <w:color w:val="auto"/>
              </w:rPr>
            </w:pPr>
            <w:r>
              <w:rPr>
                <w:rFonts w:ascii="Calibri" w:cs="Calibri" w:eastAsia="Calibri" w:hAnsi="Calibri"/>
                <w:sz w:val="18"/>
                <w:szCs w:val="18"/>
                <w:color w:val="auto"/>
              </w:rPr>
              <w:t>%</w:t>
            </w:r>
          </w:p>
        </w:tc>
      </w:tr>
      <w:tr>
        <w:trPr>
          <w:trHeight w:val="23"/>
        </w:trPr>
        <w:tc>
          <w:tcPr>
            <w:tcW w:w="4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494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Cryptocurrency mining</w:t>
            </w:r>
          </w:p>
        </w:tc>
        <w:tc>
          <w:tcPr>
            <w:tcW w:w="38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ind w:right="115"/>
              <w:spacing w:after="0" w:line="215" w:lineRule="exact"/>
              <w:rPr>
                <w:sz w:val="20"/>
                <w:szCs w:val="20"/>
                <w:color w:val="auto"/>
              </w:rPr>
            </w:pPr>
            <w:r>
              <w:rPr>
                <w:rFonts w:ascii="Calibri" w:cs="Calibri" w:eastAsia="Calibri" w:hAnsi="Calibri"/>
                <w:sz w:val="18"/>
                <w:szCs w:val="18"/>
                <w:color w:val="auto"/>
              </w:rPr>
              <w:t>12,080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ind w:right="93"/>
              <w:spacing w:after="0" w:line="215" w:lineRule="exact"/>
              <w:rPr>
                <w:sz w:val="20"/>
                <w:szCs w:val="20"/>
                <w:color w:val="auto"/>
              </w:rPr>
            </w:pPr>
            <w:r>
              <w:rPr>
                <w:rFonts w:ascii="Calibri" w:cs="Calibri" w:eastAsia="Calibri" w:hAnsi="Calibri"/>
                <w:sz w:val="18"/>
                <w:szCs w:val="18"/>
                <w:color w:val="auto"/>
              </w:rPr>
              <w:t>15,051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(2,971)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w:t>
            </w:r>
          </w:p>
        </w:tc>
      </w:tr>
      <w:tr>
        <w:trPr>
          <w:trHeight w:val="222"/>
        </w:trPr>
        <w:tc>
          <w:tcPr>
            <w:tcW w:w="4940" w:type="dxa"/>
            <w:vAlign w:val="bottom"/>
          </w:tcPr>
          <w:p>
            <w:pPr>
              <w:ind w:left="20"/>
              <w:spacing w:after="0" w:line="215" w:lineRule="exact"/>
              <w:rPr>
                <w:sz w:val="20"/>
                <w:szCs w:val="20"/>
                <w:color w:val="auto"/>
              </w:rPr>
            </w:pPr>
            <w:r>
              <w:rPr>
                <w:rFonts w:ascii="Calibri" w:cs="Calibri" w:eastAsia="Calibri" w:hAnsi="Calibri"/>
                <w:sz w:val="18"/>
                <w:szCs w:val="18"/>
                <w:color w:val="auto"/>
              </w:rPr>
              <w:t>Datacenter hostng</w:t>
            </w:r>
          </w:p>
        </w:tc>
        <w:tc>
          <w:tcPr>
            <w:tcW w:w="380" w:type="dxa"/>
            <w:vAlign w:val="bottom"/>
          </w:tcPr>
          <w:p>
            <w:pPr>
              <w:spacing w:after="0"/>
              <w:rPr>
                <w:sz w:val="19"/>
                <w:szCs w:val="19"/>
                <w:color w:val="auto"/>
              </w:rPr>
            </w:pPr>
          </w:p>
        </w:tc>
        <w:tc>
          <w:tcPr>
            <w:tcW w:w="1160" w:type="dxa"/>
            <w:vAlign w:val="bottom"/>
          </w:tcPr>
          <w:p>
            <w:pPr>
              <w:jc w:val="right"/>
              <w:ind w:right="115"/>
              <w:spacing w:after="0" w:line="215" w:lineRule="exact"/>
              <w:rPr>
                <w:sz w:val="20"/>
                <w:szCs w:val="20"/>
                <w:color w:val="auto"/>
              </w:rPr>
            </w:pPr>
            <w:r>
              <w:rPr>
                <w:rFonts w:ascii="Calibri" w:cs="Calibri" w:eastAsia="Calibri" w:hAnsi="Calibri"/>
                <w:sz w:val="18"/>
                <w:szCs w:val="18"/>
                <w:color w:val="auto"/>
              </w:rPr>
              <w:t>22,237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93"/>
              <w:spacing w:after="0" w:line="215" w:lineRule="exact"/>
              <w:rPr>
                <w:sz w:val="20"/>
                <w:szCs w:val="20"/>
                <w:color w:val="auto"/>
              </w:rPr>
            </w:pPr>
            <w:r>
              <w:rPr>
                <w:rFonts w:ascii="Calibri" w:cs="Calibri" w:eastAsia="Calibri" w:hAnsi="Calibri"/>
                <w:sz w:val="18"/>
                <w:szCs w:val="18"/>
                <w:color w:val="auto"/>
              </w:rPr>
              <w:t>29,695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(7,458)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(25)%</w:t>
            </w:r>
          </w:p>
        </w:tc>
      </w:tr>
      <w:tr>
        <w:trPr>
          <w:trHeight w:val="237"/>
        </w:trPr>
        <w:tc>
          <w:tcPr>
            <w:tcW w:w="49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Power and capacity</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Calibri" w:cs="Calibri" w:eastAsia="Calibri" w:hAnsi="Calibri"/>
                <w:sz w:val="18"/>
                <w:szCs w:val="18"/>
                <w:color w:val="auto"/>
              </w:rPr>
              <w:t>6,791</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Calibri" w:cs="Calibri" w:eastAsia="Calibri" w:hAnsi="Calibri"/>
                <w:sz w:val="18"/>
                <w:szCs w:val="18"/>
                <w:color w:val="auto"/>
              </w:rPr>
              <w:t>6,259</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532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8 %</w:t>
            </w:r>
          </w:p>
        </w:tc>
      </w:tr>
      <w:tr>
        <w:trPr>
          <w:trHeight w:val="223"/>
        </w:trPr>
        <w:tc>
          <w:tcPr>
            <w:tcW w:w="4940" w:type="dxa"/>
            <w:vAlign w:val="bottom"/>
          </w:tcPr>
          <w:p>
            <w:pPr>
              <w:ind w:left="80"/>
              <w:spacing w:after="0"/>
              <w:rPr>
                <w:sz w:val="20"/>
                <w:szCs w:val="20"/>
                <w:color w:val="auto"/>
              </w:rPr>
            </w:pPr>
            <w:r>
              <w:rPr>
                <w:rFonts w:ascii="Calibri" w:cs="Calibri" w:eastAsia="Calibri" w:hAnsi="Calibri"/>
                <w:sz w:val="18"/>
                <w:szCs w:val="18"/>
                <w:color w:val="auto"/>
              </w:rPr>
              <w:t>Total cost of revenue (exclusive of depreciaton)</w:t>
            </w:r>
          </w:p>
        </w:tc>
        <w:tc>
          <w:tcPr>
            <w:tcW w:w="38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ind w:right="115"/>
              <w:spacing w:after="0" w:line="215" w:lineRule="exact"/>
              <w:rPr>
                <w:sz w:val="20"/>
                <w:szCs w:val="20"/>
                <w:color w:val="auto"/>
              </w:rPr>
            </w:pPr>
            <w:r>
              <w:rPr>
                <w:rFonts w:ascii="Calibri" w:cs="Calibri" w:eastAsia="Calibri" w:hAnsi="Calibri"/>
                <w:sz w:val="18"/>
                <w:szCs w:val="18"/>
                <w:color w:val="auto"/>
              </w:rPr>
              <w:t>41,108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ind w:right="93"/>
              <w:spacing w:after="0" w:line="215" w:lineRule="exact"/>
              <w:rPr>
                <w:sz w:val="20"/>
                <w:szCs w:val="20"/>
                <w:color w:val="auto"/>
              </w:rPr>
            </w:pPr>
            <w:r>
              <w:rPr>
                <w:rFonts w:ascii="Calibri" w:cs="Calibri" w:eastAsia="Calibri" w:hAnsi="Calibri"/>
                <w:sz w:val="18"/>
                <w:szCs w:val="18"/>
                <w:color w:val="auto"/>
              </w:rPr>
              <w:t>51,005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(9,897)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auto"/>
              </w:rPr>
              <w:t>(19)%</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223"/>
        </w:trPr>
        <w:tc>
          <w:tcPr>
            <w:tcW w:w="4940" w:type="dxa"/>
            <w:vAlign w:val="bottom"/>
            <w:shd w:val="clear" w:color="auto" w:fill="CCEEFF"/>
          </w:tcPr>
          <w:p>
            <w:pPr>
              <w:ind w:left="360"/>
              <w:spacing w:after="0" w:line="200" w:lineRule="exact"/>
              <w:rPr>
                <w:sz w:val="20"/>
                <w:szCs w:val="20"/>
                <w:color w:val="auto"/>
              </w:rPr>
            </w:pPr>
            <w:r>
              <w:rPr>
                <w:rFonts w:ascii="Calibri" w:cs="Calibri" w:eastAsia="Calibri" w:hAnsi="Calibri"/>
                <w:sz w:val="18"/>
                <w:szCs w:val="18"/>
                <w:i w:val="1"/>
                <w:iCs w:val="1"/>
                <w:color w:val="auto"/>
              </w:rPr>
              <w:t>As a percentage of total revenue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69.1 %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i w:val="1"/>
                <w:iCs w:val="1"/>
                <w:color w:val="auto"/>
              </w:rPr>
              <w:t>72.5 %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bl>
    <w:p>
      <w:pPr>
        <w:spacing w:after="0" w:line="275"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Total cost of revenue, exclusive of depreciaton, decreased $9.9 million, or 19%, to $41.1 million during 2024 as compared to the prior year. We estmate the decrease is comprised of the following:</w:t>
      </w:r>
    </w:p>
    <w:p>
      <w:pPr>
        <w:spacing w:after="0" w:line="218" w:lineRule="exact"/>
        <w:rPr>
          <w:sz w:val="20"/>
          <w:szCs w:val="20"/>
          <w:color w:val="auto"/>
        </w:rPr>
      </w:pPr>
    </w:p>
    <w:p>
      <w:pPr>
        <w:ind w:left="660" w:right="360" w:hanging="328"/>
        <w:spacing w:after="0" w:line="235" w:lineRule="auto"/>
        <w:tabs>
          <w:tab w:leader="none" w:pos="653"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The South Carolina Facility contributed 24% of cost of revenue in 2023, as compared to no actvity at the facility in 2024 following the sale in the fourth quarter of 2023.</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6" w:name="page57"/>
    <w:bookmarkEnd w:id="56"/>
    <w:p>
      <w:pPr>
        <w:ind w:left="660" w:right="180" w:hanging="328"/>
        <w:spacing w:after="0" w:line="235" w:lineRule="auto"/>
        <w:tabs>
          <w:tab w:leader="none" w:pos="653"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The cancellaton of third-party hostng contracts in the second quarter of 2024 resulted in an 8% reducton to cost of revenue due to lower hostng fees;</w:t>
      </w:r>
    </w:p>
    <w:p>
      <w:pPr>
        <w:spacing w:after="0" w:line="217" w:lineRule="exact"/>
        <w:rPr>
          <w:rFonts w:ascii="Calibri" w:cs="Calibri" w:eastAsia="Calibri" w:hAnsi="Calibri"/>
          <w:sz w:val="18"/>
          <w:szCs w:val="18"/>
          <w:color w:val="auto"/>
        </w:rPr>
      </w:pPr>
    </w:p>
    <w:p>
      <w:pPr>
        <w:ind w:left="660" w:right="100" w:hanging="328"/>
        <w:spacing w:after="0" w:line="235" w:lineRule="auto"/>
        <w:tabs>
          <w:tab w:leader="none" w:pos="653"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Natural gas costs increased year-over-year by 12% as a result of 5% higher volume usage by the New York Facility, as well as a 6% increase in natural gas prices year-over-year.</w:t>
      </w:r>
    </w:p>
    <w:p>
      <w:pPr>
        <w:spacing w:after="0" w:line="218"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Our New York Facility allocates its cost of revenue between datacenter hostng, cryptocurrency mining and power and capacity based on their respectve MWh consumpton on a pro rata basis.</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Selling, general and administratve expenses</w:t>
      </w:r>
    </w:p>
    <w:p>
      <w:pPr>
        <w:spacing w:after="0" w:line="217"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Selling, general and administratve expenses decreased $8.9 million, or 34%, to $17.3 million during the year ended December 31, 2024 as compared to the prior year period. The main drivers of the decrease in selling, general and administratve expenses were:</w:t>
      </w:r>
    </w:p>
    <w:p>
      <w:pPr>
        <w:spacing w:after="0" w:line="150" w:lineRule="exact"/>
        <w:rPr>
          <w:sz w:val="20"/>
          <w:szCs w:val="20"/>
          <w:color w:val="auto"/>
        </w:rPr>
      </w:pPr>
    </w:p>
    <w:p>
      <w:pPr>
        <w:ind w:left="660" w:right="140" w:hanging="328"/>
        <w:spacing w:after="0" w:line="227" w:lineRule="auto"/>
        <w:tabs>
          <w:tab w:leader="none" w:pos="653"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Total restructuring costs decreased approximately $4.1 million in 2024 compared to the prior year, mainly as a result of non-recurring restructuring costs incurred in the prior year;</w:t>
      </w:r>
    </w:p>
    <w:p>
      <w:pPr>
        <w:spacing w:after="0" w:line="205" w:lineRule="exact"/>
        <w:rPr>
          <w:rFonts w:ascii="Calibri" w:cs="Calibri" w:eastAsia="Calibri" w:hAnsi="Calibri"/>
          <w:sz w:val="18"/>
          <w:szCs w:val="18"/>
          <w:color w:val="auto"/>
        </w:rPr>
      </w:pPr>
    </w:p>
    <w:p>
      <w:pPr>
        <w:ind w:left="660" w:right="60" w:hanging="328"/>
        <w:spacing w:after="0" w:line="242" w:lineRule="auto"/>
        <w:tabs>
          <w:tab w:leader="none" w:pos="653"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Total payroll and benefts and other employee costs decreased approximately $1.2 million in 2024 compared to the prior year, as a result of declines in employee expenses including incentve compensaton as result of the restructuring actvites in the prior year to reduce our cost structure;</w:t>
      </w:r>
    </w:p>
    <w:p>
      <w:pPr>
        <w:spacing w:after="0" w:line="202" w:lineRule="exact"/>
        <w:rPr>
          <w:rFonts w:ascii="Calibri" w:cs="Calibri" w:eastAsia="Calibri" w:hAnsi="Calibri"/>
          <w:sz w:val="17"/>
          <w:szCs w:val="17"/>
          <w:color w:val="auto"/>
        </w:rPr>
      </w:pPr>
    </w:p>
    <w:p>
      <w:pPr>
        <w:ind w:left="660" w:right="440" w:hanging="328"/>
        <w:spacing w:after="0" w:line="227" w:lineRule="auto"/>
        <w:tabs>
          <w:tab w:leader="none" w:pos="653"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Total insurance expense decreased approximately $2.2 million in 2024 compared to the prior year, as a result of declines in coverage related to umbrella, property, and liability policies;</w:t>
      </w:r>
    </w:p>
    <w:p>
      <w:pPr>
        <w:spacing w:after="0" w:line="151" w:lineRule="exact"/>
        <w:rPr>
          <w:rFonts w:ascii="Calibri" w:cs="Calibri" w:eastAsia="Calibri" w:hAnsi="Calibri"/>
          <w:sz w:val="18"/>
          <w:szCs w:val="18"/>
          <w:color w:val="auto"/>
        </w:rPr>
      </w:pPr>
    </w:p>
    <w:p>
      <w:pPr>
        <w:ind w:left="660" w:right="160" w:hanging="328"/>
        <w:spacing w:after="0" w:line="220" w:lineRule="auto"/>
        <w:tabs>
          <w:tab w:leader="none" w:pos="653"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Total legal costs decreased approximately $1.2 million in 2024 compared to the prior year, as a result of declines in atorney and legal counsel fees, primarily as a result of fewer signifcant transactons in 2024, as compared to 2023;</w:t>
      </w:r>
    </w:p>
    <w:p>
      <w:pPr>
        <w:spacing w:after="0" w:line="231" w:lineRule="exact"/>
        <w:rPr>
          <w:rFonts w:ascii="Calibri" w:cs="Calibri" w:eastAsia="Calibri" w:hAnsi="Calibri"/>
          <w:sz w:val="18"/>
          <w:szCs w:val="18"/>
          <w:color w:val="auto"/>
        </w:rPr>
      </w:pPr>
    </w:p>
    <w:p>
      <w:pPr>
        <w:ind w:left="660" w:hanging="328"/>
        <w:spacing w:after="0" w:line="225" w:lineRule="auto"/>
        <w:tabs>
          <w:tab w:leader="none" w:pos="653"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Total stock compensaton decreased approximately $0.5 million in 2024 compared to the prior year, as a result of a decline in amortzed expense relatng to RSUs with a higher grant date fair value, which was ofset partally by an increase in amortzed expense relatng to optons granted in prior periods.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Gain on digital assets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recognized a gain on digital assets of $2.2 million for the year ended December 31, 2024 as a result of measuring digital assets at fair value due to our adoptng ASU 2023-08, Accountng for Disclosure of Crypto Assets, on January 1, 2024. This is compared to a gain on sale of digital assets of $0.5 million recognized during the year ended December 31, 2023, which is presented in Other (expense) income. The increase in the gain was a result of our transiton to a bitcoin self-mining retenton strategy in the third quarter of 2024, as well as the increase in the price of bitcoin.</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Loss (gain) on sale of assets</w:t>
      </w:r>
    </w:p>
    <w:p>
      <w:pPr>
        <w:spacing w:after="0" w:line="21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We recognized a loss on the sale of assets of $0.6 million during the year ended December 31, 2024, as a result of selling long-lived assets, comprising primarily of excess mining infrastructure equipment. This is compared to a gain on sale of assets of $9.9 million recognized during the year ended December 31, 2023, which was primarily a result of the sale of the South Carolina Facility.</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Depreciaton</w:t>
      </w:r>
    </w:p>
    <w:p>
      <w:pPr>
        <w:spacing w:after="0" w:line="21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Depreciaton decreased $0.1 million, or 1%, to $13.5 million for the year ended December 31, 2024 as compared to the prior year period due to a lower asset base resultng from the sale of our South Carolina Facility during the fourth quarter of 2023, which was partally ofset by the acquisiton of miners and miner infrastructure during 2024.</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Impairment of long-lived assets</w:t>
      </w:r>
    </w:p>
    <w:p>
      <w:pPr>
        <w:spacing w:after="0" w:line="217"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color w:val="auto"/>
        </w:rPr>
        <w:t>As a result of the impairment assessment conducted to evaluate future uses of the remaining real estate assets in South Carolina during the year ended December 31, 2023, we recognized impairment charges of $4.0 million associated with long-</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57" w:name="page58"/>
    <w:bookmarkEnd w:id="57"/>
    <w:p>
      <w:pPr>
        <w:jc w:val="both"/>
        <w:ind w:right="60"/>
        <w:spacing w:after="0" w:line="235" w:lineRule="auto"/>
        <w:rPr>
          <w:sz w:val="20"/>
          <w:szCs w:val="20"/>
          <w:color w:val="auto"/>
        </w:rPr>
      </w:pPr>
      <w:r>
        <w:rPr>
          <w:rFonts w:ascii="Calibri" w:cs="Calibri" w:eastAsia="Calibri" w:hAnsi="Calibri"/>
          <w:sz w:val="18"/>
          <w:szCs w:val="18"/>
          <w:color w:val="auto"/>
        </w:rPr>
        <w:t>lived assets to reduce the net book value of our company to fair value. During the year ended December 31, 2024, we recognized impairment charges of $0.2 million related to damaged miners, which was equal to the remaining net book value of the miners. See Note 4, "</w:t>
      </w:r>
      <w:r>
        <w:rPr>
          <w:rFonts w:ascii="Calibri" w:cs="Calibri" w:eastAsia="Calibri" w:hAnsi="Calibri"/>
          <w:sz w:val="18"/>
          <w:szCs w:val="18"/>
          <w:i w:val="1"/>
          <w:iCs w:val="1"/>
          <w:color w:val="auto"/>
        </w:rPr>
        <w:t>Property and Equipment, Net</w:t>
      </w:r>
      <w:r>
        <w:rPr>
          <w:rFonts w:ascii="Calibri" w:cs="Calibri" w:eastAsia="Calibri" w:hAnsi="Calibri"/>
          <w:sz w:val="18"/>
          <w:szCs w:val="18"/>
          <w:color w:val="auto"/>
        </w:rPr>
        <w:t>", in the Notes to Consolidated Financial Statements for a further discussion of the impairment.</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Remeasurement of environmental liabilites</w:t>
      </w:r>
    </w:p>
    <w:p>
      <w:pPr>
        <w:spacing w:after="0" w:line="217" w:lineRule="exact"/>
        <w:rPr>
          <w:sz w:val="20"/>
          <w:szCs w:val="20"/>
          <w:color w:val="auto"/>
        </w:rPr>
      </w:pPr>
    </w:p>
    <w:p>
      <w:pPr>
        <w:ind w:right="20"/>
        <w:spacing w:after="0" w:line="251" w:lineRule="auto"/>
        <w:rPr>
          <w:sz w:val="20"/>
          <w:szCs w:val="20"/>
          <w:color w:val="auto"/>
        </w:rPr>
      </w:pPr>
      <w:r>
        <w:rPr>
          <w:rFonts w:ascii="Calibri" w:cs="Calibri" w:eastAsia="Calibri" w:hAnsi="Calibri"/>
          <w:sz w:val="17"/>
          <w:szCs w:val="17"/>
          <w:color w:val="auto"/>
        </w:rPr>
        <w:t>We recognize environmental liabilites in accordance with ASC 410-30, Asset Retrement and Environmental Obligatons. As of December 31, 2024 we have recognized environmental liabilites for a coal-ash pond and landfll which were inherited due to the legacy coal operatons at our property in Torrey, New York. These costs are considered to be both probable and estmable. We have recorded a total environmental liability of $30.7 million and $30.2 million as of December 31, 2024 and 2023, respectvely, for the remediaton of these sites. We recognized a charge of $0.5 million and $2.4 million during the years ended December 31, 2024 and 2023, respectvely, for the remeasurement of environmental liabilites. The charges for the years ended December 31, 2024 and 2023 were as a result of an update in the cost estmates associated with the landfll post closure liabilites as part of our contnuing evaluaton of the site.</w:t>
      </w:r>
    </w:p>
    <w:p>
      <w:pPr>
        <w:spacing w:after="0" w:line="210" w:lineRule="exact"/>
        <w:rPr>
          <w:sz w:val="20"/>
          <w:szCs w:val="20"/>
          <w:color w:val="auto"/>
        </w:rPr>
      </w:pPr>
    </w:p>
    <w:p>
      <w:pPr>
        <w:ind w:right="100"/>
        <w:spacing w:after="0" w:line="251" w:lineRule="auto"/>
        <w:rPr>
          <w:sz w:val="20"/>
          <w:szCs w:val="20"/>
          <w:color w:val="auto"/>
        </w:rPr>
      </w:pPr>
      <w:r>
        <w:rPr>
          <w:rFonts w:ascii="Calibri" w:cs="Calibri" w:eastAsia="Calibri" w:hAnsi="Calibri"/>
          <w:sz w:val="17"/>
          <w:szCs w:val="17"/>
          <w:color w:val="auto"/>
        </w:rPr>
        <w:t>We have estmated the cost of remediaton by developing a remediaton plan in consultaton with environmental engineers, periodically obtaining quotes for estmated constructon costs and adjustng estmates for infatonary factors based on the expected tming of the remediaton work. Estmates include antcipated post-closure costs including monitoring and maintenance of the site. Estmates are based on various assumptons that are sensitve to changes including, but not limited to, closure and post-closure cost estmates, tming of expenditures, escalaton factors, and requirements of granted permits. Additonal material adjustments to the environmental liability may occur in the future due to required changes to the scope and tming of the remediaton, changes to regulatons governing the closure and remediaton of CCR sites and changes to cost estmates due to infatonary or other economic factors.</w:t>
      </w:r>
    </w:p>
    <w:p>
      <w:pPr>
        <w:spacing w:after="0" w:line="2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Operatng loss from contnuing operatons</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As a result of the factors described above, operatng loss from contnuing operatons was $11.4 million for the year ended December 31, 2024 as compared to $16.9 million for the year ended December 31, 2023.</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Total other expense, net</w:t>
      </w:r>
    </w:p>
    <w:p>
      <w:pPr>
        <w:spacing w:after="0" w:line="10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During the year ended December 31, 2024, other expense, net decreased $3.7 million, or 31%, to $8.4 million primarily due to decreased interest expense as a result of the NYDIG debt extnguishment. This was partally ofset by an impairment of equity securites of $0.9 million and change in fair value of warrant asset of $0.5 million.</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Beneft from income taxes</w:t>
      </w:r>
    </w:p>
    <w:p>
      <w:pPr>
        <w:spacing w:after="0" w:line="109"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Our efectve tax rate for the year ended December 31, 2024 was 0.35%, which was lower than the statutory rate of 21% because we have a full valuaton allowance on deferred tax assets. We recorded and will contnue to carry a full valuaton allowance against our gross deferred tax assets that will not reverse against deferred tax liabilites within the scheduled reversal period. Our efectve tax rate for the year ended December 31, 2023 was 0.0%.</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Net Loss from contnuing operatons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As a result of the factors described above, net loss from contnuing operatons decreased to $19.8 million for the year ended December 31, 2024 as compared to $29.0 million for the year ended December 31, 2023.</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Loss from discontnued operatons</w:t>
      </w:r>
    </w:p>
    <w:p>
      <w:pPr>
        <w:spacing w:after="0" w:line="163"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color w:val="auto"/>
        </w:rPr>
        <w:t>In conjuncton with our decision to pursue alternatves, including a sale of Support.com, we have reported the Support.com business as discontnued operatons in the consolidated fnancial statements. Loss from discontnued operatons, net of tax was $0.0 for the year ended December 31, 2024, as compared to a loss of $0.5 million for the year ended December 31, 2023. See Note 3, "</w:t>
      </w:r>
      <w:r>
        <w:rPr>
          <w:rFonts w:ascii="Calibri" w:cs="Calibri" w:eastAsia="Calibri" w:hAnsi="Calibri"/>
          <w:sz w:val="18"/>
          <w:szCs w:val="18"/>
          <w:i w:val="1"/>
          <w:iCs w:val="1"/>
          <w:color w:val="auto"/>
        </w:rPr>
        <w:t>Discontnued Operatons</w:t>
      </w:r>
      <w:r>
        <w:rPr>
          <w:rFonts w:ascii="Calibri" w:cs="Calibri" w:eastAsia="Calibri" w:hAnsi="Calibri"/>
          <w:sz w:val="18"/>
          <w:szCs w:val="18"/>
          <w:color w:val="auto"/>
        </w:rPr>
        <w:t>", in the Notes to Consolidated Financial Statements for a further breakdown.</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8" w:name="page59"/>
    <w:bookmarkEnd w:id="58"/>
    <w:p>
      <w:pPr>
        <w:spacing w:after="0"/>
        <w:rPr>
          <w:sz w:val="20"/>
          <w:szCs w:val="20"/>
          <w:color w:val="auto"/>
        </w:rPr>
      </w:pPr>
      <w:r>
        <w:rPr>
          <w:rFonts w:ascii="Calibri" w:cs="Calibri" w:eastAsia="Calibri" w:hAnsi="Calibri"/>
          <w:sz w:val="18"/>
          <w:szCs w:val="18"/>
          <w:b w:val="1"/>
          <w:bCs w:val="1"/>
          <w:color w:val="auto"/>
        </w:rPr>
        <w:t>Non-GAAP Measures and Reconciliatons</w:t>
      </w:r>
    </w:p>
    <w:p>
      <w:pPr>
        <w:spacing w:after="0" w:line="109"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following non-GAAP measures are intended to supplement investors’ understanding of our fnancial informaton by providing measures which investors, fnancial analysts, and management use to help evaluate our operatng performance. Items which we do not believe to be indicatve of ongoing business trends are excluded from these calculatons so that investors can beter evaluate and analyze historical and future business trends on a consistent basis. Defnitons of these non-GAAP measures may not be comparable to similar defnitons used by other companies. These results should be considered in additon to, not as a substtute for, results reported in accordance with U.S. GAAP.</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EBITDA from contnuing operatons and Adjusted EBITDA (loss) from contnuing operatons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"EBITDA from contnuing operatons" is defned as loss from contnuing operatons before taxes, interest, and depreciaton and amortzaton. "Adjusted EBITDA from contnuing operatons" is defned as EBITDA from contnuing operatons adjusted for stock-based compensaton and other special items determined by management, including, but not limited to business expansion costs, impairments of long-lived assets, remeasurement of environmental liabilites and restructuring as they are not indicatve of business operatons. EBITDA from contnuing operatons and Adjusted EBITDA from contnuing operatons are intended as supplemental measure of our performance that is neither required by, nor presented in accordance with, U.S. GAAP. Management believes that the use of EBITDA from contnuing operatons and Adjusted EBITDA from contnuing operatons provides an additonal tool for investors to use in evaluatng ongoing operatng results and trends and in comparing our fnancial measures with those of comparable companies, which may present similar non-GAAP fnancial measures to investors. However, you should be aware that when evaluatng EBITDA from contnuing operatons and Adjusted EBITDA from contnuing operatons, we may incur future expenses similar to those excluded when calculatng these measures. In additon, our presentaton of these measures should not be construed as an inference that its future results will be unafected by unusual or non-recurring items. Our computaton of Adjusted EBITDA from contnuing operatons may not be comparable to other similarly ttled measures computed by other companies, because not all companies may calculate Adjusted EBITDA from contnuing operatons in the same fashion.</w:t>
      </w:r>
    </w:p>
    <w:p>
      <w:pPr>
        <w:spacing w:after="0" w:line="226"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Because of these limitatons, EBITDA from contnuing operatons and Adjusted EBITDA from contnuing operatons should not be considered in isolaton or as a substtute for performance measures calculated in accordance with U.S. GAAP. We compensate for these limitatons by relying primarily on our U.S. GAAP results and using EBITDA from contnuing operatons and Adjusted EBITDA from contnuing operatons on a supplemental basis. You should review the reconciliatons of Net loss from contnuing operatons to EBITDA from contnuing operatons and Adjusted EBITDA from contnuing operatons below and not rely on any single fnancial measure to evaluate our business. The reported amounts in the table below are from our Consolidated Statements of Operatons and Comprehensive Loss in our Consolidated Financial Statements included in this Annual Report.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360"/>
              <w:spacing w:after="0"/>
              <w:rPr>
                <w:sz w:val="20"/>
                <w:szCs w:val="20"/>
                <w:color w:val="auto"/>
              </w:rPr>
            </w:pPr>
            <w:r>
              <w:rPr>
                <w:rFonts w:ascii="Calibri" w:cs="Calibri" w:eastAsia="Calibri" w:hAnsi="Calibri"/>
                <w:sz w:val="14"/>
                <w:szCs w:val="14"/>
                <w:b w:val="1"/>
                <w:bCs w:val="1"/>
                <w:color w:val="auto"/>
              </w:rPr>
              <w:t>Years Ended December 31,</w:t>
            </w:r>
          </w:p>
        </w:tc>
        <w:tc>
          <w:tcPr>
            <w:tcW w:w="400" w:type="dxa"/>
            <w:vAlign w:val="bottom"/>
          </w:tcPr>
          <w:p>
            <w:pPr>
              <w:spacing w:after="0"/>
              <w:rPr>
                <w:sz w:val="14"/>
                <w:szCs w:val="14"/>
                <w:color w:val="auto"/>
              </w:rPr>
            </w:pPr>
          </w:p>
        </w:tc>
        <w:tc>
          <w:tcPr>
            <w:tcW w:w="1620" w:type="dxa"/>
            <w:vAlign w:val="bottom"/>
            <w:gridSpan w:val="3"/>
          </w:tcPr>
          <w:p>
            <w:pPr>
              <w:ind w:left="880"/>
              <w:spacing w:after="0"/>
              <w:rPr>
                <w:sz w:val="20"/>
                <w:szCs w:val="20"/>
                <w:color w:val="auto"/>
              </w:rPr>
            </w:pPr>
            <w:r>
              <w:rPr>
                <w:rFonts w:ascii="Calibri" w:cs="Calibri" w:eastAsia="Calibri" w:hAnsi="Calibri"/>
                <w:sz w:val="14"/>
                <w:szCs w:val="14"/>
                <w:b w:val="1"/>
                <w:bCs w:val="1"/>
                <w:color w:val="auto"/>
              </w:rPr>
              <w:t>Variance</w:t>
            </w:r>
          </w:p>
        </w:tc>
        <w:tc>
          <w:tcPr>
            <w:tcW w:w="1060" w:type="dxa"/>
            <w:vAlign w:val="bottom"/>
          </w:tcPr>
          <w:p>
            <w:pPr>
              <w:spacing w:after="0"/>
              <w:rPr>
                <w:sz w:val="14"/>
                <w:szCs w:val="14"/>
                <w:color w:val="auto"/>
              </w:rPr>
            </w:pPr>
          </w:p>
        </w:tc>
      </w:tr>
      <w:tr>
        <w:trPr>
          <w:trHeight w:val="202"/>
        </w:trPr>
        <w:tc>
          <w:tcPr>
            <w:tcW w:w="5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72"/>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71"/>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592"/>
              <w:spacing w:after="0"/>
              <w:rPr>
                <w:sz w:val="20"/>
                <w:szCs w:val="20"/>
                <w:color w:val="auto"/>
              </w:rPr>
            </w:pPr>
            <w:r>
              <w:rPr>
                <w:rFonts w:ascii="Calibri" w:cs="Calibri" w:eastAsia="Calibri" w:hAnsi="Calibri"/>
                <w:sz w:val="14"/>
                <w:szCs w:val="14"/>
                <w:b w:val="1"/>
                <w:bCs w:val="1"/>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ind w:right="631"/>
              <w:spacing w:after="0"/>
              <w:rPr>
                <w:sz w:val="20"/>
                <w:szCs w:val="20"/>
                <w:color w:val="auto"/>
              </w:rPr>
            </w:pPr>
            <w:r>
              <w:rPr>
                <w:rFonts w:ascii="Calibri" w:cs="Calibri" w:eastAsia="Calibri" w:hAnsi="Calibri"/>
                <w:sz w:val="14"/>
                <w:szCs w:val="14"/>
                <w:b w:val="1"/>
                <w:bCs w:val="1"/>
                <w:color w:val="auto"/>
              </w:rPr>
              <w:t>%</w:t>
            </w:r>
          </w:p>
        </w:tc>
      </w:tr>
      <w:tr>
        <w:trPr>
          <w:trHeight w:val="47"/>
        </w:trPr>
        <w:tc>
          <w:tcPr>
            <w:tcW w:w="50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2"/>
        </w:trPr>
        <w:tc>
          <w:tcPr>
            <w:tcW w:w="508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EBITDA (loss) and Adjusted EBITDA from contnuing operatons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7"/>
        </w:trPr>
        <w:tc>
          <w:tcPr>
            <w:tcW w:w="50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loss from contnuing operatons</w:t>
            </w: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(19,785)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(29,039)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9,254</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w:t>
            </w:r>
          </w:p>
        </w:tc>
      </w:tr>
      <w:tr>
        <w:trPr>
          <w:trHeight w:val="222"/>
        </w:trPr>
        <w:tc>
          <w:tcPr>
            <w:tcW w:w="5080" w:type="dxa"/>
            <w:vAlign w:val="bottom"/>
          </w:tcPr>
          <w:p>
            <w:pPr>
              <w:ind w:left="20"/>
              <w:spacing w:after="0" w:line="215" w:lineRule="exact"/>
              <w:rPr>
                <w:sz w:val="20"/>
                <w:szCs w:val="20"/>
                <w:color w:val="auto"/>
              </w:rPr>
            </w:pPr>
            <w:r>
              <w:rPr>
                <w:rFonts w:ascii="Calibri" w:cs="Calibri" w:eastAsia="Calibri" w:hAnsi="Calibri"/>
                <w:sz w:val="18"/>
                <w:szCs w:val="18"/>
                <w:color w:val="auto"/>
              </w:rPr>
              <w:t>Beneft from income taxes</w:t>
            </w: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N/A</w:t>
            </w:r>
          </w:p>
        </w:tc>
      </w:tr>
      <w:tr>
        <w:trPr>
          <w:trHeight w:val="237"/>
        </w:trPr>
        <w:tc>
          <w:tcPr>
            <w:tcW w:w="50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Interest expense, net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7,082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12,659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(5,577)</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(44)%</w:t>
            </w:r>
          </w:p>
        </w:tc>
      </w:tr>
      <w:tr>
        <w:trPr>
          <w:trHeight w:val="223"/>
        </w:trPr>
        <w:tc>
          <w:tcPr>
            <w:tcW w:w="50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Depreciaton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13,471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13,602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(1)%</w:t>
            </w:r>
          </w:p>
        </w:tc>
      </w:tr>
      <w:tr>
        <w:trPr>
          <w:trHeight w:val="230"/>
        </w:trPr>
        <w:tc>
          <w:tcPr>
            <w:tcW w:w="5080" w:type="dxa"/>
            <w:vAlign w:val="bottom"/>
            <w:shd w:val="clear" w:color="auto" w:fill="CCEEFF"/>
          </w:tcPr>
          <w:p>
            <w:pPr>
              <w:ind w:left="240"/>
              <w:spacing w:after="0" w:line="206" w:lineRule="exact"/>
              <w:rPr>
                <w:sz w:val="20"/>
                <w:szCs w:val="20"/>
                <w:color w:val="auto"/>
              </w:rPr>
            </w:pPr>
            <w:r>
              <w:rPr>
                <w:rFonts w:ascii="Calibri" w:cs="Calibri" w:eastAsia="Calibri" w:hAnsi="Calibri"/>
                <w:sz w:val="18"/>
                <w:szCs w:val="18"/>
                <w:color w:val="auto"/>
              </w:rPr>
              <w:t>EBITDA (loss) from contnuing operatons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(2,778)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3,477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(125)%</w:t>
            </w:r>
          </w:p>
        </w:tc>
      </w:tr>
      <w:tr>
        <w:trPr>
          <w:trHeight w:val="222"/>
        </w:trPr>
        <w:tc>
          <w:tcPr>
            <w:tcW w:w="5080" w:type="dxa"/>
            <w:vAlign w:val="bottom"/>
          </w:tcPr>
          <w:p>
            <w:pPr>
              <w:ind w:left="20"/>
              <w:spacing w:after="0" w:line="215" w:lineRule="exact"/>
              <w:rPr>
                <w:sz w:val="20"/>
                <w:szCs w:val="20"/>
                <w:color w:val="auto"/>
              </w:rPr>
            </w:pPr>
            <w:r>
              <w:rPr>
                <w:rFonts w:ascii="Calibri" w:cs="Calibri" w:eastAsia="Calibri" w:hAnsi="Calibri"/>
                <w:sz w:val="18"/>
                <w:szCs w:val="18"/>
                <w:color w:val="auto"/>
              </w:rPr>
              <w:t>Stock-based compensaton</w:t>
            </w: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2,344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(162)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r>
      <w:tr>
        <w:trPr>
          <w:trHeight w:val="237"/>
        </w:trPr>
        <w:tc>
          <w:tcPr>
            <w:tcW w:w="50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Impairment of long-lived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(3,831)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(96)%</w:t>
            </w:r>
          </w:p>
        </w:tc>
      </w:tr>
      <w:tr>
        <w:trPr>
          <w:trHeight w:val="222"/>
        </w:trPr>
        <w:tc>
          <w:tcPr>
            <w:tcW w:w="5080" w:type="dxa"/>
            <w:vAlign w:val="bottom"/>
          </w:tcPr>
          <w:p>
            <w:pPr>
              <w:ind w:left="20"/>
              <w:spacing w:after="0" w:line="215" w:lineRule="exact"/>
              <w:rPr>
                <w:sz w:val="20"/>
                <w:szCs w:val="20"/>
                <w:color w:val="auto"/>
              </w:rPr>
            </w:pPr>
            <w:r>
              <w:rPr>
                <w:rFonts w:ascii="Calibri" w:cs="Calibri" w:eastAsia="Calibri" w:hAnsi="Calibri"/>
                <w:sz w:val="18"/>
                <w:szCs w:val="18"/>
                <w:color w:val="auto"/>
              </w:rPr>
              <w:t>Remeasurement of environmental liability</w:t>
            </w: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453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2,409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(1,956)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(81)%</w:t>
            </w:r>
          </w:p>
        </w:tc>
      </w:tr>
      <w:tr>
        <w:trPr>
          <w:trHeight w:val="237"/>
        </w:trPr>
        <w:tc>
          <w:tcPr>
            <w:tcW w:w="50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Impairment of equity securites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869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869</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N/A</w:t>
            </w:r>
          </w:p>
        </w:tc>
      </w:tr>
      <w:tr>
        <w:trPr>
          <w:trHeight w:val="222"/>
        </w:trPr>
        <w:tc>
          <w:tcPr>
            <w:tcW w:w="5080" w:type="dxa"/>
            <w:vAlign w:val="bottom"/>
          </w:tcPr>
          <w:p>
            <w:pPr>
              <w:ind w:left="20"/>
              <w:spacing w:after="0" w:line="215" w:lineRule="exact"/>
              <w:rPr>
                <w:sz w:val="20"/>
                <w:szCs w:val="20"/>
                <w:color w:val="auto"/>
              </w:rPr>
            </w:pPr>
            <w:r>
              <w:rPr>
                <w:rFonts w:ascii="Calibri" w:cs="Calibri" w:eastAsia="Calibri" w:hAnsi="Calibri"/>
                <w:sz w:val="18"/>
                <w:szCs w:val="18"/>
                <w:color w:val="auto"/>
              </w:rPr>
              <w:t>Change in fair value of warrant asset</w:t>
            </w: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477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477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N/A</w:t>
            </w:r>
          </w:p>
        </w:tc>
      </w:tr>
      <w:tr>
        <w:trPr>
          <w:trHeight w:val="237"/>
        </w:trPr>
        <w:tc>
          <w:tcPr>
            <w:tcW w:w="50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Restructuring</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4,081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(4,081)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w:t>
            </w:r>
          </w:p>
        </w:tc>
      </w:tr>
      <w:tr>
        <w:trPr>
          <w:trHeight w:val="223"/>
        </w:trPr>
        <w:tc>
          <w:tcPr>
            <w:tcW w:w="50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Loss (gain) on sale of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641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(9,903)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10,544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(106)%</w:t>
            </w:r>
          </w:p>
        </w:tc>
      </w:tr>
      <w:tr>
        <w:trPr>
          <w:trHeight w:val="255"/>
        </w:trPr>
        <w:tc>
          <w:tcPr>
            <w:tcW w:w="508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8"/>
                <w:szCs w:val="18"/>
                <w:color w:val="auto"/>
              </w:rPr>
              <w:t>Adjusted EBITDA from contnuing operatons</w:t>
            </w:r>
          </w:p>
        </w:tc>
        <w:tc>
          <w:tcPr>
            <w:tcW w:w="34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5,490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5,337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3488 %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60" w:name="page61"/>
    <w:bookmarkEnd w:id="60"/>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09"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color w:val="auto"/>
        </w:rPr>
        <w:t>On December 31, 2024, we had cash and cash equivalents of $8.6 million and digital assets of $7.0 million. To date, we have primarily relied on debt and equity fnancing to fund our operatons, including meetng ongoing working capital needs. The Company has historically incurred operatng losses and negatve cash fows from operatons.</w:t>
      </w:r>
    </w:p>
    <w:p>
      <w:pPr>
        <w:spacing w:after="0" w:line="111"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On November 27, 2024, we entered into a purchase and sale agreement to sell the remaining 152-acres to Data Journey for $12.1 million in cash and an 8% proft partcipaton in the property's planned data center. We antcipate the closing of the sale of the land in 2025 to generate proceeds that will further improve our liquidity.</w:t>
      </w:r>
    </w:p>
    <w:p>
      <w:pPr>
        <w:spacing w:after="0" w:line="21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We contnued to improve our liquidity positon in 2024. On February 12, 2024, we entered into a securites purchase agreement (the “Armistce SPA”) with Armistce Capital Master Fund Ltd. (“Armistce”). Pursuant to the Armistce SPA, Armistce purchased (i) 450,300 shares of Class A common stock (the “SPA Shares”), and (ii) a pre-funded warrant (the “Pre-Funded Warrant”) to purchase 810,205 shares of Class A common stock (the “Pre-Funded Warrant Shares”). The per share purchase price of the SPA Shares and the Pre-Funded Warrant Shares was $4.76, resultng in aggregate gross proceeds of $6.0 million, and afer giving efect to the exercise price of $0.0001 per Pre-Funded Warrant Share, we received net proceeds of $6.0 million. In additon, we issued to Armistce a fve-year warrant to purchase up to 1,260,505 shares of Class A common stock, exercisable commencing on August 14, 2024 at an exercise price of $5.25 per share.</w:t>
      </w:r>
    </w:p>
    <w:p>
      <w:pPr>
        <w:spacing w:after="0" w:line="114"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We believe our existng cash and cash equivalents, together with digital assets, cash generated from operatons and the proceeds from the sale of the South Carolina Facility, will be sufcient to fund our operatons and satsfy our current obligatons through the next 12 months. However, our projected operatng cash fows are not sufcient in the long term to meet our existng long-term debt obligatons and will only be sufcient to fund operatons and current operatons if bitcoin mining economics remain at or above current levels.</w:t>
      </w:r>
    </w:p>
    <w:p>
      <w:pPr>
        <w:spacing w:after="0" w:line="206" w:lineRule="exact"/>
        <w:rPr>
          <w:sz w:val="20"/>
          <w:szCs w:val="20"/>
          <w:color w:val="auto"/>
        </w:rPr>
      </w:pPr>
    </w:p>
    <w:p>
      <w:pPr>
        <w:spacing w:after="0" w:line="213" w:lineRule="auto"/>
        <w:rPr>
          <w:sz w:val="20"/>
          <w:szCs w:val="20"/>
          <w:color w:val="auto"/>
        </w:rPr>
      </w:pPr>
      <w:r>
        <w:rPr>
          <w:rFonts w:ascii="Calibri" w:cs="Calibri" w:eastAsia="Calibri" w:hAnsi="Calibri"/>
          <w:sz w:val="18"/>
          <w:szCs w:val="18"/>
          <w:color w:val="auto"/>
        </w:rPr>
        <w:t>We are considering various items to address the long-term debt obligatons, including the retrement or purchase of our outstanding debt through cash purchases and/or exchanges for equity or debt, in open-market purchases, privately negotated transactons or otherwise. Such repurchases or exchanges, if any will be upon such terms and at such prices as we may determine, and will depend on prevailing market conditons, our liquidity requirements, contractual restrictons and other factors. The amounts involved may be material and to the extent equity is used, dilutve. During the year ended December 31, 2024, we entered into privately negotated exchange agreements, pursuant to which we issued an aggregate of 692,433 shares of our Class A common stock, in exchange for $3.7 million aggregate principal amount of our 8.50% Senior Notes due October 2026.</w:t>
      </w:r>
    </w:p>
    <w:p>
      <w:pPr>
        <w:spacing w:after="0" w:line="234" w:lineRule="exact"/>
        <w:rPr>
          <w:sz w:val="20"/>
          <w:szCs w:val="20"/>
          <w:color w:val="auto"/>
        </w:rPr>
      </w:pPr>
    </w:p>
    <w:p>
      <w:pPr>
        <w:ind w:right="40"/>
        <w:spacing w:after="0" w:line="220" w:lineRule="auto"/>
        <w:rPr>
          <w:sz w:val="20"/>
          <w:szCs w:val="20"/>
          <w:color w:val="auto"/>
        </w:rPr>
      </w:pPr>
      <w:r>
        <w:rPr>
          <w:rFonts w:ascii="Calibri" w:cs="Calibri" w:eastAsia="Calibri" w:hAnsi="Calibri"/>
          <w:sz w:val="18"/>
          <w:szCs w:val="18"/>
          <w:color w:val="auto"/>
        </w:rPr>
        <w:t>We may also raise additonal funds through sales of equity under the Common Stock Purchase Agreement. For the year ended December 31, 2024, we issued 1,595,855 shares under the Common Stock Purchase Agreement for net proceeds of $4.3 million.</w:t>
      </w:r>
    </w:p>
    <w:p>
      <w:pPr>
        <w:spacing w:after="0" w:line="218" w:lineRule="exact"/>
        <w:rPr>
          <w:sz w:val="20"/>
          <w:szCs w:val="20"/>
          <w:color w:val="auto"/>
        </w:rPr>
      </w:pPr>
    </w:p>
    <w:p>
      <w:pPr>
        <w:ind w:right="40"/>
        <w:spacing w:after="0" w:line="213" w:lineRule="auto"/>
        <w:rPr>
          <w:sz w:val="20"/>
          <w:szCs w:val="20"/>
          <w:color w:val="auto"/>
        </w:rPr>
      </w:pPr>
      <w:r>
        <w:rPr>
          <w:rFonts w:ascii="Calibri" w:cs="Calibri" w:eastAsia="Calibri" w:hAnsi="Calibri"/>
          <w:sz w:val="18"/>
          <w:szCs w:val="18"/>
          <w:color w:val="auto"/>
        </w:rPr>
        <w:t>Our operatng cash fows are highly dependent on bitcoin mining economics commonly measured by hashprice. Increases in the price of bitcoin beneft us by increasing the amount of revenue earned for each bitcoin earned. Increases in the difculty to mine a bitcoin adversely afect us by decreasing the number of bitcoin earned. Increases in the costs of electricity, natural gas, and emissions credits adversely afect us by increasing operatng costs. Depending on our assumptons regarding the bitcoin hashprice and energy price inputs, the estmates of the amounts of required liquidity vary signifcantly. There can be no assurances that these assumptons used to estmate liquidity requirements and future cash burn rates will be correct, and the ability to be predictve is uncertain due to the limited ability to predict future bitcoin and energy prices. The Company’s forecast also antcipates proceeds from the South Carolina Facility classifed as held for sale and any inability to close on a sale of that facility will further adversely impact the Company’s liquidity projectons. Additonally, the inability to procure and comply with the permits and licenses required to operate our facilites, including the Title V Air Permit for the New York Facility, which is subject to ongoing litgaton (see Note 10, "</w:t>
      </w:r>
      <w:r>
        <w:rPr>
          <w:rFonts w:ascii="Calibri" w:cs="Calibri" w:eastAsia="Calibri" w:hAnsi="Calibri"/>
          <w:sz w:val="18"/>
          <w:szCs w:val="18"/>
          <w:i w:val="1"/>
          <w:iCs w:val="1"/>
          <w:color w:val="auto"/>
        </w:rPr>
        <w:t>Commitments and Contngencies"</w:t>
      </w:r>
      <w:r>
        <w:rPr>
          <w:rFonts w:ascii="Calibri" w:cs="Calibri" w:eastAsia="Calibri" w:hAnsi="Calibri"/>
          <w:sz w:val="18"/>
          <w:szCs w:val="18"/>
          <w:color w:val="auto"/>
        </w:rPr>
        <w:t>), may have an adverse impact on our ability to meet cash fow forecasts.</w:t>
      </w:r>
    </w:p>
    <w:p>
      <w:pPr>
        <w:spacing w:after="0" w:line="223" w:lineRule="exact"/>
        <w:rPr>
          <w:sz w:val="20"/>
          <w:szCs w:val="20"/>
          <w:color w:val="auto"/>
        </w:rPr>
      </w:pPr>
    </w:p>
    <w:p>
      <w:pPr>
        <w:spacing w:after="0" w:line="220" w:lineRule="auto"/>
        <w:rPr>
          <w:sz w:val="20"/>
          <w:szCs w:val="20"/>
          <w:color w:val="auto"/>
        </w:rPr>
      </w:pPr>
      <w:r>
        <w:rPr>
          <w:rFonts w:ascii="Calibri" w:cs="Calibri" w:eastAsia="Calibri" w:hAnsi="Calibri"/>
          <w:sz w:val="18"/>
          <w:szCs w:val="18"/>
          <w:color w:val="auto"/>
        </w:rPr>
        <w:t>While the Company believes it will be successful in its eforts to improve liquidity, which will allow it to meet its fnancial commitments for at least the next 12 months, there can be no assurance that these eforts will be successful.</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6" w:right="359" w:bottom="1440" w:gutter="0" w:footer="0" w:header="0"/>
        </w:sectPr>
      </w:pPr>
    </w:p>
    <w:bookmarkStart w:id="61" w:name="page62"/>
    <w:bookmarkEnd w:id="61"/>
    <w:p>
      <w:pPr>
        <w:spacing w:after="0"/>
        <w:rPr>
          <w:sz w:val="20"/>
          <w:szCs w:val="20"/>
          <w:color w:val="auto"/>
        </w:rPr>
      </w:pPr>
      <w:r>
        <w:rPr>
          <w:rFonts w:ascii="Calibri" w:cs="Calibri" w:eastAsia="Calibri" w:hAnsi="Calibri"/>
          <w:sz w:val="18"/>
          <w:szCs w:val="18"/>
          <w:b w:val="1"/>
          <w:bCs w:val="1"/>
          <w:i w:val="1"/>
          <w:iCs w:val="1"/>
          <w:color w:val="auto"/>
        </w:rPr>
        <w:t>Contractual Obligatons and Commitments</w:t>
      </w:r>
    </w:p>
    <w:p>
      <w:pPr>
        <w:spacing w:after="0" w:line="109"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The following table summarizes our contractual obligatons and other commitments as of December 31, 2024, and the years in which these obligatons are due:</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32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Calibri" w:cs="Calibri" w:eastAsia="Calibri" w:hAnsi="Calibri"/>
                <w:sz w:val="14"/>
                <w:szCs w:val="14"/>
                <w:b w:val="1"/>
                <w:bCs w:val="1"/>
                <w:color w:val="auto"/>
              </w:rPr>
              <w:t>Total</w:t>
            </w:r>
          </w:p>
        </w:tc>
        <w:tc>
          <w:tcPr>
            <w:tcW w:w="320" w:type="dxa"/>
            <w:vAlign w:val="bottom"/>
          </w:tcPr>
          <w:p>
            <w:pPr>
              <w:spacing w:after="0"/>
              <w:rPr>
                <w:sz w:val="14"/>
                <w:szCs w:val="14"/>
                <w:color w:val="auto"/>
              </w:rPr>
            </w:pPr>
          </w:p>
        </w:tc>
        <w:tc>
          <w:tcPr>
            <w:tcW w:w="1020" w:type="dxa"/>
            <w:vAlign w:val="bottom"/>
          </w:tcPr>
          <w:p>
            <w:pPr>
              <w:jc w:val="right"/>
              <w:ind w:right="433"/>
              <w:spacing w:after="0"/>
              <w:rPr>
                <w:sz w:val="20"/>
                <w:szCs w:val="20"/>
                <w:color w:val="auto"/>
              </w:rPr>
            </w:pPr>
            <w:r>
              <w:rPr>
                <w:rFonts w:ascii="Calibri" w:cs="Calibri" w:eastAsia="Calibri" w:hAnsi="Calibri"/>
                <w:sz w:val="14"/>
                <w:szCs w:val="14"/>
                <w:b w:val="1"/>
                <w:bCs w:val="1"/>
                <w:color w:val="auto"/>
              </w:rPr>
              <w:t>2025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3"/>
              <w:spacing w:after="0"/>
              <w:rPr>
                <w:sz w:val="20"/>
                <w:szCs w:val="20"/>
                <w:color w:val="auto"/>
              </w:rPr>
            </w:pPr>
            <w:r>
              <w:rPr>
                <w:rFonts w:ascii="Calibri" w:cs="Calibri" w:eastAsia="Calibri" w:hAnsi="Calibri"/>
                <w:sz w:val="14"/>
                <w:szCs w:val="14"/>
                <w:b w:val="1"/>
                <w:bCs w:val="1"/>
                <w:color w:val="auto"/>
              </w:rPr>
              <w:t>2026-2027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73"/>
              <w:spacing w:after="0"/>
              <w:rPr>
                <w:sz w:val="20"/>
                <w:szCs w:val="20"/>
                <w:color w:val="auto"/>
              </w:rPr>
            </w:pPr>
            <w:r>
              <w:rPr>
                <w:rFonts w:ascii="Calibri" w:cs="Calibri" w:eastAsia="Calibri" w:hAnsi="Calibri"/>
                <w:sz w:val="14"/>
                <w:szCs w:val="14"/>
                <w:b w:val="1"/>
                <w:bCs w:val="1"/>
                <w:color w:val="auto"/>
              </w:rPr>
              <w:t>2028-2029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73"/>
              <w:spacing w:after="0"/>
              <w:rPr>
                <w:sz w:val="20"/>
                <w:szCs w:val="20"/>
                <w:color w:val="auto"/>
              </w:rPr>
            </w:pPr>
            <w:r>
              <w:rPr>
                <w:rFonts w:ascii="Calibri" w:cs="Calibri" w:eastAsia="Calibri" w:hAnsi="Calibri"/>
                <w:sz w:val="14"/>
                <w:szCs w:val="14"/>
                <w:b w:val="1"/>
                <w:bCs w:val="1"/>
                <w:color w:val="auto"/>
              </w:rPr>
              <w:t>Thereafer</w:t>
            </w:r>
          </w:p>
        </w:tc>
      </w:tr>
      <w:tr>
        <w:trPr>
          <w:trHeight w:val="47"/>
        </w:trPr>
        <w:tc>
          <w:tcPr>
            <w:tcW w:w="4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23"/>
        </w:trPr>
        <w:tc>
          <w:tcPr>
            <w:tcW w:w="40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Debt payments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80,193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5,826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74,367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2"/>
        </w:trPr>
        <w:tc>
          <w:tcPr>
            <w:tcW w:w="412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Leases</w:t>
            </w: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412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Environmental obligatons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30,682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9,542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10,770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10,120</w:t>
            </w:r>
          </w:p>
        </w:tc>
      </w:tr>
      <w:tr>
        <w:trPr>
          <w:trHeight w:val="223"/>
        </w:trPr>
        <w:tc>
          <w:tcPr>
            <w:tcW w:w="4120" w:type="dxa"/>
            <w:vAlign w:val="bottom"/>
            <w:tcBorders>
              <w:bottom w:val="single" w:sz="8" w:color="CCEEFF"/>
            </w:tcBorders>
            <w:gridSpan w:val="2"/>
          </w:tcPr>
          <w:p>
            <w:pPr>
              <w:ind w:left="20"/>
              <w:spacing w:after="0" w:line="215" w:lineRule="exact"/>
              <w:rPr>
                <w:sz w:val="20"/>
                <w:szCs w:val="20"/>
                <w:color w:val="auto"/>
              </w:rPr>
            </w:pPr>
            <w:r>
              <w:rPr>
                <w:rFonts w:ascii="Calibri" w:cs="Calibri" w:eastAsia="Calibri" w:hAnsi="Calibri"/>
                <w:sz w:val="18"/>
                <w:szCs w:val="18"/>
                <w:color w:val="auto"/>
              </w:rPr>
              <w:t>Natural gas transportaton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10,902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3,792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3,792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1,422</w:t>
            </w:r>
          </w:p>
        </w:tc>
      </w:tr>
      <w:tr>
        <w:trPr>
          <w:trHeight w:val="255"/>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8"/>
                <w:szCs w:val="18"/>
                <w:color w:val="auto"/>
              </w:rPr>
              <w:t>Total</w:t>
            </w:r>
          </w:p>
        </w:tc>
        <w:tc>
          <w:tcPr>
            <w:tcW w:w="32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121,949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8,009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87,777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14,621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11,542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debt payments included in the table above include the principal and interest amounts due. The lease payments include fxed monthly rental payments and exclude any variable payments. Environmental obligatons are based on estmates subject to various assumptons including, but not limited to, closure and post-closure cost estmates, tming of expenditures, escalaton factors, and requirements of granted permits. Additonal adjustments to the environment liability may occur periodically due to potental changes in remediaton requirements regarding coal combuston residuals which may lead to material changes in estmates and assumptons.</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Summary of Cash Flow</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provides informaton about our net cash fow for the years ended December 31, 2024 and 2023.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652"/>
              <w:spacing w:after="0"/>
              <w:rPr>
                <w:sz w:val="20"/>
                <w:szCs w:val="20"/>
                <w:color w:val="auto"/>
              </w:rPr>
            </w:pPr>
            <w:r>
              <w:rPr>
                <w:rFonts w:ascii="Calibri" w:cs="Calibri" w:eastAsia="Calibri" w:hAnsi="Calibri"/>
                <w:sz w:val="14"/>
                <w:szCs w:val="14"/>
                <w:b w:val="1"/>
                <w:bCs w:val="1"/>
                <w:color w:val="auto"/>
              </w:rPr>
              <w:t>Years Ended December 31,</w:t>
            </w:r>
          </w:p>
        </w:tc>
      </w:tr>
      <w:tr>
        <w:trPr>
          <w:trHeight w:val="235"/>
        </w:trPr>
        <w:tc>
          <w:tcPr>
            <w:tcW w:w="8180" w:type="dxa"/>
            <w:vAlign w:val="bottom"/>
          </w:tcPr>
          <w:p>
            <w:pPr>
              <w:ind w:left="20"/>
              <w:spacing w:after="0"/>
              <w:rPr>
                <w:sz w:val="20"/>
                <w:szCs w:val="20"/>
                <w:color w:val="auto"/>
              </w:rPr>
            </w:pPr>
            <w:r>
              <w:rPr>
                <w:rFonts w:ascii="Calibri" w:cs="Calibri" w:eastAsia="Calibri" w:hAnsi="Calibri"/>
                <w:sz w:val="16"/>
                <w:szCs w:val="16"/>
                <w:b w:val="1"/>
                <w:bCs w:val="1"/>
                <w:color w:val="auto"/>
              </w:rPr>
              <w:t>$ in thousands</w:t>
            </w:r>
          </w:p>
        </w:tc>
        <w:tc>
          <w:tcPr>
            <w:tcW w:w="340" w:type="dxa"/>
            <w:vAlign w:val="bottom"/>
          </w:tcPr>
          <w:p>
            <w:pPr>
              <w:spacing w:after="0"/>
              <w:rPr>
                <w:sz w:val="20"/>
                <w:szCs w:val="20"/>
                <w:color w:val="auto"/>
              </w:rPr>
            </w:pPr>
          </w:p>
        </w:tc>
        <w:tc>
          <w:tcPr>
            <w:tcW w:w="1140" w:type="dxa"/>
            <w:vAlign w:val="bottom"/>
          </w:tcPr>
          <w:p>
            <w:pPr>
              <w:jc w:val="right"/>
              <w:ind w:right="514"/>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512"/>
              <w:spacing w:after="0"/>
              <w:rPr>
                <w:sz w:val="20"/>
                <w:szCs w:val="20"/>
                <w:color w:val="auto"/>
              </w:rPr>
            </w:pPr>
            <w:r>
              <w:rPr>
                <w:rFonts w:ascii="Calibri" w:cs="Calibri" w:eastAsia="Calibri" w:hAnsi="Calibri"/>
                <w:sz w:val="14"/>
                <w:szCs w:val="14"/>
                <w:b w:val="1"/>
                <w:bCs w:val="1"/>
                <w:color w:val="auto"/>
              </w:rPr>
              <w:t>2023</w:t>
            </w:r>
          </w:p>
        </w:tc>
      </w:tr>
      <w:tr>
        <w:trPr>
          <w:trHeight w:val="28"/>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Net cash used for operatng actvites from contnuing operatons</w:t>
            </w: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(12,155)</w:t>
            </w:r>
          </w:p>
        </w:tc>
      </w:tr>
      <w:tr>
        <w:trPr>
          <w:trHeight w:val="222"/>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Net cash used for investng actvites from contnuing operatons</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(3,888)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(6,031)</w:t>
            </w:r>
          </w:p>
        </w:tc>
      </w:tr>
      <w:tr>
        <w:trPr>
          <w:trHeight w:val="237"/>
        </w:trPr>
        <w:tc>
          <w:tcPr>
            <w:tcW w:w="81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cash provided by fnancing actvites from contnuing operatons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11,239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13,772</w:t>
            </w:r>
          </w:p>
        </w:tc>
      </w:tr>
      <w:tr>
        <w:trPr>
          <w:trHeight w:val="223"/>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Increase in cash and cash equivalents from discontnued operatons</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2,509</w:t>
            </w:r>
          </w:p>
        </w:tc>
      </w:tr>
      <w:tr>
        <w:trPr>
          <w:trHeight w:val="230"/>
        </w:trPr>
        <w:tc>
          <w:tcPr>
            <w:tcW w:w="8180" w:type="dxa"/>
            <w:vAlign w:val="bottom"/>
            <w:tcBorders>
              <w:top w:val="single" w:sz="8" w:color="CCEEFF"/>
            </w:tcBorders>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Net change in cash, cash equivalents and restricted cash</w:t>
            </w: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(4,693)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(1,905)</w:t>
            </w:r>
          </w:p>
        </w:tc>
      </w:tr>
      <w:tr>
        <w:trPr>
          <w:trHeight w:val="223"/>
        </w:trPr>
        <w:tc>
          <w:tcPr>
            <w:tcW w:w="81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Cash, cash equivalents and restricted cash at beginning of year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13,312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15,217</w:t>
            </w: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13,312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Operatng Actvites</w:t>
      </w:r>
    </w:p>
    <w:p>
      <w:pPr>
        <w:spacing w:after="0" w:line="21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Net cash used for operatng actvites from contnuing operatons was $12.0 million for the year ended December 31, 2024, as compared to cash used for operatng actvites from contnuing operatons of $12.2 million for the year ended December 31, 2023. The variance in operatng cash fow during the year ended 2024 as compared to 2023 was driven by a decrease in prepaid expenses, increase in contract liabilites and an advantageous change in net loss, which was partally ofset by the transiton to bitcoin self-mining retenton strategy, which enables the Company to accumulate bitcoin from its owned miners, the purchase of additonal RGGI credits during 2024 and payment of accrued expenses.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Investng Actvites</w:t>
      </w:r>
    </w:p>
    <w:p>
      <w:pPr>
        <w:spacing w:after="0" w:line="21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Net cash used for investng actvites from contnuing operatons was $3.9 million for the year ended December 31, 2024, as compared to $6.0 million for the year ended December 31, 2023. The decrease is primarily related to $2.6 million of lower purchases of and deposits for property and equipment compared to the prior year due to the lower miner purchases and lower proceeds from the sale of assets of $3.9 million. This was partally ofset by proceeds of $3.5 million from the sale of digital assets.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2" w:name="page63"/>
    <w:bookmarkEnd w:id="62"/>
    <w:p>
      <w:pPr>
        <w:spacing w:after="0"/>
        <w:rPr>
          <w:sz w:val="20"/>
          <w:szCs w:val="20"/>
          <w:color w:val="auto"/>
        </w:rPr>
      </w:pPr>
      <w:r>
        <w:rPr>
          <w:rFonts w:ascii="Calibri" w:cs="Calibri" w:eastAsia="Calibri" w:hAnsi="Calibri"/>
          <w:sz w:val="18"/>
          <w:szCs w:val="18"/>
          <w:i w:val="1"/>
          <w:iCs w:val="1"/>
          <w:u w:val="single" w:color="auto"/>
          <w:color w:val="auto"/>
        </w:rPr>
        <w:t>Financing Actvites</w:t>
      </w:r>
    </w:p>
    <w:p>
      <w:pPr>
        <w:spacing w:after="0" w:line="21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Net cash provided by fnancing actvites from contnuing operatons was $11.2 million for the year ended December 31, 2024, as compared to $13.8 million for the year ended December 31, 2023. The decrease is primarily related to a $18.7 million reducton in sales of Class A common stock under our ATM Agreement. This was partally ofset by a $6.0 million increase in proceeds from the issuance of common stock and pre-funded warrant under the Armistce SPA, a $6.8 million eliminaton of principal payments on debt in 2023 due to its restructuring, and a $3.3 million increase in proceeds from the issuance of common stock under the Equity Purchase Agreement.</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Financing Arrangements</w:t>
      </w:r>
    </w:p>
    <w:p>
      <w:pPr>
        <w:spacing w:after="0" w:line="21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See Note 5, "</w:t>
      </w:r>
      <w:r>
        <w:rPr>
          <w:rFonts w:ascii="Calibri" w:cs="Calibri" w:eastAsia="Calibri" w:hAnsi="Calibri"/>
          <w:sz w:val="18"/>
          <w:szCs w:val="18"/>
          <w:i w:val="1"/>
          <w:iCs w:val="1"/>
          <w:color w:val="auto"/>
        </w:rPr>
        <w:t>Debt</w:t>
      </w:r>
      <w:r>
        <w:rPr>
          <w:rFonts w:ascii="Calibri" w:cs="Calibri" w:eastAsia="Calibri" w:hAnsi="Calibri"/>
          <w:sz w:val="18"/>
          <w:szCs w:val="18"/>
          <w:color w:val="auto"/>
        </w:rPr>
        <w:t>," Note 6, "</w:t>
      </w:r>
      <w:r>
        <w:rPr>
          <w:rFonts w:ascii="Calibri" w:cs="Calibri" w:eastAsia="Calibri" w:hAnsi="Calibri"/>
          <w:sz w:val="18"/>
          <w:szCs w:val="18"/>
          <w:i w:val="1"/>
          <w:iCs w:val="1"/>
          <w:color w:val="auto"/>
        </w:rPr>
        <w:t>Stockholders' Defcit</w:t>
      </w:r>
      <w:r>
        <w:rPr>
          <w:rFonts w:ascii="Calibri" w:cs="Calibri" w:eastAsia="Calibri" w:hAnsi="Calibri"/>
          <w:sz w:val="18"/>
          <w:szCs w:val="18"/>
          <w:color w:val="auto"/>
        </w:rPr>
        <w:t>" and Note 17, "</w:t>
      </w:r>
      <w:r>
        <w:rPr>
          <w:rFonts w:ascii="Calibri" w:cs="Calibri" w:eastAsia="Calibri" w:hAnsi="Calibri"/>
          <w:sz w:val="18"/>
          <w:szCs w:val="18"/>
          <w:i w:val="1"/>
          <w:iCs w:val="1"/>
          <w:color w:val="auto"/>
        </w:rPr>
        <w:t>Subsequent Events</w:t>
      </w:r>
      <w:r>
        <w:rPr>
          <w:rFonts w:ascii="Calibri" w:cs="Calibri" w:eastAsia="Calibri" w:hAnsi="Calibri"/>
          <w:sz w:val="18"/>
          <w:szCs w:val="18"/>
          <w:color w:val="auto"/>
        </w:rPr>
        <w:t>" in the Notes to Consolidated Financial Statements for details regarding our fnancing arrangements.</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Accountng Pronouncements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Informaton regarding new accountng pronouncements is included in Note 2, "</w:t>
      </w:r>
      <w:r>
        <w:rPr>
          <w:rFonts w:ascii="Calibri" w:cs="Calibri" w:eastAsia="Calibri" w:hAnsi="Calibri"/>
          <w:sz w:val="18"/>
          <w:szCs w:val="18"/>
          <w:i w:val="1"/>
          <w:iCs w:val="1"/>
          <w:color w:val="auto"/>
        </w:rPr>
        <w:t>Signifcant Accountng Policies</w:t>
      </w:r>
      <w:r>
        <w:rPr>
          <w:rFonts w:ascii="Calibri" w:cs="Calibri" w:eastAsia="Calibri" w:hAnsi="Calibri"/>
          <w:sz w:val="18"/>
          <w:szCs w:val="18"/>
          <w:color w:val="auto"/>
        </w:rPr>
        <w:t>", in the</w:t>
      </w:r>
    </w:p>
    <w:p>
      <w:pPr>
        <w:spacing w:after="0" w:line="221" w:lineRule="auto"/>
        <w:rPr>
          <w:sz w:val="20"/>
          <w:szCs w:val="20"/>
          <w:color w:val="auto"/>
        </w:rPr>
      </w:pPr>
      <w:r>
        <w:rPr>
          <w:rFonts w:ascii="Calibri" w:cs="Calibri" w:eastAsia="Calibri" w:hAnsi="Calibri"/>
          <w:sz w:val="18"/>
          <w:szCs w:val="18"/>
          <w:color w:val="auto"/>
        </w:rPr>
        <w:t>Notes to Consolidated Financial Statements.</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 and Estmates</w:t>
      </w:r>
    </w:p>
    <w:p>
      <w:pPr>
        <w:spacing w:after="0" w:line="109"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Our signifcant accountng policies are discussed in detail in Note 2, "Signifcant Accountng Policies", in the Notes to Consolidated Financial Statements for the year ended December 31, 2024; however, we consider our critcal accountng policies to be those related to the valuaton of long-lived assets and remeasurement of environmental obligatons.</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Valuaton of Long-Lived Assets</w:t>
      </w:r>
    </w:p>
    <w:p>
      <w:pPr>
        <w:spacing w:after="0" w:line="204" w:lineRule="exact"/>
        <w:rPr>
          <w:sz w:val="20"/>
          <w:szCs w:val="20"/>
          <w:color w:val="auto"/>
        </w:rPr>
      </w:pPr>
    </w:p>
    <w:p>
      <w:pPr>
        <w:ind w:right="240"/>
        <w:spacing w:after="0" w:line="228" w:lineRule="auto"/>
        <w:rPr>
          <w:sz w:val="20"/>
          <w:szCs w:val="20"/>
          <w:color w:val="auto"/>
        </w:rPr>
      </w:pPr>
      <w:r>
        <w:rPr>
          <w:rFonts w:ascii="Calibri" w:cs="Calibri" w:eastAsia="Calibri" w:hAnsi="Calibri"/>
          <w:sz w:val="18"/>
          <w:szCs w:val="18"/>
          <w:color w:val="auto"/>
        </w:rPr>
        <w:t>In accordance with ASC 360-10, we review our long-lived assets for impairment whenever events or changes in circumstances indicate that the carrying amount of the assets may not be fully recoverable. To determine recoverability of a long-lived asset, management evaluates whether the estmated future undiscounted net cash fows, based on prevailing market conditons, from the asset are less than its carrying amount. If impairment is indicated, the long-lived asset is writen down to fair value.</w:t>
      </w:r>
    </w:p>
    <w:p>
      <w:pPr>
        <w:spacing w:after="0" w:line="205" w:lineRule="exact"/>
        <w:rPr>
          <w:sz w:val="20"/>
          <w:szCs w:val="20"/>
          <w:color w:val="auto"/>
        </w:rPr>
      </w:pPr>
    </w:p>
    <w:p>
      <w:pPr>
        <w:ind w:right="80"/>
        <w:spacing w:after="0" w:line="228" w:lineRule="auto"/>
        <w:rPr>
          <w:sz w:val="20"/>
          <w:szCs w:val="20"/>
          <w:color w:val="auto"/>
        </w:rPr>
      </w:pPr>
      <w:r>
        <w:rPr>
          <w:rFonts w:ascii="Calibri" w:cs="Calibri" w:eastAsia="Calibri" w:hAnsi="Calibri"/>
          <w:sz w:val="18"/>
          <w:szCs w:val="18"/>
          <w:color w:val="auto"/>
        </w:rPr>
        <w:t>During 2024, we determined that a triggering event had occurred as of September 30, 2024 due to declines in hashprice, driven by lower bitcoin rewards for miners post-halving, increases in the difculty factor due to increase in the overall hashrate as more efcient miners entered the market, and a lack of a corresponding increase in bitcoin price. For the purposes of performing the recoverability test we consider all of our long-lived assets to be a single asset group as we operate as an integrated power and crypto datacenter operatons business and this grouping represents the lowest level of identfable independent cash fows. We concluded that projected undiscounted cash fows were in excess of the carrying value of the asset group, and, therefore, the assets are considered to be recoverable and no determinaton of impairment was necessary.</w:t>
      </w:r>
    </w:p>
    <w:p>
      <w:pPr>
        <w:spacing w:after="0" w:line="206"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color w:val="auto"/>
        </w:rPr>
        <w:t>An impairment charge of $0.2 million was recorded for the year ended December 31, 2024, which was the remaining value of certain miners that were determined to be no longer recoverable.</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Remeasurement of environmental liabilites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recognize environmental liabilites in accordance with ASC 410-30, Asset Retrement and Environmental Obligatons. As of December 31, 2024, we have recognized environmental liabilites for a coal-ash pond and landfll, which were inherited due to the legacy coal operatons at our property in Torrey, New York. These costs are considered to be both probable and estmable. We have recorded a total environmental liability of $30.7 million and $30.2 million as of December 31, 2024 and 2023, respectvely, for the remediaton of these sites. We recognized a charge of $0.5 million and $2.4 million during the years ended December 31, 2024 and 2023, respectvely, for the remeasurement of environmental liabilites. The charges were as a result of updates in the cost estmates associated with the landfll post-closure liabilites as part of our contnuing evaluaton of the site.</w:t>
      </w:r>
    </w:p>
    <w:p>
      <w:pPr>
        <w:spacing w:after="0" w:line="22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We have estmated the cost of remediaton by developing a remediaton plan in consultaton with environmental engineers, periodically obtaining quotes for estmated constructon costs and adjustng estmates for infatonary factors based on the expected tming of the remediaton work. Estmates include antcipated post-closure costs including</w:t>
      </w: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sectPr>
      </w:pPr>
    </w:p>
    <w:bookmarkStart w:id="63" w:name="page64"/>
    <w:bookmarkEnd w:id="63"/>
    <w:p>
      <w:pPr>
        <w:ind w:right="140"/>
        <w:spacing w:after="0" w:line="235" w:lineRule="auto"/>
        <w:rPr>
          <w:sz w:val="20"/>
          <w:szCs w:val="20"/>
          <w:color w:val="auto"/>
        </w:rPr>
      </w:pPr>
      <w:r>
        <w:rPr>
          <w:rFonts w:ascii="Calibri" w:cs="Calibri" w:eastAsia="Calibri" w:hAnsi="Calibri"/>
          <w:sz w:val="18"/>
          <w:szCs w:val="18"/>
          <w:color w:val="auto"/>
        </w:rPr>
        <w:t>monitoring and maintenance of the site. Estmates are based on various assumptons that are sensitve to changes including, but not limited to, closure and post-closure cost estmates, tming of expenditures, escalaton factors, and requirements of granted permits. Additonal material adjustments to the environmental liability may occur in the future due to required changes to the scope and tming of the remediaton, changes to regulatons governing the closure and remediaton of CCR sites and changes to cost estmates due to infatonary or other economic factors.</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Emerging Growth Company Status</w:t>
      </w:r>
    </w:p>
    <w:p>
      <w:pPr>
        <w:spacing w:after="0" w:line="10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We qualify as an "emerging growth company" under the JOBS Act. As a result, we are permited to, and intend to, rely on exemptons from certain disclosure requirements. For so long as we are an emerging growth company, we will not be required to:</w:t>
      </w:r>
    </w:p>
    <w:p>
      <w:pPr>
        <w:spacing w:after="0" w:line="105" w:lineRule="exact"/>
        <w:rPr>
          <w:sz w:val="20"/>
          <w:szCs w:val="20"/>
          <w:color w:val="auto"/>
        </w:rPr>
      </w:pPr>
    </w:p>
    <w:p>
      <w:pPr>
        <w:ind w:left="640" w:hanging="308"/>
        <w:spacing w:after="0"/>
        <w:tabs>
          <w:tab w:leader="none" w:pos="640"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have an auditor report on our internal controls over fnancial reportng pursuant to Secton404(b) of the Sarbanes-Oxley Act;</w:t>
      </w:r>
    </w:p>
    <w:p>
      <w:pPr>
        <w:spacing w:after="0" w:line="109" w:lineRule="exact"/>
        <w:rPr>
          <w:rFonts w:ascii="Calibri" w:cs="Calibri" w:eastAsia="Calibri" w:hAnsi="Calibri"/>
          <w:sz w:val="18"/>
          <w:szCs w:val="18"/>
          <w:color w:val="auto"/>
        </w:rPr>
      </w:pPr>
    </w:p>
    <w:p>
      <w:pPr>
        <w:ind w:left="660" w:right="20" w:hanging="328"/>
        <w:spacing w:after="0" w:line="235" w:lineRule="auto"/>
        <w:tabs>
          <w:tab w:leader="none" w:pos="653"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comply with any requirement that may be adopted by the Public Company Accountng Oversight Board regarding mandatory audit frm rotaton or a supplement to the auditor’s report providing additonal informaton about the audit and the fnancial statements (i.e., an auditor discussion and analysis);</w:t>
      </w:r>
    </w:p>
    <w:p>
      <w:pPr>
        <w:spacing w:after="0" w:line="105" w:lineRule="exact"/>
        <w:rPr>
          <w:rFonts w:ascii="Calibri" w:cs="Calibri" w:eastAsia="Calibri" w:hAnsi="Calibri"/>
          <w:sz w:val="18"/>
          <w:szCs w:val="18"/>
          <w:color w:val="auto"/>
        </w:rPr>
      </w:pPr>
    </w:p>
    <w:p>
      <w:pPr>
        <w:ind w:left="640" w:hanging="308"/>
        <w:spacing w:after="0"/>
        <w:tabs>
          <w:tab w:leader="none" w:pos="640"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submit certain executve compensaton maters to shareholder advisory votes, such as "say-on-pay," "say-on-frequency" and pay rato; and</w:t>
      </w:r>
    </w:p>
    <w:p>
      <w:pPr>
        <w:spacing w:after="0" w:line="109" w:lineRule="exact"/>
        <w:rPr>
          <w:rFonts w:ascii="Calibri" w:cs="Calibri" w:eastAsia="Calibri" w:hAnsi="Calibri"/>
          <w:sz w:val="18"/>
          <w:szCs w:val="18"/>
          <w:color w:val="auto"/>
        </w:rPr>
      </w:pPr>
    </w:p>
    <w:p>
      <w:pPr>
        <w:ind w:left="660" w:right="100" w:hanging="328"/>
        <w:spacing w:after="0" w:line="235" w:lineRule="auto"/>
        <w:tabs>
          <w:tab w:leader="none" w:pos="653"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disclose certain executve compensaton related items such as the correlaton between executve compensaton and performance and comparisons of the CEO’s compensaton to median employee compensaton.</w:t>
      </w:r>
    </w:p>
    <w:p>
      <w:pPr>
        <w:spacing w:after="0" w:line="218"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In additon, Secton 107 of the JOBS Act also provides that an emerging growth company can take advantage of the extended transiton period provided in Secton 7(a)(2)(B) of the Securites Act for complying with new or revised accountng standards. In other words, an emerging growth company can delay the adopton of certain accountng standards untl those standards would otherwise apply to private companies. We have elected to take advantage of the benefts of this extended transiton period. Our fnancial statements may therefore not be comparable to those of companies that comply with such new or revised accountng standards.</w:t>
      </w:r>
    </w:p>
    <w:p>
      <w:pPr>
        <w:spacing w:after="0" w:line="22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will remain an “emerging growth company” for up to fve years from our frst sale of common stock pursuant to an efectve Securites Act registraton statement in 2021, or untl the earliest of (i) the last day of the frst fscal year in which our total annual gross revenues exceed $1.235 billion, (ii) the date that we become a “large accelerated fler” as defned in Rule 12b-2 under the Exchange Act, which would occur if the market value of our Class A common stock held by non-afliates exceeds $700 million as of the last business day of our most recently completed second fscal quarter, or (iii) the date on which we have issued more than $1 billion in non-convertble debt during the preceding three year period.</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Of-Balance Sheet Arrangements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As of December 31, 2024, we did not have any of-balance sheet arrangements.</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7A. QUANTITATIVE AND QUALITATIVE DISCLOSURES ABOUT MARKET RISK.</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Not required for smaller reportng companies.</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8. FINANCIAL STATEMENTS AND SUPPLEMENTARY DATA.</w:t>
      </w:r>
    </w:p>
    <w:p>
      <w:pPr>
        <w:spacing w:after="0" w:line="109"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fnancial informaton required by this Item is set forth in and following the Index to Consolidated Financial Statements on page F-1 and is fled as part of this Annual Report.</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 CHANGES IN AND DISAGREEMENTS WITH ACCOUNTANTS ON ACCOUNTING AND FINANCIAL DISCLOSURE.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64" w:name="page65"/>
    <w:bookmarkEnd w:id="64"/>
    <w:p>
      <w:pPr>
        <w:spacing w:after="0"/>
        <w:rPr>
          <w:sz w:val="20"/>
          <w:szCs w:val="20"/>
          <w:color w:val="auto"/>
        </w:rPr>
      </w:pPr>
      <w:r>
        <w:rPr>
          <w:rFonts w:ascii="Calibri" w:cs="Calibri" w:eastAsia="Calibri" w:hAnsi="Calibri"/>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Evaluaton of Disclosure Controls and Procedures</w:t>
      </w:r>
    </w:p>
    <w:p>
      <w:pPr>
        <w:spacing w:after="0" w:line="163"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Our management, under the supervision and with the partcipaton of our Chief Executve Ofcer and our Chief Financial Ofcer, has evaluated the efectveness of the design and operaton of our disclosure controls and procedures pursuant to Rule 13a-15(e) and 15d-15(e) under the Exchange Act, as of the end of the period covered by this Annual Report.</w:t>
      </w:r>
    </w:p>
    <w:p>
      <w:pPr>
        <w:spacing w:after="0" w:line="165"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Based on this evaluaton, our management concluded that our disclosure controls and procedures were efectve as of December 31, 2024. Our disclosure controls and procedures are designed to provide reasonable assurance that informaton required to be disclosed by us in the reports that it fles or submits to the SEC under the Exchange Act is recorded, processed, summarized and reported within the tme periods specifed in SEC rules and forms and that such informaton is accumulated and communicated to our management, including our Chief Executve Ofcer and Chief Financial Ofcer, as appropriate, to allow tmely decisions regarding required disclosure.</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Management’s Report on Internal Control over Financial Reportng</w:t>
      </w:r>
    </w:p>
    <w:p>
      <w:pPr>
        <w:spacing w:after="0" w:line="163" w:lineRule="exact"/>
        <w:rPr>
          <w:sz w:val="20"/>
          <w:szCs w:val="20"/>
          <w:color w:val="auto"/>
        </w:rPr>
      </w:pPr>
    </w:p>
    <w:p>
      <w:pPr>
        <w:ind w:right="80"/>
        <w:spacing w:after="0" w:line="227" w:lineRule="auto"/>
        <w:rPr>
          <w:sz w:val="20"/>
          <w:szCs w:val="20"/>
          <w:color w:val="auto"/>
        </w:rPr>
      </w:pPr>
      <w:r>
        <w:rPr>
          <w:rFonts w:ascii="Calibri" w:cs="Calibri" w:eastAsia="Calibri" w:hAnsi="Calibri"/>
          <w:sz w:val="18"/>
          <w:szCs w:val="18"/>
          <w:color w:val="auto"/>
        </w:rPr>
        <w:t>Our management is responsible for establishing and maintaining adequate internal control over fnancial reportng as defned in Rule 13a-15(f) and 15d-15(f) under the Exchange Act. We have performed an evaluaton under the supervision and with the partcipaton of management, including our Chief Executve Ofcer and Chief Financial Ofcer, of the efectveness of our internal control over fnancial reportng. Our management assessed the efectveness of its internal control over fnancial reportng as of December 31, 2024. Our management used the criteria set forth in Internal Control—Integrated Framework issued by the Commitee of Sponsoring Organizatons of the Treadway Commission (2013 framework) to perform its assessment. Based on this assessment, our management, including our Chief Executve Ofcer and Chief Financial Ofcer, concluded that, as of December 31, 2024, our internal control over fnancial reportng was efectve based on those criteria.</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Limitaton on Efectveness of Controls and Procedures</w:t>
      </w:r>
    </w:p>
    <w:p>
      <w:pPr>
        <w:spacing w:after="0" w:line="16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designing and evaluatng the disclosure controls and our internal control over fnancial reportng, management recognizes that any controls and procedures, no mater how well designed and operated, can provide only reasonable, not absolute, assurance of achieving the desired control objectves and does not expect that our internal controls will prevent or detect all errors and all fraud. In additon, the design of disclosure controls and our internal control over fnancial reportng must refect the fact that there are resource constraints and that management is required to apply its judgment in evaluatng the benefts of possible controls and procedures relatve to their costs. Because of the inherent limitatons in all control systems, no evaluaton of internal controls can provide absolute assurance that all control issues and instances of fraud, if any, have been detected. Also, any evaluaton of the efectveness of controls in future periods is subject to the risk that those internal controls may become inadequate because of changes in business conditons, or that the degree of compliance with the policies or procedures may deteriorate.</w:t>
      </w:r>
    </w:p>
    <w:p>
      <w:pPr>
        <w:spacing w:after="0" w:line="16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Changes in Internal Control over Financial Reportng</w:t>
      </w:r>
    </w:p>
    <w:p>
      <w:pPr>
        <w:spacing w:after="0" w:line="163"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There were no changes in our internal control over fnancial reportng that occurred during the period covered by this Annual Report that have materially afected, or are reasonably likely to materially afect, our internal control over fnancial reportng.</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9B. OTHER INFORMATION.</w:t>
      </w:r>
    </w:p>
    <w:p>
      <w:pPr>
        <w:spacing w:after="0" w:line="109" w:lineRule="exact"/>
        <w:rPr>
          <w:sz w:val="20"/>
          <w:szCs w:val="20"/>
          <w:color w:val="auto"/>
        </w:rPr>
      </w:pPr>
    </w:p>
    <w:p>
      <w:pPr>
        <w:ind w:right="2680"/>
        <w:spacing w:after="0" w:line="229" w:lineRule="auto"/>
        <w:rPr>
          <w:sz w:val="20"/>
          <w:szCs w:val="20"/>
          <w:color w:val="auto"/>
        </w:rPr>
      </w:pPr>
      <w:r>
        <w:rPr>
          <w:rFonts w:ascii="Calibri" w:cs="Calibri" w:eastAsia="Calibri" w:hAnsi="Calibri"/>
          <w:sz w:val="18"/>
          <w:szCs w:val="18"/>
          <w:color w:val="auto"/>
        </w:rPr>
        <w:t>On March 26, 2025, we received a leter from the Nasdaq listng qualifcatons department notfying us that for the prior 30 consecutve business days, our Market Value of Publicly Held Shares ("MVPHS") had been below the listng requirement of $15 million. The Nasdaq rules provide us with an inital compliance period of 180 calendar days to regain compliance with the minimum MVPHS requirement. We can provide no assurance of our ability to take the appropriate actons within the 180-day cure period to regain compliance with Nasdaq listng requirements.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9C. DISCLOSURE REGARDING FOREIGN JURISDICTIONS THAT PREVENT INSPECTIONS.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65" w:name="page66"/>
    <w:bookmarkEnd w:id="65"/>
    <w:p>
      <w:pPr>
        <w:jc w:val="center"/>
        <w:ind w:right="-59"/>
        <w:spacing w:after="0"/>
        <w:rPr>
          <w:sz w:val="20"/>
          <w:szCs w:val="20"/>
          <w:color w:val="auto"/>
        </w:rPr>
      </w:pPr>
      <w:r>
        <w:rPr>
          <w:rFonts w:ascii="Calibri" w:cs="Calibri" w:eastAsia="Calibri" w:hAnsi="Calibri"/>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10. DIRECTORS, EXECUTIVE OFFICERS AND CORPORATE GOVERNANCE.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The informaton required by this Item will be included in the Company’s defnitve proxy statement to be fled with the SEC within 120 days afer</w:t>
      </w:r>
    </w:p>
    <w:p>
      <w:pPr>
        <w:spacing w:after="0" w:line="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December 31, 2024, in connecton with the solicitaton of proxies for the Company’s 2025 Annual Meetng of Stockholders (the “2025 Proxy Statement”), and is incorporated herein by reference.</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11. EXECUTIVE COMPENSATION.</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color w:val="auto"/>
        </w:rPr>
        <w:t>The informaton required by this Item will be included in the 2025 Proxy Statement, and is incorporated herein by reference.</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12. SECURITY OWNERSHIP OF CERTAIN BENEFICIAL OWNERS AND MANAGEMENT AND RELATED STOCKHOLDER MATTERS.</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color w:val="auto"/>
        </w:rPr>
        <w:t>The informaton required by this Item will be included in the 2025 Proxy Statement, and is incorporated herein by reference.</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13. CERTAIN RELATIONSHIPS AND RELATED TRANSACTIONS, AND DIRECTOR INDEPENDENCE.</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color w:val="auto"/>
        </w:rPr>
        <w:t>The informaton required by this Item will be included in the 2025 Proxy Statement, and is incorporated herein by reference.</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14. PRINCIPAL ACCOUNTING FEES AND SERVICES.</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color w:val="auto"/>
        </w:rPr>
        <w:t>The informaton required by this Item will be included in the 2025 Proxy Statement, and is incorporated herein by reference.</w:t>
      </w: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6" w:right="37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20"/>
        </w:trPr>
        <w:tc>
          <w:tcPr>
            <w:tcW w:w="9440" w:type="dxa"/>
            <w:vAlign w:val="bottom"/>
          </w:tcPr>
          <w:p>
            <w:pPr>
              <w:ind w:left="5340"/>
              <w:spacing w:after="0"/>
              <w:rPr>
                <w:sz w:val="20"/>
                <w:szCs w:val="20"/>
                <w:color w:val="auto"/>
              </w:rPr>
            </w:pPr>
            <w:r>
              <w:rPr>
                <w:rFonts w:ascii="Calibri" w:cs="Calibri" w:eastAsia="Calibri" w:hAnsi="Calibri"/>
                <w:sz w:val="18"/>
                <w:szCs w:val="18"/>
                <w:b w:val="1"/>
                <w:bCs w:val="1"/>
                <w:color w:val="auto"/>
              </w:rPr>
              <w:t>PART IV</w:t>
            </w:r>
          </w:p>
        </w:tc>
        <w:tc>
          <w:tcPr>
            <w:tcW w:w="1180" w:type="dxa"/>
            <w:vAlign w:val="bottom"/>
          </w:tcPr>
          <w:p>
            <w:pPr>
              <w:spacing w:after="0"/>
              <w:rPr>
                <w:sz w:val="19"/>
                <w:szCs w:val="19"/>
                <w:color w:val="auto"/>
              </w:rPr>
            </w:pPr>
          </w:p>
        </w:tc>
      </w:tr>
      <w:tr>
        <w:trPr>
          <w:trHeight w:val="432"/>
        </w:trPr>
        <w:tc>
          <w:tcPr>
            <w:tcW w:w="9440" w:type="dxa"/>
            <w:vAlign w:val="bottom"/>
          </w:tcPr>
          <w:p>
            <w:pPr>
              <w:spacing w:after="0"/>
              <w:rPr>
                <w:sz w:val="20"/>
                <w:szCs w:val="20"/>
                <w:color w:val="auto"/>
              </w:rPr>
            </w:pPr>
            <w:r>
              <w:rPr>
                <w:rFonts w:ascii="Calibri" w:cs="Calibri" w:eastAsia="Calibri" w:hAnsi="Calibri"/>
                <w:sz w:val="18"/>
                <w:szCs w:val="18"/>
                <w:b w:val="1"/>
                <w:bCs w:val="1"/>
                <w:color w:val="auto"/>
              </w:rPr>
              <w:t>ITEM 15. EXHIBITS AND FINANCIAL STATEMENT SCHEDULES.</w:t>
            </w:r>
          </w:p>
        </w:tc>
        <w:tc>
          <w:tcPr>
            <w:tcW w:w="1180" w:type="dxa"/>
            <w:vAlign w:val="bottom"/>
          </w:tcPr>
          <w:p>
            <w:pPr>
              <w:spacing w:after="0"/>
              <w:rPr>
                <w:sz w:val="24"/>
                <w:szCs w:val="24"/>
                <w:color w:val="auto"/>
              </w:rPr>
            </w:pPr>
          </w:p>
        </w:tc>
      </w:tr>
      <w:tr>
        <w:trPr>
          <w:trHeight w:val="324"/>
        </w:trPr>
        <w:tc>
          <w:tcPr>
            <w:tcW w:w="9440" w:type="dxa"/>
            <w:vAlign w:val="bottom"/>
          </w:tcPr>
          <w:p>
            <w:pPr>
              <w:spacing w:after="0"/>
              <w:rPr>
                <w:sz w:val="20"/>
                <w:szCs w:val="20"/>
                <w:color w:val="auto"/>
              </w:rPr>
            </w:pPr>
            <w:r>
              <w:rPr>
                <w:rFonts w:ascii="Calibri" w:cs="Calibri" w:eastAsia="Calibri" w:hAnsi="Calibri"/>
                <w:sz w:val="18"/>
                <w:szCs w:val="18"/>
                <w:color w:val="auto"/>
              </w:rPr>
              <w:t>(a)  The following documents are fled as part of this Annual Report:</w:t>
            </w:r>
          </w:p>
        </w:tc>
        <w:tc>
          <w:tcPr>
            <w:tcW w:w="1180" w:type="dxa"/>
            <w:vAlign w:val="bottom"/>
          </w:tcPr>
          <w:p>
            <w:pPr>
              <w:spacing w:after="0"/>
              <w:rPr>
                <w:sz w:val="24"/>
                <w:szCs w:val="24"/>
                <w:color w:val="auto"/>
              </w:rPr>
            </w:pPr>
          </w:p>
        </w:tc>
      </w:tr>
      <w:tr>
        <w:trPr>
          <w:trHeight w:val="324"/>
        </w:trPr>
        <w:tc>
          <w:tcPr>
            <w:tcW w:w="9440" w:type="dxa"/>
            <w:vAlign w:val="bottom"/>
          </w:tcPr>
          <w:p>
            <w:pPr>
              <w:ind w:left="340"/>
              <w:spacing w:after="0"/>
              <w:rPr>
                <w:sz w:val="20"/>
                <w:szCs w:val="20"/>
                <w:color w:val="auto"/>
              </w:rPr>
            </w:pPr>
            <w:r>
              <w:rPr>
                <w:rFonts w:ascii="Calibri" w:cs="Calibri" w:eastAsia="Calibri" w:hAnsi="Calibri"/>
                <w:sz w:val="18"/>
                <w:szCs w:val="18"/>
                <w:color w:val="auto"/>
              </w:rPr>
              <w:t>1.  Consolidated Financial Statements</w:t>
            </w:r>
          </w:p>
        </w:tc>
        <w:tc>
          <w:tcPr>
            <w:tcW w:w="1180" w:type="dxa"/>
            <w:vAlign w:val="bottom"/>
          </w:tcPr>
          <w:p>
            <w:pPr>
              <w:spacing w:after="0"/>
              <w:rPr>
                <w:sz w:val="24"/>
                <w:szCs w:val="24"/>
                <w:color w:val="auto"/>
              </w:rPr>
            </w:pPr>
          </w:p>
        </w:tc>
      </w:tr>
      <w:tr>
        <w:trPr>
          <w:trHeight w:val="257"/>
        </w:trPr>
        <w:tc>
          <w:tcPr>
            <w:tcW w:w="9440" w:type="dxa"/>
            <w:vAlign w:val="bottom"/>
          </w:tcPr>
          <w:p>
            <w:pPr>
              <w:spacing w:after="0"/>
              <w:rPr>
                <w:sz w:val="22"/>
                <w:szCs w:val="22"/>
                <w:color w:val="auto"/>
              </w:rPr>
            </w:pPr>
          </w:p>
        </w:tc>
        <w:tc>
          <w:tcPr>
            <w:tcW w:w="1180" w:type="dxa"/>
            <w:vAlign w:val="bottom"/>
          </w:tcPr>
          <w:p>
            <w:pPr>
              <w:jc w:val="center"/>
              <w:ind w:left="750"/>
              <w:spacing w:after="0"/>
              <w:rPr>
                <w:sz w:val="20"/>
                <w:szCs w:val="20"/>
                <w:color w:val="auto"/>
              </w:rPr>
            </w:pPr>
            <w:r>
              <w:rPr>
                <w:rFonts w:ascii="Calibri" w:cs="Calibri" w:eastAsia="Calibri" w:hAnsi="Calibri"/>
                <w:sz w:val="18"/>
                <w:szCs w:val="18"/>
                <w:color w:val="auto"/>
                <w:w w:val="95"/>
              </w:rPr>
              <w:t>Page</w:t>
            </w:r>
          </w:p>
        </w:tc>
      </w:tr>
      <w:tr>
        <w:trPr>
          <w:trHeight w:val="229"/>
        </w:trPr>
        <w:tc>
          <w:tcPr>
            <w:tcW w:w="9440" w:type="dxa"/>
            <w:vAlign w:val="bottom"/>
          </w:tcPr>
          <w:p>
            <w:pPr>
              <w:ind w:left="440"/>
              <w:spacing w:after="0"/>
              <w:rPr>
                <w:sz w:val="20"/>
                <w:szCs w:val="20"/>
                <w:color w:val="auto"/>
              </w:rPr>
            </w:pPr>
            <w:r>
              <w:rPr>
                <w:rFonts w:ascii="Calibri" w:cs="Calibri" w:eastAsia="Calibri" w:hAnsi="Calibri"/>
                <w:sz w:val="18"/>
                <w:szCs w:val="18"/>
                <w:color w:val="auto"/>
              </w:rPr>
              <w:t>Report of Independent Registered Public Accountng Firm</w:t>
            </w:r>
          </w:p>
        </w:tc>
        <w:tc>
          <w:tcPr>
            <w:tcW w:w="1180" w:type="dxa"/>
            <w:vAlign w:val="bottom"/>
          </w:tcPr>
          <w:p>
            <w:pPr>
              <w:jc w:val="center"/>
              <w:ind w:left="750"/>
              <w:spacing w:after="0"/>
              <w:rPr>
                <w:sz w:val="20"/>
                <w:szCs w:val="20"/>
                <w:color w:val="auto"/>
              </w:rPr>
            </w:pPr>
            <w:r>
              <w:rPr>
                <w:rFonts w:ascii="Calibri" w:cs="Calibri" w:eastAsia="Calibri" w:hAnsi="Calibri"/>
                <w:sz w:val="18"/>
                <w:szCs w:val="18"/>
                <w:color w:val="auto"/>
                <w:w w:val="95"/>
              </w:rPr>
              <w:t>F-2</w:t>
            </w:r>
          </w:p>
        </w:tc>
      </w:tr>
      <w:tr>
        <w:trPr>
          <w:trHeight w:val="229"/>
        </w:trPr>
        <w:tc>
          <w:tcPr>
            <w:tcW w:w="9440" w:type="dxa"/>
            <w:vAlign w:val="bottom"/>
          </w:tcPr>
          <w:p>
            <w:pPr>
              <w:ind w:left="440"/>
              <w:spacing w:after="0"/>
              <w:rPr>
                <w:sz w:val="20"/>
                <w:szCs w:val="20"/>
                <w:color w:val="auto"/>
              </w:rPr>
            </w:pPr>
            <w:r>
              <w:rPr>
                <w:rFonts w:ascii="Calibri" w:cs="Calibri" w:eastAsia="Calibri" w:hAnsi="Calibri"/>
                <w:sz w:val="18"/>
                <w:szCs w:val="18"/>
                <w:color w:val="auto"/>
              </w:rPr>
              <w:t>Consolidated Balance Sheets as of December 31, 2024 and 2023</w:t>
            </w:r>
          </w:p>
        </w:tc>
        <w:tc>
          <w:tcPr>
            <w:tcW w:w="1180" w:type="dxa"/>
            <w:vAlign w:val="bottom"/>
          </w:tcPr>
          <w:p>
            <w:pPr>
              <w:jc w:val="center"/>
              <w:ind w:left="750"/>
              <w:spacing w:after="0"/>
              <w:rPr>
                <w:sz w:val="20"/>
                <w:szCs w:val="20"/>
                <w:color w:val="auto"/>
              </w:rPr>
            </w:pPr>
            <w:r>
              <w:rPr>
                <w:rFonts w:ascii="Calibri" w:cs="Calibri" w:eastAsia="Calibri" w:hAnsi="Calibri"/>
                <w:sz w:val="18"/>
                <w:szCs w:val="18"/>
                <w:color w:val="auto"/>
                <w:w w:val="95"/>
              </w:rPr>
              <w:t>F-3</w:t>
            </w:r>
          </w:p>
        </w:tc>
      </w:tr>
      <w:tr>
        <w:trPr>
          <w:trHeight w:val="230"/>
        </w:trPr>
        <w:tc>
          <w:tcPr>
            <w:tcW w:w="9440" w:type="dxa"/>
            <w:vAlign w:val="bottom"/>
          </w:tcPr>
          <w:p>
            <w:pPr>
              <w:ind w:left="440"/>
              <w:spacing w:after="0"/>
              <w:rPr>
                <w:sz w:val="20"/>
                <w:szCs w:val="20"/>
                <w:color w:val="auto"/>
              </w:rPr>
            </w:pPr>
            <w:r>
              <w:rPr>
                <w:rFonts w:ascii="Calibri" w:cs="Calibri" w:eastAsia="Calibri" w:hAnsi="Calibri"/>
                <w:sz w:val="18"/>
                <w:szCs w:val="18"/>
                <w:color w:val="auto"/>
              </w:rPr>
              <w:t>Consolidated Statements of Operatons and Comprehensive Loss for the years ended December 31, 2024 and 2023</w:t>
            </w:r>
          </w:p>
        </w:tc>
        <w:tc>
          <w:tcPr>
            <w:tcW w:w="1180" w:type="dxa"/>
            <w:vAlign w:val="bottom"/>
          </w:tcPr>
          <w:p>
            <w:pPr>
              <w:jc w:val="center"/>
              <w:ind w:left="750"/>
              <w:spacing w:after="0"/>
              <w:rPr>
                <w:sz w:val="20"/>
                <w:szCs w:val="20"/>
                <w:color w:val="auto"/>
              </w:rPr>
            </w:pPr>
            <w:r>
              <w:rPr>
                <w:rFonts w:ascii="Calibri" w:cs="Calibri" w:eastAsia="Calibri" w:hAnsi="Calibri"/>
                <w:sz w:val="18"/>
                <w:szCs w:val="18"/>
                <w:color w:val="auto"/>
                <w:w w:val="95"/>
              </w:rPr>
              <w:t>F-4</w:t>
            </w:r>
          </w:p>
        </w:tc>
      </w:tr>
      <w:tr>
        <w:trPr>
          <w:trHeight w:val="229"/>
        </w:trPr>
        <w:tc>
          <w:tcPr>
            <w:tcW w:w="9440" w:type="dxa"/>
            <w:vAlign w:val="bottom"/>
          </w:tcPr>
          <w:p>
            <w:pPr>
              <w:ind w:left="440"/>
              <w:spacing w:after="0"/>
              <w:rPr>
                <w:sz w:val="20"/>
                <w:szCs w:val="20"/>
                <w:color w:val="auto"/>
              </w:rPr>
            </w:pPr>
            <w:r>
              <w:rPr>
                <w:rFonts w:ascii="Calibri" w:cs="Calibri" w:eastAsia="Calibri" w:hAnsi="Calibri"/>
                <w:sz w:val="18"/>
                <w:szCs w:val="18"/>
                <w:color w:val="auto"/>
              </w:rPr>
              <w:t>Consolidated Statements of Stockholders’ Defcit for the years ended December 31, 2024 and 2023</w:t>
            </w:r>
          </w:p>
        </w:tc>
        <w:tc>
          <w:tcPr>
            <w:tcW w:w="1180" w:type="dxa"/>
            <w:vAlign w:val="bottom"/>
          </w:tcPr>
          <w:p>
            <w:pPr>
              <w:jc w:val="center"/>
              <w:ind w:left="750"/>
              <w:spacing w:after="0"/>
              <w:rPr>
                <w:sz w:val="20"/>
                <w:szCs w:val="20"/>
                <w:color w:val="auto"/>
              </w:rPr>
            </w:pPr>
            <w:r>
              <w:rPr>
                <w:rFonts w:ascii="Calibri" w:cs="Calibri" w:eastAsia="Calibri" w:hAnsi="Calibri"/>
                <w:sz w:val="18"/>
                <w:szCs w:val="18"/>
                <w:color w:val="auto"/>
                <w:w w:val="95"/>
              </w:rPr>
              <w:t>F-5</w:t>
            </w:r>
          </w:p>
        </w:tc>
      </w:tr>
      <w:tr>
        <w:trPr>
          <w:trHeight w:val="230"/>
        </w:trPr>
        <w:tc>
          <w:tcPr>
            <w:tcW w:w="9440" w:type="dxa"/>
            <w:vAlign w:val="bottom"/>
          </w:tcPr>
          <w:p>
            <w:pPr>
              <w:ind w:left="440"/>
              <w:spacing w:after="0"/>
              <w:rPr>
                <w:sz w:val="20"/>
                <w:szCs w:val="20"/>
                <w:color w:val="auto"/>
              </w:rPr>
            </w:pPr>
            <w:r>
              <w:rPr>
                <w:rFonts w:ascii="Calibri" w:cs="Calibri" w:eastAsia="Calibri" w:hAnsi="Calibri"/>
                <w:sz w:val="18"/>
                <w:szCs w:val="18"/>
                <w:color w:val="auto"/>
              </w:rPr>
              <w:t>Consolidated Statements of Cash Flows for the years ended December 31, 2024 and 2023</w:t>
            </w:r>
          </w:p>
        </w:tc>
        <w:tc>
          <w:tcPr>
            <w:tcW w:w="1180" w:type="dxa"/>
            <w:vAlign w:val="bottom"/>
          </w:tcPr>
          <w:p>
            <w:pPr>
              <w:jc w:val="center"/>
              <w:ind w:left="750"/>
              <w:spacing w:after="0"/>
              <w:rPr>
                <w:sz w:val="20"/>
                <w:szCs w:val="20"/>
                <w:color w:val="auto"/>
              </w:rPr>
            </w:pPr>
            <w:r>
              <w:rPr>
                <w:rFonts w:ascii="Calibri" w:cs="Calibri" w:eastAsia="Calibri" w:hAnsi="Calibri"/>
                <w:sz w:val="18"/>
                <w:szCs w:val="18"/>
                <w:color w:val="auto"/>
                <w:w w:val="95"/>
              </w:rPr>
              <w:t>F-6</w:t>
            </w:r>
          </w:p>
        </w:tc>
      </w:tr>
      <w:tr>
        <w:trPr>
          <w:trHeight w:val="229"/>
        </w:trPr>
        <w:tc>
          <w:tcPr>
            <w:tcW w:w="9440" w:type="dxa"/>
            <w:vAlign w:val="bottom"/>
          </w:tcPr>
          <w:p>
            <w:pPr>
              <w:ind w:left="440"/>
              <w:spacing w:after="0"/>
              <w:rPr>
                <w:sz w:val="20"/>
                <w:szCs w:val="20"/>
                <w:color w:val="auto"/>
              </w:rPr>
            </w:pPr>
            <w:r>
              <w:rPr>
                <w:rFonts w:ascii="Calibri" w:cs="Calibri" w:eastAsia="Calibri" w:hAnsi="Calibri"/>
                <w:sz w:val="18"/>
                <w:szCs w:val="18"/>
                <w:color w:val="auto"/>
              </w:rPr>
              <w:t>Notes to Consolidated Financial Statements</w:t>
            </w:r>
          </w:p>
        </w:tc>
        <w:tc>
          <w:tcPr>
            <w:tcW w:w="1180" w:type="dxa"/>
            <w:vAlign w:val="bottom"/>
          </w:tcPr>
          <w:p>
            <w:pPr>
              <w:jc w:val="center"/>
              <w:ind w:left="750"/>
              <w:spacing w:after="0"/>
              <w:rPr>
                <w:sz w:val="20"/>
                <w:szCs w:val="20"/>
                <w:color w:val="auto"/>
              </w:rPr>
            </w:pPr>
            <w:r>
              <w:rPr>
                <w:rFonts w:ascii="Calibri" w:cs="Calibri" w:eastAsia="Calibri" w:hAnsi="Calibri"/>
                <w:sz w:val="18"/>
                <w:szCs w:val="18"/>
                <w:color w:val="auto"/>
                <w:w w:val="95"/>
              </w:rPr>
              <w:t>F-7</w:t>
            </w:r>
          </w:p>
        </w:tc>
      </w:tr>
    </w:tbl>
    <w:p>
      <w:pPr>
        <w:spacing w:after="0" w:line="199" w:lineRule="exact"/>
        <w:rPr>
          <w:sz w:val="20"/>
          <w:szCs w:val="20"/>
          <w:color w:val="auto"/>
        </w:rPr>
      </w:pPr>
    </w:p>
    <w:p>
      <w:pPr>
        <w:ind w:left="340"/>
        <w:spacing w:after="0"/>
        <w:tabs>
          <w:tab w:leader="none" w:pos="620" w:val="left"/>
        </w:tabs>
        <w:rPr>
          <w:sz w:val="20"/>
          <w:szCs w:val="20"/>
          <w:color w:val="auto"/>
        </w:rPr>
      </w:pPr>
      <w:r>
        <w:rPr>
          <w:rFonts w:ascii="Calibri" w:cs="Calibri" w:eastAsia="Calibri" w:hAnsi="Calibri"/>
          <w:sz w:val="18"/>
          <w:szCs w:val="18"/>
          <w:color w:val="auto"/>
        </w:rPr>
        <w:t>2.</w:t>
      </w:r>
      <w:r>
        <w:rPr>
          <w:sz w:val="20"/>
          <w:szCs w:val="20"/>
          <w:color w:val="auto"/>
        </w:rPr>
        <w:tab/>
      </w:r>
      <w:r>
        <w:rPr>
          <w:rFonts w:ascii="Calibri" w:cs="Calibri" w:eastAsia="Calibri" w:hAnsi="Calibri"/>
          <w:sz w:val="17"/>
          <w:szCs w:val="17"/>
          <w:color w:val="auto"/>
        </w:rPr>
        <w:t>Consolidated Financial Statement Schedules</w:t>
      </w:r>
    </w:p>
    <w:p>
      <w:pPr>
        <w:spacing w:after="0" w:line="109" w:lineRule="exact"/>
        <w:rPr>
          <w:sz w:val="20"/>
          <w:szCs w:val="20"/>
          <w:color w:val="auto"/>
        </w:rPr>
      </w:pPr>
    </w:p>
    <w:p>
      <w:pPr>
        <w:ind w:left="340"/>
        <w:spacing w:after="0" w:line="235" w:lineRule="auto"/>
        <w:rPr>
          <w:sz w:val="20"/>
          <w:szCs w:val="20"/>
          <w:color w:val="auto"/>
        </w:rPr>
      </w:pPr>
      <w:r>
        <w:rPr>
          <w:rFonts w:ascii="Calibri" w:cs="Calibri" w:eastAsia="Calibri" w:hAnsi="Calibri"/>
          <w:sz w:val="18"/>
          <w:szCs w:val="18"/>
          <w:color w:val="auto"/>
        </w:rPr>
        <w:t>All schedules have been omited because they are not applicable, not required or the informaton is included elsewhere in the Consolidated Financial Statements or Notes thereto.</w:t>
      </w:r>
    </w:p>
    <w:p>
      <w:pPr>
        <w:spacing w:after="0" w:line="105" w:lineRule="exact"/>
        <w:rPr>
          <w:sz w:val="20"/>
          <w:szCs w:val="20"/>
          <w:color w:val="auto"/>
        </w:rPr>
      </w:pPr>
    </w:p>
    <w:p>
      <w:pPr>
        <w:ind w:left="340"/>
        <w:spacing w:after="0"/>
        <w:tabs>
          <w:tab w:leader="none" w:pos="620" w:val="left"/>
        </w:tabs>
        <w:rPr>
          <w:sz w:val="20"/>
          <w:szCs w:val="20"/>
          <w:color w:val="auto"/>
        </w:rPr>
      </w:pPr>
      <w:r>
        <w:rPr>
          <w:rFonts w:ascii="Calibri" w:cs="Calibri" w:eastAsia="Calibri" w:hAnsi="Calibri"/>
          <w:sz w:val="18"/>
          <w:szCs w:val="18"/>
          <w:color w:val="auto"/>
        </w:rPr>
        <w:t>3.</w:t>
      </w:r>
      <w:r>
        <w:rPr>
          <w:sz w:val="20"/>
          <w:szCs w:val="20"/>
          <w:color w:val="auto"/>
        </w:rPr>
        <w:tab/>
      </w:r>
      <w:r>
        <w:rPr>
          <w:rFonts w:ascii="Calibri" w:cs="Calibri" w:eastAsia="Calibri" w:hAnsi="Calibri"/>
          <w:sz w:val="17"/>
          <w:szCs w:val="17"/>
          <w:color w:val="auto"/>
        </w:rPr>
        <w:t>Exhibits</w:t>
      </w:r>
    </w:p>
    <w:p>
      <w:pPr>
        <w:spacing w:after="0" w:line="104"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The exhibits listed in the following Exhibit Index are fled or furnished with or incorporated by reference in this Annual Report.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780" w:type="dxa"/>
            <w:vAlign w:val="bottom"/>
            <w:gridSpan w:val="36"/>
          </w:tcPr>
          <w:p>
            <w:pPr>
              <w:jc w:val="center"/>
              <w:ind w:right="4480"/>
              <w:spacing w:after="0"/>
              <w:rPr>
                <w:sz w:val="20"/>
                <w:szCs w:val="20"/>
                <w:color w:val="auto"/>
              </w:rPr>
            </w:pPr>
            <w:r>
              <w:rPr>
                <w:rFonts w:ascii="Calibri" w:cs="Calibri" w:eastAsia="Calibri" w:hAnsi="Calibri"/>
                <w:sz w:val="18"/>
                <w:szCs w:val="18"/>
                <w:b w:val="1"/>
                <w:bCs w:val="1"/>
                <w:color w:val="auto"/>
                <w:w w:val="96"/>
              </w:rPr>
              <w:t>EXHIBIT INDEX</w:t>
            </w:r>
          </w:p>
        </w:tc>
        <w:tc>
          <w:tcPr>
            <w:tcW w:w="0" w:type="dxa"/>
            <w:vAlign w:val="bottom"/>
          </w:tcPr>
          <w:p>
            <w:pPr>
              <w:spacing w:after="0"/>
              <w:rPr>
                <w:sz w:val="1"/>
                <w:szCs w:val="1"/>
                <w:color w:val="auto"/>
              </w:rPr>
            </w:pPr>
          </w:p>
        </w:tc>
      </w:tr>
      <w:tr>
        <w:trPr>
          <w:trHeight w:val="401"/>
        </w:trPr>
        <w:tc>
          <w:tcPr>
            <w:tcW w:w="1240" w:type="dxa"/>
            <w:vAlign w:val="bottom"/>
            <w:gridSpan w:val="2"/>
          </w:tcPr>
          <w:p>
            <w:pPr>
              <w:ind w:left="360"/>
              <w:spacing w:after="0"/>
              <w:rPr>
                <w:sz w:val="20"/>
                <w:szCs w:val="20"/>
                <w:color w:val="auto"/>
              </w:rPr>
            </w:pPr>
            <w:r>
              <w:rPr>
                <w:rFonts w:ascii="Calibri" w:cs="Calibri" w:eastAsia="Calibri" w:hAnsi="Calibri"/>
                <w:sz w:val="14"/>
                <w:szCs w:val="14"/>
                <w:b w:val="1"/>
                <w:bCs w:val="1"/>
                <w:color w:val="auto"/>
              </w:rPr>
              <w:t>Exhibit</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780" w:type="dxa"/>
            <w:vAlign w:val="bottom"/>
            <w:gridSpan w:val="36"/>
            <w:vMerge w:val="restart"/>
          </w:tcPr>
          <w:p>
            <w:pPr>
              <w:ind w:left="1420"/>
              <w:spacing w:after="0"/>
              <w:rPr>
                <w:sz w:val="20"/>
                <w:szCs w:val="20"/>
                <w:color w:val="auto"/>
              </w:rPr>
            </w:pPr>
            <w:r>
              <w:rPr>
                <w:rFonts w:ascii="Calibri" w:cs="Calibri" w:eastAsia="Calibri" w:hAnsi="Calibri"/>
                <w:sz w:val="14"/>
                <w:szCs w:val="14"/>
                <w:b w:val="1"/>
                <w:bCs w:val="1"/>
                <w:color w:val="auto"/>
              </w:rPr>
              <w:t>Descripton</w:t>
            </w:r>
          </w:p>
        </w:tc>
        <w:tc>
          <w:tcPr>
            <w:tcW w:w="0" w:type="dxa"/>
            <w:vAlign w:val="bottom"/>
          </w:tcPr>
          <w:p>
            <w:pPr>
              <w:spacing w:after="0"/>
              <w:rPr>
                <w:sz w:val="1"/>
                <w:szCs w:val="1"/>
                <w:color w:val="auto"/>
              </w:rPr>
            </w:pPr>
          </w:p>
        </w:tc>
      </w:tr>
      <w:tr>
        <w:trPr>
          <w:trHeight w:val="170"/>
        </w:trPr>
        <w:tc>
          <w:tcPr>
            <w:tcW w:w="1240" w:type="dxa"/>
            <w:vAlign w:val="bottom"/>
            <w:gridSpan w:val="2"/>
          </w:tcPr>
          <w:p>
            <w:pPr>
              <w:ind w:left="340"/>
              <w:spacing w:after="0"/>
              <w:rPr>
                <w:sz w:val="20"/>
                <w:szCs w:val="20"/>
                <w:color w:val="auto"/>
              </w:rPr>
            </w:pPr>
            <w:r>
              <w:rPr>
                <w:rFonts w:ascii="Calibri" w:cs="Calibri" w:eastAsia="Calibri" w:hAnsi="Calibri"/>
                <w:sz w:val="14"/>
                <w:szCs w:val="14"/>
                <w:b w:val="1"/>
                <w:bCs w:val="1"/>
                <w:color w:val="auto"/>
              </w:rPr>
              <w:t>Number</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780" w:type="dxa"/>
            <w:vAlign w:val="bottom"/>
            <w:gridSpan w:val="3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Calibri" w:cs="Calibri" w:eastAsia="Calibri" w:hAnsi="Calibri"/>
                <w:sz w:val="18"/>
                <w:szCs w:val="18"/>
                <w:color w:val="auto"/>
              </w:rPr>
              <w:t>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40"/>
          </w:tcPr>
          <w:p>
            <w:pPr>
              <w:spacing w:after="0" w:line="169" w:lineRule="exact"/>
              <w:rPr>
                <w:rFonts w:ascii="Calibri" w:cs="Calibri" w:eastAsia="Calibri" w:hAnsi="Calibri"/>
                <w:sz w:val="18"/>
                <w:szCs w:val="18"/>
                <w:color w:val="0000FF"/>
                <w:w w:val="97"/>
              </w:rPr>
            </w:pPr>
            <w:hyperlink r:id="rId84">
              <w:r>
                <w:rPr>
                  <w:rFonts w:ascii="Calibri" w:cs="Calibri" w:eastAsia="Calibri" w:hAnsi="Calibri"/>
                  <w:sz w:val="18"/>
                  <w:szCs w:val="18"/>
                  <w:color w:val="0000FF"/>
                  <w:w w:val="97"/>
                </w:rPr>
                <w:t>Agreement and Plan of Merger, dated as of March 19, 2021, among Greenidge Generaton Holdings Inc., Support.com, Inc. and GGH Merger</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39"/>
          </w:tcPr>
          <w:p>
            <w:pPr>
              <w:spacing w:after="0" w:line="156" w:lineRule="exact"/>
              <w:rPr>
                <w:rFonts w:ascii="Calibri" w:cs="Calibri" w:eastAsia="Calibri" w:hAnsi="Calibri"/>
                <w:sz w:val="16"/>
                <w:szCs w:val="16"/>
                <w:color w:val="0000FF"/>
              </w:rPr>
            </w:pPr>
            <w:hyperlink r:id="rId84">
              <w:r>
                <w:rPr>
                  <w:rFonts w:ascii="Calibri" w:cs="Calibri" w:eastAsia="Calibri" w:hAnsi="Calibri"/>
                  <w:sz w:val="16"/>
                  <w:szCs w:val="16"/>
                  <w:color w:val="0000FF"/>
                </w:rPr>
                <w:t>Sub, Inc. (incorporated by reference to Annex A to the proxy statement/prospectus forming part of the Registraton Statement on Form S-4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34"/>
          </w:tcPr>
          <w:p>
            <w:pPr>
              <w:spacing w:after="0" w:line="169" w:lineRule="exact"/>
              <w:rPr>
                <w:rFonts w:ascii="Calibri" w:cs="Calibri" w:eastAsia="Calibri" w:hAnsi="Calibri"/>
                <w:sz w:val="18"/>
                <w:szCs w:val="18"/>
                <w:color w:val="0000FF"/>
              </w:rPr>
            </w:pPr>
            <w:hyperlink r:id="rId84">
              <w:r>
                <w:rPr>
                  <w:rFonts w:ascii="Calibri" w:cs="Calibri" w:eastAsia="Calibri" w:hAnsi="Calibri"/>
                  <w:sz w:val="18"/>
                  <w:szCs w:val="18"/>
                  <w:color w:val="0000FF"/>
                </w:rPr>
                <w:t>fled on May 4, 2021)</w:t>
              </w:r>
              <w:r>
                <w:rPr>
                  <w:rFonts w:ascii="Calibri" w:cs="Calibri" w:eastAsia="Calibri" w:hAnsi="Calibri"/>
                  <w:sz w:val="18"/>
                  <w:szCs w:val="18"/>
                  <w:color w:val="00000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line="209" w:lineRule="exact"/>
              <w:rPr>
                <w:sz w:val="20"/>
                <w:szCs w:val="20"/>
                <w:color w:val="auto"/>
              </w:rPr>
            </w:pPr>
            <w:r>
              <w:rPr>
                <w:rFonts w:ascii="Calibri" w:cs="Calibri" w:eastAsia="Calibri" w:hAnsi="Calibri"/>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gridSpan w:val="40"/>
          </w:tcPr>
          <w:p>
            <w:pPr>
              <w:spacing w:after="0" w:line="209" w:lineRule="exact"/>
              <w:rPr>
                <w:rFonts w:ascii="Calibri" w:cs="Calibri" w:eastAsia="Calibri" w:hAnsi="Calibri"/>
                <w:sz w:val="18"/>
                <w:szCs w:val="18"/>
                <w:color w:val="0000FF"/>
                <w:w w:val="99"/>
              </w:rPr>
            </w:pPr>
            <w:hyperlink r:id="rId85">
              <w:r>
                <w:rPr>
                  <w:rFonts w:ascii="Calibri" w:cs="Calibri" w:eastAsia="Calibri" w:hAnsi="Calibri"/>
                  <w:sz w:val="18"/>
                  <w:szCs w:val="18"/>
                  <w:color w:val="0000FF"/>
                  <w:w w:val="99"/>
                </w:rPr>
                <w:t>Second Amended and Restated Certfcate of Incorporaton of Greenidge Generaton Holdings Inc., dated September 6, 2022 (incorporated</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60" w:type="dxa"/>
            <w:vAlign w:val="bottom"/>
            <w:tcBorders>
              <w:top w:val="single" w:sz="8" w:color="0000FF"/>
              <w:bottom w:val="single" w:sz="8" w:color="0000FF"/>
            </w:tcBorders>
            <w:gridSpan w:val="13"/>
          </w:tcPr>
          <w:p>
            <w:pPr>
              <w:spacing w:after="0" w:line="156" w:lineRule="exact"/>
              <w:rPr>
                <w:rFonts w:ascii="Calibri" w:cs="Calibri" w:eastAsia="Calibri" w:hAnsi="Calibri"/>
                <w:sz w:val="16"/>
                <w:szCs w:val="16"/>
                <w:color w:val="0000FF"/>
              </w:rPr>
            </w:pPr>
            <w:hyperlink r:id="rId85">
              <w:r>
                <w:rPr>
                  <w:rFonts w:ascii="Calibri" w:cs="Calibri" w:eastAsia="Calibri" w:hAnsi="Calibri"/>
                  <w:sz w:val="16"/>
                  <w:szCs w:val="16"/>
                  <w:color w:val="0000FF"/>
                </w:rPr>
                <w:t>by reference to Exhibit 3.1 to the Registraton Statement on Form S-8 fled on October 31, 2022).</w:t>
              </w:r>
            </w:hyperlink>
          </w:p>
        </w:tc>
        <w:tc>
          <w:tcPr>
            <w:tcW w:w="29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ind w:left="20"/>
              <w:spacing w:after="0"/>
              <w:rPr>
                <w:sz w:val="20"/>
                <w:szCs w:val="20"/>
                <w:color w:val="auto"/>
              </w:rPr>
            </w:pPr>
            <w:r>
              <w:rPr>
                <w:rFonts w:ascii="Calibri" w:cs="Calibri" w:eastAsia="Calibri" w:hAnsi="Calibri"/>
                <w:sz w:val="18"/>
                <w:szCs w:val="18"/>
                <w:color w:val="auto"/>
              </w:rPr>
              <w:t>3.1A</w:t>
            </w:r>
          </w:p>
        </w:tc>
        <w:tc>
          <w:tcPr>
            <w:tcW w:w="20" w:type="dxa"/>
            <w:vAlign w:val="bottom"/>
          </w:tcPr>
          <w:p>
            <w:pPr>
              <w:spacing w:after="0"/>
              <w:rPr>
                <w:sz w:val="19"/>
                <w:szCs w:val="19"/>
                <w:color w:val="auto"/>
              </w:rPr>
            </w:pPr>
          </w:p>
        </w:tc>
        <w:tc>
          <w:tcPr>
            <w:tcW w:w="10000" w:type="dxa"/>
            <w:vAlign w:val="bottom"/>
            <w:gridSpan w:val="40"/>
          </w:tcPr>
          <w:p>
            <w:pPr>
              <w:spacing w:after="0"/>
              <w:rPr>
                <w:rFonts w:ascii="Calibri" w:cs="Calibri" w:eastAsia="Calibri" w:hAnsi="Calibri"/>
                <w:sz w:val="18"/>
                <w:szCs w:val="18"/>
                <w:color w:val="0000FF"/>
              </w:rPr>
            </w:pPr>
            <w:hyperlink r:id="rId86">
              <w:r>
                <w:rPr>
                  <w:rFonts w:ascii="Calibri" w:cs="Calibri" w:eastAsia="Calibri" w:hAnsi="Calibri"/>
                  <w:sz w:val="18"/>
                  <w:szCs w:val="18"/>
                  <w:color w:val="0000FF"/>
                </w:rPr>
                <w:t>Certfcate of Amendment to the Second Amended and Restated Certfcate of Incorporaton of Greenidge Generaton Holdings Inc.,</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24"/>
          </w:tcPr>
          <w:p>
            <w:pPr>
              <w:spacing w:after="0" w:line="156" w:lineRule="exact"/>
              <w:rPr>
                <w:rFonts w:ascii="Calibri" w:cs="Calibri" w:eastAsia="Calibri" w:hAnsi="Calibri"/>
                <w:sz w:val="16"/>
                <w:szCs w:val="16"/>
                <w:color w:val="0000FF"/>
              </w:rPr>
            </w:pPr>
            <w:hyperlink r:id="rId86">
              <w:r>
                <w:rPr>
                  <w:rFonts w:ascii="Calibri" w:cs="Calibri" w:eastAsia="Calibri" w:hAnsi="Calibri"/>
                  <w:sz w:val="16"/>
                  <w:szCs w:val="16"/>
                  <w:color w:val="0000FF"/>
                </w:rPr>
                <w:t>efectve May 16, 2023 (incorporated by reference to Exhibit 3.1 to the Current Report on Form 8-K fled on May 5, 2023).</w:t>
              </w:r>
            </w:hyperlink>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Calibri" w:cs="Calibri" w:eastAsia="Calibri" w:hAnsi="Calibri"/>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0"/>
          </w:tcPr>
          <w:p>
            <w:pPr>
              <w:spacing w:after="0"/>
              <w:rPr>
                <w:rFonts w:ascii="Calibri" w:cs="Calibri" w:eastAsia="Calibri" w:hAnsi="Calibri"/>
                <w:sz w:val="18"/>
                <w:szCs w:val="18"/>
                <w:color w:val="0000FF"/>
              </w:rPr>
            </w:pPr>
            <w:hyperlink r:id="rId87">
              <w:r>
                <w:rPr>
                  <w:rFonts w:ascii="Calibri" w:cs="Calibri" w:eastAsia="Calibri" w:hAnsi="Calibri"/>
                  <w:sz w:val="18"/>
                  <w:szCs w:val="18"/>
                  <w:color w:val="0000FF"/>
                </w:rPr>
                <w:t>Amended and Restated Bylaws of Greenidge Generaton Holdings Inc. (incorporated by reference to Exhibit 3.2 to the Registraton</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23"/>
          </w:tcPr>
          <w:p>
            <w:pPr>
              <w:spacing w:after="0" w:line="156" w:lineRule="exact"/>
              <w:rPr>
                <w:rFonts w:ascii="Calibri" w:cs="Calibri" w:eastAsia="Calibri" w:hAnsi="Calibri"/>
                <w:sz w:val="16"/>
                <w:szCs w:val="16"/>
                <w:color w:val="0000FF"/>
              </w:rPr>
            </w:pPr>
            <w:hyperlink r:id="rId87">
              <w:r>
                <w:rPr>
                  <w:rFonts w:ascii="Calibri" w:cs="Calibri" w:eastAsia="Calibri" w:hAnsi="Calibri"/>
                  <w:sz w:val="16"/>
                  <w:szCs w:val="16"/>
                  <w:color w:val="0000FF"/>
                </w:rPr>
                <w:t>Statement on Form S-4 fled on July 16, 2021)</w:t>
              </w:r>
              <w:r>
                <w:rPr>
                  <w:rFonts w:ascii="Calibri" w:cs="Calibri" w:eastAsia="Calibri" w:hAnsi="Calibri"/>
                  <w:sz w:val="16"/>
                  <w:szCs w:val="16"/>
                  <w:color w:val="000000"/>
                </w:rPr>
                <w:t>.</w:t>
              </w:r>
            </w:hyperlink>
          </w:p>
        </w:tc>
        <w:tc>
          <w:tcPr>
            <w:tcW w:w="16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Calibri" w:cs="Calibri" w:eastAsia="Calibri" w:hAnsi="Calibri"/>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0"/>
          </w:tcPr>
          <w:p>
            <w:pPr>
              <w:spacing w:after="0"/>
              <w:rPr>
                <w:rFonts w:ascii="Calibri" w:cs="Calibri" w:eastAsia="Calibri" w:hAnsi="Calibri"/>
                <w:sz w:val="18"/>
                <w:szCs w:val="18"/>
                <w:color w:val="0000FF"/>
                <w:w w:val="98"/>
              </w:rPr>
            </w:pPr>
            <w:hyperlink r:id="rId88">
              <w:r>
                <w:rPr>
                  <w:rFonts w:ascii="Calibri" w:cs="Calibri" w:eastAsia="Calibri" w:hAnsi="Calibri"/>
                  <w:sz w:val="18"/>
                  <w:szCs w:val="18"/>
                  <w:color w:val="0000FF"/>
                  <w:w w:val="98"/>
                </w:rPr>
                <w:t>Indenture dated as of October 13, 2021 between Greenidge Generaton Holdings Inc. and Wilmington Savings Fund Society, FSB, as trustee</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33"/>
          </w:tcPr>
          <w:p>
            <w:pPr>
              <w:spacing w:after="0" w:line="156" w:lineRule="exact"/>
              <w:rPr>
                <w:rFonts w:ascii="Calibri" w:cs="Calibri" w:eastAsia="Calibri" w:hAnsi="Calibri"/>
                <w:sz w:val="16"/>
                <w:szCs w:val="16"/>
                <w:color w:val="0000FF"/>
              </w:rPr>
            </w:pPr>
            <w:hyperlink r:id="rId88">
              <w:r>
                <w:rPr>
                  <w:rFonts w:ascii="Calibri" w:cs="Calibri" w:eastAsia="Calibri" w:hAnsi="Calibri"/>
                  <w:sz w:val="16"/>
                  <w:szCs w:val="16"/>
                  <w:color w:val="0000FF"/>
                </w:rPr>
                <w:t>(incorporated by reference to Exhibit 4.1 to the Current Report on Form 8-K fled on October 13, 2021)</w:t>
              </w:r>
              <w:r>
                <w:rPr>
                  <w:rFonts w:ascii="Calibri" w:cs="Calibri" w:eastAsia="Calibri" w:hAnsi="Calibri"/>
                  <w:sz w:val="16"/>
                  <w:szCs w:val="16"/>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Calibri" w:cs="Calibri" w:eastAsia="Calibri" w:hAnsi="Calibri"/>
                <w:sz w:val="18"/>
                <w:szCs w:val="18"/>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0"/>
          </w:tcPr>
          <w:p>
            <w:pPr>
              <w:spacing w:after="0"/>
              <w:rPr>
                <w:rFonts w:ascii="Calibri" w:cs="Calibri" w:eastAsia="Calibri" w:hAnsi="Calibri"/>
                <w:sz w:val="18"/>
                <w:szCs w:val="18"/>
                <w:color w:val="0000FF"/>
              </w:rPr>
            </w:pPr>
            <w:hyperlink r:id="rId89">
              <w:r>
                <w:rPr>
                  <w:rFonts w:ascii="Calibri" w:cs="Calibri" w:eastAsia="Calibri" w:hAnsi="Calibri"/>
                  <w:sz w:val="18"/>
                  <w:szCs w:val="18"/>
                  <w:color w:val="0000FF"/>
                </w:rPr>
                <w:t>First Supplemental Indenture dated as of October 13, 2021 between Greenidge Generaton Holdings Inc. and Wilmington Savings Fund</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6"/>
          </w:tcPr>
          <w:p>
            <w:pPr>
              <w:spacing w:after="0" w:line="156" w:lineRule="exact"/>
              <w:rPr>
                <w:rFonts w:ascii="Calibri" w:cs="Calibri" w:eastAsia="Calibri" w:hAnsi="Calibri"/>
                <w:sz w:val="16"/>
                <w:szCs w:val="16"/>
                <w:color w:val="0000FF"/>
              </w:rPr>
            </w:pPr>
            <w:hyperlink r:id="rId89">
              <w:r>
                <w:rPr>
                  <w:rFonts w:ascii="Calibri" w:cs="Calibri" w:eastAsia="Calibri" w:hAnsi="Calibri"/>
                  <w:sz w:val="16"/>
                  <w:szCs w:val="16"/>
                  <w:color w:val="0000FF"/>
                </w:rPr>
                <w:t>Society, FSB, as trustee (incorporated by reference to Exhibit 4.2 to the Current Report on Form 8-K fled on October 13, 2021)</w:t>
              </w:r>
              <w:r>
                <w:rPr>
                  <w:rFonts w:ascii="Calibri" w:cs="Calibri" w:eastAsia="Calibri" w:hAnsi="Calibri"/>
                  <w:sz w:val="16"/>
                  <w:szCs w:val="16"/>
                  <w:color w:val="000000"/>
                </w:rPr>
                <w:t>.</w:t>
              </w:r>
            </w:hyperlink>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ind w:left="20"/>
              <w:spacing w:after="0"/>
              <w:rPr>
                <w:sz w:val="20"/>
                <w:szCs w:val="20"/>
                <w:color w:val="auto"/>
              </w:rPr>
            </w:pPr>
            <w:r>
              <w:rPr>
                <w:rFonts w:ascii="Calibri" w:cs="Calibri" w:eastAsia="Calibri" w:hAnsi="Calibri"/>
                <w:sz w:val="18"/>
                <w:szCs w:val="18"/>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20" w:type="dxa"/>
            <w:vAlign w:val="bottom"/>
            <w:tcBorders>
              <w:top w:val="single" w:sz="8" w:color="0000FF"/>
            </w:tcBorders>
            <w:gridSpan w:val="19"/>
          </w:tcPr>
          <w:p>
            <w:pPr>
              <w:spacing w:after="0"/>
              <w:rPr>
                <w:rFonts w:ascii="Calibri" w:cs="Calibri" w:eastAsia="Calibri" w:hAnsi="Calibri"/>
                <w:sz w:val="18"/>
                <w:szCs w:val="18"/>
                <w:color w:val="0000FF"/>
              </w:rPr>
            </w:pPr>
            <w:hyperlink r:id="rId89">
              <w:r>
                <w:rPr>
                  <w:rFonts w:ascii="Calibri" w:cs="Calibri" w:eastAsia="Calibri" w:hAnsi="Calibri"/>
                  <w:sz w:val="18"/>
                  <w:szCs w:val="18"/>
                  <w:color w:val="0000FF"/>
                </w:rPr>
                <w:t>Form of 8.50% Senior Note due 2026 (included as Exhibit A to Exhibit 4.2 above)</w:t>
              </w:r>
            </w:hyperlink>
            <w:r>
              <w:rPr>
                <w:rFonts w:ascii="Calibri" w:cs="Calibri" w:eastAsia="Calibri" w:hAnsi="Calibri"/>
                <w:sz w:val="18"/>
                <w:szCs w:val="18"/>
                <w:color w:val="000000"/>
              </w:rPr>
              <w:t>.</w:t>
            </w:r>
          </w:p>
        </w:tc>
        <w:tc>
          <w:tcPr>
            <w:tcW w:w="1080" w:type="dxa"/>
            <w:vAlign w:val="bottom"/>
            <w:gridSpan w:val="21"/>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line="209" w:lineRule="exact"/>
              <w:rPr>
                <w:sz w:val="20"/>
                <w:szCs w:val="20"/>
                <w:color w:val="auto"/>
              </w:rPr>
            </w:pPr>
            <w:r>
              <w:rPr>
                <w:rFonts w:ascii="Calibri" w:cs="Calibri" w:eastAsia="Calibri" w:hAnsi="Calibri"/>
                <w:sz w:val="18"/>
                <w:szCs w:val="18"/>
                <w:color w:val="auto"/>
              </w:rPr>
              <w:t>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40" w:type="dxa"/>
            <w:vAlign w:val="bottom"/>
            <w:tcBorders>
              <w:top w:val="single" w:sz="8" w:color="0000FF"/>
              <w:bottom w:val="single" w:sz="8" w:color="0000FF"/>
            </w:tcBorders>
            <w:gridSpan w:val="3"/>
          </w:tcPr>
          <w:p>
            <w:pPr>
              <w:spacing w:after="0" w:line="209" w:lineRule="exact"/>
              <w:rPr>
                <w:sz w:val="20"/>
                <w:szCs w:val="20"/>
                <w:color w:val="auto"/>
              </w:rPr>
            </w:pPr>
            <w:r>
              <w:rPr>
                <w:rFonts w:ascii="Calibri" w:cs="Calibri" w:eastAsia="Calibri" w:hAnsi="Calibri"/>
                <w:sz w:val="18"/>
                <w:szCs w:val="18"/>
                <w:color w:val="0000FF"/>
                <w:w w:val="99"/>
              </w:rPr>
              <w:t>Descripton of Registrant's Securites.</w:t>
            </w:r>
          </w:p>
        </w:tc>
        <w:tc>
          <w:tcPr>
            <w:tcW w:w="3040" w:type="dxa"/>
            <w:vAlign w:val="bottom"/>
            <w:tcBorders>
              <w:top w:val="single" w:sz="8" w:color="0000FF"/>
            </w:tcBorders>
            <w:gridSpan w:val="6"/>
          </w:tcPr>
          <w:p>
            <w:pPr>
              <w:spacing w:after="0"/>
              <w:rPr>
                <w:sz w:val="18"/>
                <w:szCs w:val="18"/>
                <w:color w:val="auto"/>
              </w:rPr>
            </w:pPr>
          </w:p>
        </w:tc>
        <w:tc>
          <w:tcPr>
            <w:tcW w:w="4320" w:type="dxa"/>
            <w:vAlign w:val="bottom"/>
            <w:gridSpan w:val="3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line="209" w:lineRule="exact"/>
              <w:rPr>
                <w:sz w:val="20"/>
                <w:szCs w:val="20"/>
                <w:color w:val="auto"/>
              </w:rPr>
            </w:pPr>
            <w:r>
              <w:rPr>
                <w:rFonts w:ascii="Calibri" w:cs="Calibri" w:eastAsia="Calibri" w:hAnsi="Calibri"/>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gridSpan w:val="40"/>
          </w:tcPr>
          <w:p>
            <w:pPr>
              <w:spacing w:after="0" w:line="209" w:lineRule="exact"/>
              <w:rPr>
                <w:rFonts w:ascii="Calibri" w:cs="Calibri" w:eastAsia="Calibri" w:hAnsi="Calibri"/>
                <w:sz w:val="18"/>
                <w:szCs w:val="18"/>
                <w:color w:val="0000FF"/>
                <w:w w:val="99"/>
              </w:rPr>
            </w:pPr>
            <w:hyperlink r:id="rId90">
              <w:r>
                <w:rPr>
                  <w:rFonts w:ascii="Calibri" w:cs="Calibri" w:eastAsia="Calibri" w:hAnsi="Calibri"/>
                  <w:sz w:val="18"/>
                  <w:szCs w:val="18"/>
                  <w:color w:val="0000FF"/>
                  <w:w w:val="99"/>
                </w:rPr>
                <w:t>Purchase and Sale Agreement, dated October 21, 2021, between LSC Communicatons MCL LLC and 300 Jones Road LLC. (incorporated by</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30"/>
          </w:tcPr>
          <w:p>
            <w:pPr>
              <w:spacing w:after="0" w:line="156" w:lineRule="exact"/>
              <w:rPr>
                <w:rFonts w:ascii="Calibri" w:cs="Calibri" w:eastAsia="Calibri" w:hAnsi="Calibri"/>
                <w:sz w:val="16"/>
                <w:szCs w:val="16"/>
                <w:color w:val="0000FF"/>
              </w:rPr>
            </w:pPr>
            <w:hyperlink r:id="rId90">
              <w:r>
                <w:rPr>
                  <w:rFonts w:ascii="Calibri" w:cs="Calibri" w:eastAsia="Calibri" w:hAnsi="Calibri"/>
                  <w:sz w:val="16"/>
                  <w:szCs w:val="16"/>
                  <w:color w:val="0000FF"/>
                </w:rPr>
                <w:t>reference to Exhibit 10.8 to the Registraton Statement on Form S-1 fled on December 1, 2021)</w:t>
              </w:r>
              <w:r>
                <w:rPr>
                  <w:rFonts w:ascii="Calibri" w:cs="Calibri" w:eastAsia="Calibri" w:hAnsi="Calibri"/>
                  <w:sz w:val="16"/>
                  <w:szCs w:val="16"/>
                  <w:color w:val="000000"/>
                </w:rPr>
                <w:t>.</w:t>
              </w:r>
            </w:hyperlink>
          </w:p>
        </w:tc>
        <w:tc>
          <w:tcPr>
            <w:tcW w:w="4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gridSpan w:val="2"/>
          </w:tcPr>
          <w:p>
            <w:pPr>
              <w:ind w:left="20"/>
              <w:spacing w:after="0"/>
              <w:rPr>
                <w:sz w:val="20"/>
                <w:szCs w:val="20"/>
                <w:color w:val="auto"/>
              </w:rPr>
            </w:pPr>
            <w:r>
              <w:rPr>
                <w:rFonts w:ascii="Calibri" w:cs="Calibri" w:eastAsia="Calibri" w:hAnsi="Calibri"/>
                <w:sz w:val="18"/>
                <w:szCs w:val="18"/>
                <w:color w:val="auto"/>
              </w:rPr>
              <w:t>10.2†</w:t>
            </w:r>
          </w:p>
        </w:tc>
        <w:tc>
          <w:tcPr>
            <w:tcW w:w="20" w:type="dxa"/>
            <w:vAlign w:val="bottom"/>
          </w:tcPr>
          <w:p>
            <w:pPr>
              <w:spacing w:after="0"/>
              <w:rPr>
                <w:sz w:val="19"/>
                <w:szCs w:val="19"/>
                <w:color w:val="auto"/>
              </w:rPr>
            </w:pPr>
          </w:p>
        </w:tc>
        <w:tc>
          <w:tcPr>
            <w:tcW w:w="10000" w:type="dxa"/>
            <w:vAlign w:val="bottom"/>
            <w:gridSpan w:val="40"/>
          </w:tcPr>
          <w:p>
            <w:pPr>
              <w:spacing w:after="0"/>
              <w:rPr>
                <w:rFonts w:ascii="Calibri" w:cs="Calibri" w:eastAsia="Calibri" w:hAnsi="Calibri"/>
                <w:sz w:val="18"/>
                <w:szCs w:val="18"/>
                <w:color w:val="0000FF"/>
                <w:w w:val="98"/>
              </w:rPr>
            </w:pPr>
            <w:hyperlink r:id="rId91">
              <w:r>
                <w:rPr>
                  <w:rFonts w:ascii="Calibri" w:cs="Calibri" w:eastAsia="Calibri" w:hAnsi="Calibri"/>
                  <w:sz w:val="18"/>
                  <w:szCs w:val="18"/>
                  <w:color w:val="0000FF"/>
                  <w:w w:val="98"/>
                </w:rPr>
                <w:t xml:space="preserve">Greenidge Generaton Holdings Inc. </w:t>
              </w:r>
            </w:hyperlink>
            <w:r>
              <w:rPr>
                <w:rFonts w:ascii="Calibri" w:cs="Calibri" w:eastAsia="Calibri" w:hAnsi="Calibri"/>
                <w:sz w:val="18"/>
                <w:szCs w:val="18"/>
                <w:color w:val="0000FF"/>
                <w:w w:val="98"/>
              </w:rPr>
              <w:t xml:space="preserve">Second </w:t>
            </w:r>
            <w:hyperlink r:id="rId91">
              <w:r>
                <w:rPr>
                  <w:rFonts w:ascii="Calibri" w:cs="Calibri" w:eastAsia="Calibri" w:hAnsi="Calibri"/>
                  <w:sz w:val="18"/>
                  <w:szCs w:val="18"/>
                  <w:color w:val="0000FF"/>
                  <w:w w:val="98"/>
                </w:rPr>
                <w:t>Amended and Restated 2021 Equity Incentve Plan (incorporated by reference to Annex A to the</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37"/>
          </w:tcPr>
          <w:p>
            <w:pPr>
              <w:spacing w:after="0" w:line="156" w:lineRule="exact"/>
              <w:rPr>
                <w:rFonts w:ascii="Calibri" w:cs="Calibri" w:eastAsia="Calibri" w:hAnsi="Calibri"/>
                <w:sz w:val="16"/>
                <w:szCs w:val="16"/>
                <w:color w:val="0000FF"/>
              </w:rPr>
            </w:pPr>
            <w:hyperlink r:id="rId91">
              <w:r>
                <w:rPr>
                  <w:rFonts w:ascii="Calibri" w:cs="Calibri" w:eastAsia="Calibri" w:hAnsi="Calibri"/>
                  <w:sz w:val="16"/>
                  <w:szCs w:val="16"/>
                  <w:color w:val="0000FF"/>
                </w:rPr>
                <w:t>Defnitve Informaton Statement on Form DEF 14C fled on November 18, 2024).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gridSpan w:val="2"/>
          </w:tcPr>
          <w:p>
            <w:pPr>
              <w:ind w:left="20"/>
              <w:spacing w:after="0"/>
              <w:rPr>
                <w:sz w:val="20"/>
                <w:szCs w:val="20"/>
                <w:color w:val="auto"/>
              </w:rPr>
            </w:pPr>
            <w:r>
              <w:rPr>
                <w:rFonts w:ascii="Calibri" w:cs="Calibri" w:eastAsia="Calibri" w:hAnsi="Calibri"/>
                <w:sz w:val="18"/>
                <w:szCs w:val="18"/>
                <w:color w:val="auto"/>
              </w:rPr>
              <w:t>10.3†</w:t>
            </w:r>
          </w:p>
        </w:tc>
        <w:tc>
          <w:tcPr>
            <w:tcW w:w="20" w:type="dxa"/>
            <w:vAlign w:val="bottom"/>
          </w:tcPr>
          <w:p>
            <w:pPr>
              <w:spacing w:after="0"/>
              <w:rPr>
                <w:sz w:val="19"/>
                <w:szCs w:val="19"/>
                <w:color w:val="auto"/>
              </w:rPr>
            </w:pPr>
          </w:p>
        </w:tc>
        <w:tc>
          <w:tcPr>
            <w:tcW w:w="10000" w:type="dxa"/>
            <w:vAlign w:val="bottom"/>
            <w:gridSpan w:val="40"/>
          </w:tcPr>
          <w:p>
            <w:pPr>
              <w:spacing w:after="0"/>
              <w:rPr>
                <w:rFonts w:ascii="Calibri" w:cs="Calibri" w:eastAsia="Calibri" w:hAnsi="Calibri"/>
                <w:sz w:val="18"/>
                <w:szCs w:val="18"/>
                <w:color w:val="0000FF"/>
              </w:rPr>
            </w:pPr>
            <w:hyperlink r:id="rId92">
              <w:r>
                <w:rPr>
                  <w:rFonts w:ascii="Calibri" w:cs="Calibri" w:eastAsia="Calibri" w:hAnsi="Calibri"/>
                  <w:sz w:val="18"/>
                  <w:szCs w:val="18"/>
                  <w:color w:val="0000FF"/>
                </w:rPr>
                <w:t>Form of Stock Opton Agreement for Greenidge Generaton Holdings Inc. 2021 Equity Incentve Plan (incorporated by reference to Exhibit</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6"/>
          </w:tcPr>
          <w:p>
            <w:pPr>
              <w:spacing w:after="0" w:line="156" w:lineRule="exact"/>
              <w:rPr>
                <w:rFonts w:ascii="Calibri" w:cs="Calibri" w:eastAsia="Calibri" w:hAnsi="Calibri"/>
                <w:sz w:val="16"/>
                <w:szCs w:val="16"/>
                <w:color w:val="0000FF"/>
              </w:rPr>
            </w:pPr>
            <w:hyperlink r:id="rId92">
              <w:r>
                <w:rPr>
                  <w:rFonts w:ascii="Calibri" w:cs="Calibri" w:eastAsia="Calibri" w:hAnsi="Calibri"/>
                  <w:sz w:val="16"/>
                  <w:szCs w:val="16"/>
                  <w:color w:val="0000FF"/>
                </w:rPr>
                <w:t>10.</w:t>
              </w:r>
              <w:r>
                <w:rPr>
                  <w:rFonts w:ascii="Calibri" w:cs="Calibri" w:eastAsia="Calibri" w:hAnsi="Calibri"/>
                  <w:sz w:val="16"/>
                  <w:szCs w:val="16"/>
                  <w:u w:val="single" w:color="auto"/>
                  <w:color w:val="0000FF"/>
                </w:rPr>
                <w:t>2</w:t>
              </w:r>
              <w:r>
                <w:rPr>
                  <w:rFonts w:ascii="Calibri" w:cs="Calibri" w:eastAsia="Calibri" w:hAnsi="Calibri"/>
                  <w:sz w:val="16"/>
                  <w:szCs w:val="16"/>
                  <w:color w:val="0000FF"/>
                </w:rPr>
                <w:t xml:space="preserve"> to the Registraton Statement on Form S-4 fled on May 4, 2021).</w:t>
              </w:r>
            </w:hyperlink>
          </w:p>
        </w:tc>
        <w:tc>
          <w:tcPr>
            <w:tcW w:w="4800" w:type="dxa"/>
            <w:vAlign w:val="bottom"/>
            <w:tcBorders>
              <w:top w:val="single" w:sz="8" w:color="0000FF"/>
            </w:tcBorders>
            <w:gridSpan w:val="2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ind w:left="20"/>
              <w:spacing w:after="0"/>
              <w:rPr>
                <w:sz w:val="20"/>
                <w:szCs w:val="20"/>
                <w:color w:val="auto"/>
              </w:rPr>
            </w:pPr>
            <w:r>
              <w:rPr>
                <w:rFonts w:ascii="Calibri" w:cs="Calibri" w:eastAsia="Calibri" w:hAnsi="Calibri"/>
                <w:sz w:val="18"/>
                <w:szCs w:val="18"/>
                <w:color w:val="auto"/>
              </w:rPr>
              <w:t>10.4†</w:t>
            </w:r>
          </w:p>
        </w:tc>
        <w:tc>
          <w:tcPr>
            <w:tcW w:w="20" w:type="dxa"/>
            <w:vAlign w:val="bottom"/>
          </w:tcPr>
          <w:p>
            <w:pPr>
              <w:spacing w:after="0"/>
              <w:rPr>
                <w:sz w:val="19"/>
                <w:szCs w:val="19"/>
                <w:color w:val="auto"/>
              </w:rPr>
            </w:pPr>
          </w:p>
        </w:tc>
        <w:tc>
          <w:tcPr>
            <w:tcW w:w="10000" w:type="dxa"/>
            <w:vAlign w:val="bottom"/>
            <w:gridSpan w:val="40"/>
          </w:tcPr>
          <w:p>
            <w:pPr>
              <w:spacing w:after="0"/>
              <w:rPr>
                <w:rFonts w:ascii="Calibri" w:cs="Calibri" w:eastAsia="Calibri" w:hAnsi="Calibri"/>
                <w:sz w:val="18"/>
                <w:szCs w:val="18"/>
                <w:color w:val="0000FF"/>
                <w:w w:val="98"/>
              </w:rPr>
            </w:pPr>
            <w:hyperlink r:id="rId93">
              <w:r>
                <w:rPr>
                  <w:rFonts w:ascii="Calibri" w:cs="Calibri" w:eastAsia="Calibri" w:hAnsi="Calibri"/>
                  <w:sz w:val="18"/>
                  <w:szCs w:val="18"/>
                  <w:color w:val="0000FF"/>
                  <w:w w:val="98"/>
                </w:rPr>
                <w:t>Form of Restricted Stock Award Agreement for Greenidge Generaton Holdings Inc. 2021 Equity Incentve Plan (incorporated by reference to</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8"/>
          </w:tcPr>
          <w:p>
            <w:pPr>
              <w:spacing w:after="0" w:line="156" w:lineRule="exact"/>
              <w:rPr>
                <w:rFonts w:ascii="Calibri" w:cs="Calibri" w:eastAsia="Calibri" w:hAnsi="Calibri"/>
                <w:sz w:val="16"/>
                <w:szCs w:val="16"/>
                <w:color w:val="0000FF"/>
              </w:rPr>
            </w:pPr>
            <w:hyperlink r:id="rId93">
              <w:r>
                <w:rPr>
                  <w:rFonts w:ascii="Calibri" w:cs="Calibri" w:eastAsia="Calibri" w:hAnsi="Calibri"/>
                  <w:sz w:val="16"/>
                  <w:szCs w:val="16"/>
                  <w:color w:val="0000FF"/>
                </w:rPr>
                <w:t>Exhibit 10.3 to the Registraton Statement on Form S-4 fled on May 4, 2021).</w:t>
              </w:r>
            </w:hyperlink>
          </w:p>
        </w:tc>
        <w:tc>
          <w:tcPr>
            <w:tcW w:w="4500" w:type="dxa"/>
            <w:vAlign w:val="bottom"/>
            <w:tcBorders>
              <w:top w:val="single" w:sz="8" w:color="0000FF"/>
            </w:tcBorders>
            <w:gridSpan w:val="30"/>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ind w:left="20"/>
              <w:spacing w:after="0"/>
              <w:rPr>
                <w:sz w:val="20"/>
                <w:szCs w:val="20"/>
                <w:color w:val="auto"/>
              </w:rPr>
            </w:pPr>
            <w:r>
              <w:rPr>
                <w:rFonts w:ascii="Calibri" w:cs="Calibri" w:eastAsia="Calibri" w:hAnsi="Calibri"/>
                <w:sz w:val="18"/>
                <w:szCs w:val="18"/>
                <w:color w:val="auto"/>
              </w:rPr>
              <w:t>10.5†</w:t>
            </w:r>
          </w:p>
        </w:tc>
        <w:tc>
          <w:tcPr>
            <w:tcW w:w="20" w:type="dxa"/>
            <w:vAlign w:val="bottom"/>
          </w:tcPr>
          <w:p>
            <w:pPr>
              <w:spacing w:after="0"/>
              <w:rPr>
                <w:sz w:val="19"/>
                <w:szCs w:val="19"/>
                <w:color w:val="auto"/>
              </w:rPr>
            </w:pPr>
          </w:p>
        </w:tc>
        <w:tc>
          <w:tcPr>
            <w:tcW w:w="10000" w:type="dxa"/>
            <w:vAlign w:val="bottom"/>
            <w:gridSpan w:val="40"/>
          </w:tcPr>
          <w:p>
            <w:pPr>
              <w:spacing w:after="0"/>
              <w:rPr>
                <w:rFonts w:ascii="Calibri" w:cs="Calibri" w:eastAsia="Calibri" w:hAnsi="Calibri"/>
                <w:sz w:val="18"/>
                <w:szCs w:val="18"/>
                <w:color w:val="0000FF"/>
              </w:rPr>
            </w:pPr>
            <w:hyperlink r:id="rId94">
              <w:r>
                <w:rPr>
                  <w:rFonts w:ascii="Calibri" w:cs="Calibri" w:eastAsia="Calibri" w:hAnsi="Calibri"/>
                  <w:sz w:val="18"/>
                  <w:szCs w:val="18"/>
                  <w:color w:val="0000FF"/>
                </w:rPr>
                <w:t>Form of Restricted Stock Unit Award Agreement for the Greenidge Generaton Holdings Inc. 2021 Equity Incentve Plan (incorporated by</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7"/>
          </w:tcPr>
          <w:p>
            <w:pPr>
              <w:spacing w:after="0" w:line="156" w:lineRule="exact"/>
              <w:rPr>
                <w:rFonts w:ascii="Calibri" w:cs="Calibri" w:eastAsia="Calibri" w:hAnsi="Calibri"/>
                <w:sz w:val="16"/>
                <w:szCs w:val="16"/>
                <w:color w:val="0000FF"/>
              </w:rPr>
            </w:pPr>
            <w:hyperlink r:id="rId94">
              <w:r>
                <w:rPr>
                  <w:rFonts w:ascii="Calibri" w:cs="Calibri" w:eastAsia="Calibri" w:hAnsi="Calibri"/>
                  <w:sz w:val="16"/>
                  <w:szCs w:val="16"/>
                  <w:color w:val="0000FF"/>
                </w:rPr>
                <w:t>reference to Exhibit 10.7 to the Quarterly Report on Form 10-Q fled on November 15, 2021).</w:t>
              </w:r>
            </w:hyperlink>
          </w:p>
        </w:tc>
        <w:tc>
          <w:tcPr>
            <w:tcW w:w="8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gridSpan w:val="2"/>
          </w:tcPr>
          <w:p>
            <w:pPr>
              <w:ind w:left="20"/>
              <w:spacing w:after="0"/>
              <w:rPr>
                <w:sz w:val="20"/>
                <w:szCs w:val="20"/>
                <w:color w:val="auto"/>
              </w:rPr>
            </w:pPr>
            <w:r>
              <w:rPr>
                <w:rFonts w:ascii="Calibri" w:cs="Calibri" w:eastAsia="Calibri" w:hAnsi="Calibri"/>
                <w:sz w:val="18"/>
                <w:szCs w:val="18"/>
                <w:color w:val="auto"/>
              </w:rPr>
              <w:t>10.6†</w:t>
            </w:r>
          </w:p>
        </w:tc>
        <w:tc>
          <w:tcPr>
            <w:tcW w:w="20" w:type="dxa"/>
            <w:vAlign w:val="bottom"/>
          </w:tcPr>
          <w:p>
            <w:pPr>
              <w:spacing w:after="0"/>
              <w:rPr>
                <w:sz w:val="19"/>
                <w:szCs w:val="19"/>
                <w:color w:val="auto"/>
              </w:rPr>
            </w:pPr>
          </w:p>
        </w:tc>
        <w:tc>
          <w:tcPr>
            <w:tcW w:w="10000" w:type="dxa"/>
            <w:vAlign w:val="bottom"/>
            <w:gridSpan w:val="40"/>
          </w:tcPr>
          <w:p>
            <w:pPr>
              <w:spacing w:after="0"/>
              <w:rPr>
                <w:rFonts w:ascii="Calibri" w:cs="Calibri" w:eastAsia="Calibri" w:hAnsi="Calibri"/>
                <w:sz w:val="18"/>
                <w:szCs w:val="18"/>
                <w:color w:val="0000FF"/>
              </w:rPr>
            </w:pPr>
            <w:hyperlink r:id="rId95">
              <w:r>
                <w:rPr>
                  <w:rFonts w:ascii="Calibri" w:cs="Calibri" w:eastAsia="Calibri" w:hAnsi="Calibri"/>
                  <w:sz w:val="18"/>
                  <w:szCs w:val="18"/>
                  <w:color w:val="0000FF"/>
                </w:rPr>
                <w:t>Executve Employment Agreement, dated November 12, 2021, between Greenidge Generaton Holdings Inc. and Robert Loughran</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2"/>
          </w:tcPr>
          <w:p>
            <w:pPr>
              <w:spacing w:after="0" w:line="156" w:lineRule="exact"/>
              <w:rPr>
                <w:rFonts w:ascii="Calibri" w:cs="Calibri" w:eastAsia="Calibri" w:hAnsi="Calibri"/>
                <w:sz w:val="16"/>
                <w:szCs w:val="16"/>
                <w:color w:val="0000FF"/>
              </w:rPr>
            </w:pPr>
            <w:hyperlink r:id="rId95">
              <w:r>
                <w:rPr>
                  <w:rFonts w:ascii="Calibri" w:cs="Calibri" w:eastAsia="Calibri" w:hAnsi="Calibri"/>
                  <w:sz w:val="16"/>
                  <w:szCs w:val="16"/>
                  <w:color w:val="0000FF"/>
                </w:rPr>
                <w:t>(incorporated by reference to Exhibit 10.3 to the Quarterly Report on Form 10-Q fled on November 15, 2021).</w:t>
              </w:r>
            </w:hyperlink>
          </w:p>
        </w:tc>
        <w:tc>
          <w:tcPr>
            <w:tcW w:w="180" w:type="dxa"/>
            <w:vAlign w:val="bottom"/>
            <w:gridSpan w:val="3"/>
          </w:tcPr>
          <w:p>
            <w:pPr>
              <w:spacing w:after="0"/>
              <w:rPr>
                <w:sz w:val="13"/>
                <w:szCs w:val="13"/>
                <w:color w:val="auto"/>
              </w:rPr>
            </w:pPr>
          </w:p>
        </w:tc>
        <w:tc>
          <w:tcPr>
            <w:tcW w:w="34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Calibri" w:cs="Calibri" w:eastAsia="Calibri" w:hAnsi="Calibri"/>
                <w:sz w:val="18"/>
                <w:szCs w:val="18"/>
                <w:color w:val="auto"/>
              </w:rPr>
              <w:t>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0"/>
          </w:tcPr>
          <w:p>
            <w:pPr>
              <w:spacing w:after="0"/>
              <w:rPr>
                <w:rFonts w:ascii="Calibri" w:cs="Calibri" w:eastAsia="Calibri" w:hAnsi="Calibri"/>
                <w:sz w:val="18"/>
                <w:szCs w:val="18"/>
                <w:color w:val="0000FF"/>
                <w:w w:val="99"/>
              </w:rPr>
            </w:pPr>
            <w:hyperlink r:id="rId96">
              <w:r>
                <w:rPr>
                  <w:rFonts w:ascii="Calibri" w:cs="Calibri" w:eastAsia="Calibri" w:hAnsi="Calibri"/>
                  <w:sz w:val="18"/>
                  <w:szCs w:val="18"/>
                  <w:color w:val="0000FF"/>
                  <w:w w:val="99"/>
                </w:rPr>
                <w:t>Precedent Agreement between Greenidge Markets and Trading LLC and Empire Pipeline Inc. (incorporated by reference to Exhibit 10.7 to</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8"/>
          </w:tcPr>
          <w:p>
            <w:pPr>
              <w:spacing w:after="0" w:line="156" w:lineRule="exact"/>
              <w:rPr>
                <w:rFonts w:ascii="Calibri" w:cs="Calibri" w:eastAsia="Calibri" w:hAnsi="Calibri"/>
                <w:sz w:val="16"/>
                <w:szCs w:val="16"/>
                <w:color w:val="0000FF"/>
              </w:rPr>
            </w:pPr>
            <w:hyperlink r:id="rId96">
              <w:r>
                <w:rPr>
                  <w:rFonts w:ascii="Calibri" w:cs="Calibri" w:eastAsia="Calibri" w:hAnsi="Calibri"/>
                  <w:sz w:val="16"/>
                  <w:szCs w:val="16"/>
                  <w:color w:val="0000FF"/>
                </w:rPr>
                <w:t>the Registraton Statement on Form S-4/A fled on June 25, 2021).</w:t>
              </w:r>
            </w:hyperlink>
          </w:p>
        </w:tc>
        <w:tc>
          <w:tcPr>
            <w:tcW w:w="8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Calibri" w:cs="Calibri" w:eastAsia="Calibri" w:hAnsi="Calibri"/>
                <w:sz w:val="18"/>
                <w:szCs w:val="18"/>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0"/>
          </w:tcPr>
          <w:p>
            <w:pPr>
              <w:spacing w:after="0"/>
              <w:rPr>
                <w:rFonts w:ascii="Calibri" w:cs="Calibri" w:eastAsia="Calibri" w:hAnsi="Calibri"/>
                <w:sz w:val="18"/>
                <w:szCs w:val="18"/>
                <w:color w:val="0000FF"/>
                <w:w w:val="99"/>
              </w:rPr>
            </w:pPr>
            <w:hyperlink r:id="rId97">
              <w:r>
                <w:rPr>
                  <w:rFonts w:ascii="Calibri" w:cs="Calibri" w:eastAsia="Calibri" w:hAnsi="Calibri"/>
                  <w:sz w:val="18"/>
                  <w:szCs w:val="18"/>
                  <w:color w:val="0000FF"/>
                  <w:w w:val="99"/>
                </w:rPr>
                <w:t>Form of Indemnifcaton Agreement with Directors and Ofcers of Greenidge Generaton Holdings Inc. (incorporated by reference to Exhibit</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35"/>
          </w:tcPr>
          <w:p>
            <w:pPr>
              <w:spacing w:after="0" w:line="156" w:lineRule="exact"/>
              <w:rPr>
                <w:rFonts w:ascii="Calibri" w:cs="Calibri" w:eastAsia="Calibri" w:hAnsi="Calibri"/>
                <w:sz w:val="16"/>
                <w:szCs w:val="16"/>
                <w:color w:val="0000FF"/>
              </w:rPr>
            </w:pPr>
            <w:hyperlink r:id="rId97">
              <w:r>
                <w:rPr>
                  <w:rFonts w:ascii="Calibri" w:cs="Calibri" w:eastAsia="Calibri" w:hAnsi="Calibri"/>
                  <w:sz w:val="16"/>
                  <w:szCs w:val="16"/>
                  <w:color w:val="0000FF"/>
                </w:rPr>
                <w:t>10.</w:t>
              </w:r>
              <w:r>
                <w:rPr>
                  <w:rFonts w:ascii="Calibri" w:cs="Calibri" w:eastAsia="Calibri" w:hAnsi="Calibri"/>
                  <w:sz w:val="16"/>
                  <w:szCs w:val="16"/>
                  <w:u w:val="single" w:color="auto"/>
                  <w:color w:val="0000FF"/>
                </w:rPr>
                <w:t>6</w:t>
              </w:r>
              <w:r>
                <w:rPr>
                  <w:rFonts w:ascii="Calibri" w:cs="Calibri" w:eastAsia="Calibri" w:hAnsi="Calibri"/>
                  <w:sz w:val="16"/>
                  <w:szCs w:val="16"/>
                  <w:color w:val="0000FF"/>
                </w:rPr>
                <w:t xml:space="preserve"> to the Quarterly Report on Form 10-Q fled on November 15, 2021).</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760" w:type="dxa"/>
            <w:vAlign w:val="bottom"/>
            <w:gridSpan w:val="6"/>
            <w:shd w:val="clear" w:color="auto" w:fill="0000FF"/>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Calibri" w:cs="Calibri" w:eastAsia="Calibri" w:hAnsi="Calibri"/>
                <w:sz w:val="18"/>
                <w:szCs w:val="18"/>
                <w:color w:val="auto"/>
              </w:rPr>
              <w:t>10.9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0"/>
          </w:tcPr>
          <w:p>
            <w:pPr>
              <w:spacing w:after="0"/>
              <w:rPr>
                <w:rFonts w:ascii="Calibri" w:cs="Calibri" w:eastAsia="Calibri" w:hAnsi="Calibri"/>
                <w:sz w:val="18"/>
                <w:szCs w:val="18"/>
                <w:color w:val="0000FF"/>
              </w:rPr>
            </w:pPr>
            <w:hyperlink r:id="rId98">
              <w:r>
                <w:rPr>
                  <w:rFonts w:ascii="Calibri" w:cs="Calibri" w:eastAsia="Calibri" w:hAnsi="Calibri"/>
                  <w:sz w:val="18"/>
                  <w:szCs w:val="18"/>
                  <w:color w:val="0000FF"/>
                </w:rPr>
                <w:t>Purchase Agreement, dated as of April 7, 2022, between Greenidge Generaton Holdings Inc. and B. Riley Principal Capital, LLC</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20"/>
          </w:tcPr>
          <w:p>
            <w:pPr>
              <w:spacing w:after="0" w:line="156" w:lineRule="exact"/>
              <w:rPr>
                <w:rFonts w:ascii="Calibri" w:cs="Calibri" w:eastAsia="Calibri" w:hAnsi="Calibri"/>
                <w:sz w:val="16"/>
                <w:szCs w:val="16"/>
                <w:color w:val="0000FF"/>
              </w:rPr>
            </w:pPr>
            <w:hyperlink r:id="rId98">
              <w:r>
                <w:rPr>
                  <w:rFonts w:ascii="Calibri" w:cs="Calibri" w:eastAsia="Calibri" w:hAnsi="Calibri"/>
                  <w:sz w:val="16"/>
                  <w:szCs w:val="16"/>
                  <w:color w:val="0000FF"/>
                </w:rPr>
                <w:t>(incorporated by reference to Exhibit 10.1 to the Current Report on Form 8-K fled on April 8, 2022)</w:t>
              </w:r>
              <w:r>
                <w:rPr>
                  <w:rFonts w:ascii="Calibri" w:cs="Calibri" w:eastAsia="Calibri" w:hAnsi="Calibri"/>
                  <w:sz w:val="16"/>
                  <w:szCs w:val="16"/>
                  <w:color w:val="000000"/>
                </w:rPr>
                <w:t>.</w:t>
              </w:r>
            </w:hyperlink>
          </w:p>
        </w:tc>
        <w:tc>
          <w:tcPr>
            <w:tcW w:w="60" w:type="dxa"/>
            <w:vAlign w:val="bottom"/>
          </w:tcPr>
          <w:p>
            <w:pPr>
              <w:spacing w:after="0"/>
              <w:rPr>
                <w:sz w:val="13"/>
                <w:szCs w:val="13"/>
                <w:color w:val="auto"/>
              </w:rPr>
            </w:pPr>
          </w:p>
        </w:tc>
        <w:tc>
          <w:tcPr>
            <w:tcW w:w="380" w:type="dxa"/>
            <w:vAlign w:val="bottom"/>
            <w:gridSpan w:val="4"/>
          </w:tcPr>
          <w:p>
            <w:pPr>
              <w:spacing w:after="0"/>
              <w:rPr>
                <w:sz w:val="13"/>
                <w:szCs w:val="13"/>
                <w:color w:val="auto"/>
              </w:rPr>
            </w:pPr>
          </w:p>
        </w:tc>
        <w:tc>
          <w:tcPr>
            <w:tcW w:w="34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20" w:type="dxa"/>
            <w:vAlign w:val="bottom"/>
            <w:gridSpan w:val="1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Calibri" w:cs="Calibri" w:eastAsia="Calibri" w:hAnsi="Calibri"/>
                <w:sz w:val="18"/>
                <w:szCs w:val="18"/>
                <w:color w:val="auto"/>
              </w:rPr>
              <w:t>10.10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0"/>
          </w:tcPr>
          <w:p>
            <w:pPr>
              <w:spacing w:after="0"/>
              <w:rPr>
                <w:rFonts w:ascii="Calibri" w:cs="Calibri" w:eastAsia="Calibri" w:hAnsi="Calibri"/>
                <w:sz w:val="18"/>
                <w:szCs w:val="18"/>
                <w:color w:val="0000FF"/>
                <w:w w:val="99"/>
              </w:rPr>
            </w:pPr>
            <w:hyperlink r:id="rId99">
              <w:r>
                <w:rPr>
                  <w:rFonts w:ascii="Calibri" w:cs="Calibri" w:eastAsia="Calibri" w:hAnsi="Calibri"/>
                  <w:sz w:val="18"/>
                  <w:szCs w:val="18"/>
                  <w:color w:val="0000FF"/>
                  <w:w w:val="99"/>
                </w:rPr>
                <w:t>Amendment No. 1 to Common Stock Purchase Agreement, dated as of April 13, 2022, between Greenidge Generaton Holdings Inc. and B.</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31"/>
          </w:tcPr>
          <w:p>
            <w:pPr>
              <w:spacing w:after="0" w:line="156" w:lineRule="exact"/>
              <w:rPr>
                <w:rFonts w:ascii="Calibri" w:cs="Calibri" w:eastAsia="Calibri" w:hAnsi="Calibri"/>
                <w:sz w:val="16"/>
                <w:szCs w:val="16"/>
                <w:color w:val="0000FF"/>
              </w:rPr>
            </w:pPr>
            <w:hyperlink r:id="rId99">
              <w:r>
                <w:rPr>
                  <w:rFonts w:ascii="Calibri" w:cs="Calibri" w:eastAsia="Calibri" w:hAnsi="Calibri"/>
                  <w:sz w:val="16"/>
                  <w:szCs w:val="16"/>
                  <w:color w:val="0000FF"/>
                </w:rPr>
                <w:t>Riley Principal Capital, LLC (incorporated by reference to Exhibit 10.1 to the Current Report on Form 8-K fled on April 14, 2022)</w:t>
              </w:r>
              <w:r>
                <w:rPr>
                  <w:rFonts w:ascii="Calibri" w:cs="Calibri" w:eastAsia="Calibri" w:hAnsi="Calibri"/>
                  <w:sz w:val="16"/>
                  <w:szCs w:val="16"/>
                  <w:color w:val="000000"/>
                </w:rPr>
                <w:t>.</w:t>
              </w:r>
            </w:hyperlink>
          </w:p>
        </w:tc>
        <w:tc>
          <w:tcPr>
            <w:tcW w:w="12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160" w:type="dxa"/>
            <w:vAlign w:val="bottom"/>
            <w:gridSpan w:val="15"/>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gridSpan w:val="2"/>
          </w:tcPr>
          <w:p>
            <w:pPr>
              <w:ind w:left="20"/>
              <w:spacing w:after="0"/>
              <w:rPr>
                <w:sz w:val="20"/>
                <w:szCs w:val="20"/>
                <w:color w:val="auto"/>
              </w:rPr>
            </w:pPr>
            <w:r>
              <w:rPr>
                <w:rFonts w:ascii="Calibri" w:cs="Calibri" w:eastAsia="Calibri" w:hAnsi="Calibri"/>
                <w:sz w:val="18"/>
                <w:szCs w:val="18"/>
                <w:color w:val="auto"/>
              </w:rPr>
              <w:t>10.11†</w:t>
            </w:r>
          </w:p>
        </w:tc>
        <w:tc>
          <w:tcPr>
            <w:tcW w:w="20" w:type="dxa"/>
            <w:vAlign w:val="bottom"/>
          </w:tcPr>
          <w:p>
            <w:pPr>
              <w:spacing w:after="0"/>
              <w:rPr>
                <w:sz w:val="19"/>
                <w:szCs w:val="19"/>
                <w:color w:val="auto"/>
              </w:rPr>
            </w:pPr>
          </w:p>
        </w:tc>
        <w:tc>
          <w:tcPr>
            <w:tcW w:w="10000" w:type="dxa"/>
            <w:vAlign w:val="bottom"/>
            <w:gridSpan w:val="40"/>
          </w:tcPr>
          <w:p>
            <w:pPr>
              <w:spacing w:after="0"/>
              <w:rPr>
                <w:rFonts w:ascii="Calibri" w:cs="Calibri" w:eastAsia="Calibri" w:hAnsi="Calibri"/>
                <w:sz w:val="18"/>
                <w:szCs w:val="18"/>
                <w:color w:val="0000FF"/>
              </w:rPr>
            </w:pPr>
            <w:hyperlink r:id="rId100">
              <w:r>
                <w:rPr>
                  <w:rFonts w:ascii="Calibri" w:cs="Calibri" w:eastAsia="Calibri" w:hAnsi="Calibri"/>
                  <w:sz w:val="18"/>
                  <w:szCs w:val="18"/>
                  <w:color w:val="0000FF"/>
                </w:rPr>
                <w:t>Executve Employment Agreement, dated as of August 15, 2022, by and between Greenidge Generaton Holdings Inc. and Dale Irwin</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5"/>
          </w:tcPr>
          <w:p>
            <w:pPr>
              <w:spacing w:after="0" w:line="156" w:lineRule="exact"/>
              <w:rPr>
                <w:rFonts w:ascii="Calibri" w:cs="Calibri" w:eastAsia="Calibri" w:hAnsi="Calibri"/>
                <w:sz w:val="16"/>
                <w:szCs w:val="16"/>
                <w:color w:val="0000FF"/>
              </w:rPr>
            </w:pPr>
            <w:hyperlink r:id="rId100">
              <w:r>
                <w:rPr>
                  <w:rFonts w:ascii="Calibri" w:cs="Calibri" w:eastAsia="Calibri" w:hAnsi="Calibri"/>
                  <w:sz w:val="16"/>
                  <w:szCs w:val="16"/>
                  <w:color w:val="0000FF"/>
                </w:rPr>
                <w:t>(incorporated by reference to Exhibit 10.7 to the Quarterly Report on Form 10-Q fled on August 15, 2022).</w:t>
              </w:r>
            </w:hyperlink>
          </w:p>
        </w:tc>
        <w:tc>
          <w:tcPr>
            <w:tcW w:w="340" w:type="dxa"/>
            <w:vAlign w:val="bottom"/>
            <w:gridSpan w:val="3"/>
          </w:tcPr>
          <w:p>
            <w:pPr>
              <w:spacing w:after="0"/>
              <w:rPr>
                <w:sz w:val="13"/>
                <w:szCs w:val="13"/>
                <w:color w:val="auto"/>
              </w:rPr>
            </w:pPr>
          </w:p>
        </w:tc>
        <w:tc>
          <w:tcPr>
            <w:tcW w:w="20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160" w:type="dxa"/>
            <w:vAlign w:val="bottom"/>
            <w:gridSpan w:val="15"/>
            <w:shd w:val="clear" w:color="auto" w:fill="0000FF"/>
          </w:tcPr>
          <w:p>
            <w:pPr>
              <w:spacing w:after="0" w:line="20" w:lineRule="exact"/>
              <w:rPr>
                <w:sz w:val="1"/>
                <w:szCs w:val="1"/>
                <w:color w:val="auto"/>
              </w:rPr>
            </w:pPr>
          </w:p>
        </w:tc>
        <w:tc>
          <w:tcPr>
            <w:tcW w:w="2160" w:type="dxa"/>
            <w:vAlign w:val="bottom"/>
            <w:gridSpan w:val="12"/>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Calibri" w:cs="Calibri" w:eastAsia="Calibri" w:hAnsi="Calibri"/>
                <w:sz w:val="18"/>
                <w:szCs w:val="18"/>
                <w:color w:val="auto"/>
              </w:rPr>
              <w:t>10.12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0"/>
          </w:tcPr>
          <w:p>
            <w:pPr>
              <w:spacing w:after="0"/>
              <w:rPr>
                <w:rFonts w:ascii="Calibri" w:cs="Calibri" w:eastAsia="Calibri" w:hAnsi="Calibri"/>
                <w:sz w:val="18"/>
                <w:szCs w:val="18"/>
                <w:color w:val="0000FF"/>
                <w:w w:val="98"/>
              </w:rPr>
            </w:pPr>
            <w:hyperlink r:id="rId101">
              <w:r>
                <w:rPr>
                  <w:rFonts w:ascii="Calibri" w:cs="Calibri" w:eastAsia="Calibri" w:hAnsi="Calibri"/>
                  <w:sz w:val="18"/>
                  <w:szCs w:val="18"/>
                  <w:color w:val="0000FF"/>
                  <w:w w:val="98"/>
                </w:rPr>
                <w:t>At Market Issuance Sales Agreement, dated September 19, 2022, by and among Greenidge Generaton Holdings Inc., B. Riley Securites, Inc.</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36"/>
          </w:tcPr>
          <w:p>
            <w:pPr>
              <w:spacing w:after="0" w:line="156" w:lineRule="exact"/>
              <w:rPr>
                <w:rFonts w:ascii="Calibri" w:cs="Calibri" w:eastAsia="Calibri" w:hAnsi="Calibri"/>
                <w:sz w:val="16"/>
                <w:szCs w:val="16"/>
                <w:color w:val="0000FF"/>
              </w:rPr>
            </w:pPr>
            <w:hyperlink r:id="rId101">
              <w:r>
                <w:rPr>
                  <w:rFonts w:ascii="Calibri" w:cs="Calibri" w:eastAsia="Calibri" w:hAnsi="Calibri"/>
                  <w:sz w:val="16"/>
                  <w:szCs w:val="16"/>
                  <w:color w:val="0000FF"/>
                </w:rPr>
                <w:t>and Northland Securites, Inc. (incorporated by reference to Exhibit 1.1 to the Registraton Statement on Form S-3 fled on September 19,</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top w:val="single" w:sz="8" w:color="0000FF"/>
            </w:tcBorders>
            <w:gridSpan w:val="2"/>
          </w:tcPr>
          <w:p>
            <w:pPr>
              <w:spacing w:after="0" w:line="169" w:lineRule="exact"/>
              <w:rPr>
                <w:rFonts w:ascii="Calibri" w:cs="Calibri" w:eastAsia="Calibri" w:hAnsi="Calibri"/>
                <w:sz w:val="18"/>
                <w:szCs w:val="18"/>
                <w:color w:val="0000FF"/>
              </w:rPr>
            </w:pPr>
            <w:hyperlink r:id="rId101">
              <w:r>
                <w:rPr>
                  <w:rFonts w:ascii="Calibri" w:cs="Calibri" w:eastAsia="Calibri" w:hAnsi="Calibri"/>
                  <w:sz w:val="18"/>
                  <w:szCs w:val="18"/>
                  <w:color w:val="0000FF"/>
                </w:rPr>
                <w:t>2022)</w:t>
              </w:r>
              <w:r>
                <w:rPr>
                  <w:rFonts w:ascii="Calibri" w:cs="Calibri" w:eastAsia="Calibri" w:hAnsi="Calibri"/>
                  <w:sz w:val="18"/>
                  <w:szCs w:val="18"/>
                  <w:color w:val="000000"/>
                </w:rPr>
                <w:t>.</w:t>
              </w:r>
            </w:hyperlink>
          </w:p>
        </w:tc>
        <w:tc>
          <w:tcPr>
            <w:tcW w:w="11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6"/>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260" w:type="dxa"/>
            <w:vAlign w:val="bottom"/>
            <w:gridSpan w:val="4"/>
          </w:tcPr>
          <w:p>
            <w:pPr>
              <w:jc w:val="right"/>
              <w:ind w:right="119"/>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0"/>
        </w:trPr>
        <w:tc>
          <w:tcPr>
            <w:tcW w:w="1260" w:type="dxa"/>
            <w:vAlign w:val="bottom"/>
          </w:tcPr>
          <w:p>
            <w:pPr>
              <w:ind w:left="20"/>
              <w:spacing w:after="0"/>
              <w:rPr>
                <w:sz w:val="20"/>
                <w:szCs w:val="20"/>
                <w:color w:val="auto"/>
              </w:rPr>
            </w:pPr>
            <w:r>
              <w:rPr>
                <w:rFonts w:ascii="Calibri" w:cs="Calibri" w:eastAsia="Calibri" w:hAnsi="Calibri"/>
                <w:sz w:val="18"/>
                <w:szCs w:val="18"/>
                <w:color w:val="auto"/>
              </w:rPr>
              <w:t>10.13</w:t>
            </w:r>
          </w:p>
        </w:tc>
        <w:tc>
          <w:tcPr>
            <w:tcW w:w="10020" w:type="dxa"/>
            <w:vAlign w:val="bottom"/>
            <w:gridSpan w:val="43"/>
          </w:tcPr>
          <w:p>
            <w:pPr>
              <w:spacing w:after="0"/>
              <w:rPr>
                <w:rFonts w:ascii="Calibri" w:cs="Calibri" w:eastAsia="Calibri" w:hAnsi="Calibri"/>
                <w:sz w:val="18"/>
                <w:szCs w:val="18"/>
                <w:color w:val="0000FF"/>
              </w:rPr>
            </w:pPr>
            <w:hyperlink r:id="rId104">
              <w:r>
                <w:rPr>
                  <w:rFonts w:ascii="Calibri" w:cs="Calibri" w:eastAsia="Calibri" w:hAnsi="Calibri"/>
                  <w:sz w:val="18"/>
                  <w:szCs w:val="18"/>
                  <w:color w:val="0000FF"/>
                </w:rPr>
                <w:t>Amendment No. 1 to At Market Issuance Sales Agreement, dated October 3, 2022, by and among Greenidge Generaton Holdings Inc., B.</w:t>
              </w:r>
            </w:hyperlink>
          </w:p>
        </w:tc>
      </w:tr>
      <w:tr>
        <w:trPr>
          <w:trHeight w:val="156"/>
        </w:trPr>
        <w:tc>
          <w:tcPr>
            <w:tcW w:w="1260" w:type="dxa"/>
            <w:vAlign w:val="bottom"/>
          </w:tcPr>
          <w:p>
            <w:pPr>
              <w:spacing w:after="0"/>
              <w:rPr>
                <w:sz w:val="13"/>
                <w:szCs w:val="13"/>
                <w:color w:val="auto"/>
              </w:rPr>
            </w:pPr>
          </w:p>
        </w:tc>
        <w:tc>
          <w:tcPr>
            <w:tcW w:w="9700" w:type="dxa"/>
            <w:vAlign w:val="bottom"/>
            <w:tcBorders>
              <w:top w:val="single" w:sz="8" w:color="0000FF"/>
            </w:tcBorders>
            <w:gridSpan w:val="28"/>
          </w:tcPr>
          <w:p>
            <w:pPr>
              <w:spacing w:after="0" w:line="156" w:lineRule="exact"/>
              <w:rPr>
                <w:rFonts w:ascii="Calibri" w:cs="Calibri" w:eastAsia="Calibri" w:hAnsi="Calibri"/>
                <w:sz w:val="16"/>
                <w:szCs w:val="16"/>
                <w:color w:val="0000FF"/>
              </w:rPr>
            </w:pPr>
            <w:hyperlink r:id="rId104">
              <w:r>
                <w:rPr>
                  <w:rFonts w:ascii="Calibri" w:cs="Calibri" w:eastAsia="Calibri" w:hAnsi="Calibri"/>
                  <w:sz w:val="16"/>
                  <w:szCs w:val="16"/>
                  <w:color w:val="0000FF"/>
                </w:rPr>
                <w:t>Riley Securites, Inc. and Northland Securites, Inc. (incorporated by reference to Exhibit 10.1 to the Current Report on Form 8-K fled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9620" w:type="dxa"/>
            <w:vAlign w:val="bottom"/>
            <w:tcBorders>
              <w:top w:val="single" w:sz="8" w:color="0000FF"/>
            </w:tcBorders>
            <w:gridSpan w:val="26"/>
          </w:tcPr>
          <w:p>
            <w:pPr>
              <w:spacing w:after="0" w:line="169" w:lineRule="exact"/>
              <w:rPr>
                <w:rFonts w:ascii="Calibri" w:cs="Calibri" w:eastAsia="Calibri" w:hAnsi="Calibri"/>
                <w:sz w:val="18"/>
                <w:szCs w:val="18"/>
                <w:color w:val="0000FF"/>
              </w:rPr>
            </w:pPr>
            <w:hyperlink r:id="rId104">
              <w:r>
                <w:rPr>
                  <w:rFonts w:ascii="Calibri" w:cs="Calibri" w:eastAsia="Calibri" w:hAnsi="Calibri"/>
                  <w:sz w:val="18"/>
                  <w:szCs w:val="18"/>
                  <w:color w:val="0000FF"/>
                </w:rPr>
                <w:t>October 4, 2022)</w:t>
              </w:r>
              <w:r>
                <w:rPr>
                  <w:rFonts w:ascii="Calibri" w:cs="Calibri" w:eastAsia="Calibri" w:hAnsi="Calibri"/>
                  <w:sz w:val="18"/>
                  <w:szCs w:val="18"/>
                  <w:color w:val="000000"/>
                </w:rPr>
                <w:t>.</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line="209" w:lineRule="exact"/>
              <w:rPr>
                <w:sz w:val="20"/>
                <w:szCs w:val="20"/>
                <w:color w:val="auto"/>
              </w:rPr>
            </w:pPr>
            <w:r>
              <w:rPr>
                <w:rFonts w:ascii="Calibri" w:cs="Calibri" w:eastAsia="Calibri" w:hAnsi="Calibri"/>
                <w:sz w:val="18"/>
                <w:szCs w:val="18"/>
                <w:color w:val="auto"/>
              </w:rPr>
              <w:t>10.14</w:t>
            </w:r>
          </w:p>
        </w:tc>
        <w:tc>
          <w:tcPr>
            <w:tcW w:w="9340" w:type="dxa"/>
            <w:vAlign w:val="bottom"/>
            <w:tcBorders>
              <w:bottom w:val="single" w:sz="8" w:color="0000FF"/>
            </w:tcBorders>
            <w:gridSpan w:val="18"/>
          </w:tcPr>
          <w:p>
            <w:pPr>
              <w:spacing w:after="0" w:line="209" w:lineRule="exact"/>
              <w:rPr>
                <w:rFonts w:ascii="Calibri" w:cs="Calibri" w:eastAsia="Calibri" w:hAnsi="Calibri"/>
                <w:sz w:val="18"/>
                <w:szCs w:val="18"/>
                <w:color w:val="0000FF"/>
                <w:w w:val="97"/>
              </w:rPr>
            </w:pPr>
            <w:hyperlink r:id="rId105">
              <w:r>
                <w:rPr>
                  <w:rFonts w:ascii="Calibri" w:cs="Calibri" w:eastAsia="Calibri" w:hAnsi="Calibri"/>
                  <w:sz w:val="18"/>
                  <w:szCs w:val="18"/>
                  <w:color w:val="0000FF"/>
                  <w:w w:val="97"/>
                </w:rPr>
                <w:t>Membership Interest and Asset Purchase Agreement, dated January 30, 2023, by and among NYDIG ABL LLC, Greenidge Generaton</w:t>
              </w:r>
            </w:hyperlink>
          </w:p>
        </w:tc>
        <w:tc>
          <w:tcPr>
            <w:tcW w:w="680" w:type="dxa"/>
            <w:vAlign w:val="bottom"/>
            <w:gridSpan w:val="25"/>
          </w:tcPr>
          <w:p>
            <w:pPr>
              <w:spacing w:after="0"/>
              <w:rPr>
                <w:sz w:val="18"/>
                <w:szCs w:val="18"/>
                <w:color w:val="auto"/>
              </w:rPr>
            </w:pPr>
          </w:p>
        </w:tc>
      </w:tr>
      <w:tr>
        <w:trPr>
          <w:trHeight w:val="156"/>
        </w:trPr>
        <w:tc>
          <w:tcPr>
            <w:tcW w:w="1260" w:type="dxa"/>
            <w:vAlign w:val="bottom"/>
          </w:tcPr>
          <w:p>
            <w:pPr>
              <w:spacing w:after="0"/>
              <w:rPr>
                <w:sz w:val="13"/>
                <w:szCs w:val="13"/>
                <w:color w:val="auto"/>
              </w:rPr>
            </w:pPr>
          </w:p>
        </w:tc>
        <w:tc>
          <w:tcPr>
            <w:tcW w:w="10020" w:type="dxa"/>
            <w:vAlign w:val="bottom"/>
            <w:gridSpan w:val="43"/>
          </w:tcPr>
          <w:p>
            <w:pPr>
              <w:spacing w:after="0" w:line="156" w:lineRule="exact"/>
              <w:rPr>
                <w:rFonts w:ascii="Calibri" w:cs="Calibri" w:eastAsia="Calibri" w:hAnsi="Calibri"/>
                <w:sz w:val="16"/>
                <w:szCs w:val="16"/>
                <w:color w:val="0000FF"/>
              </w:rPr>
            </w:pPr>
            <w:hyperlink r:id="rId105">
              <w:r>
                <w:rPr>
                  <w:rFonts w:ascii="Calibri" w:cs="Calibri" w:eastAsia="Calibri" w:hAnsi="Calibri"/>
                  <w:sz w:val="16"/>
                  <w:szCs w:val="16"/>
                  <w:color w:val="0000FF"/>
                </w:rPr>
                <w:t>Holdings, Inc., Greenidge Generaton LLC, GSC Collateral LLC, and GNY Collateral LLC (incorporated by reference to Exhibit 10.3 to the</w:t>
              </w:r>
            </w:hyperlink>
          </w:p>
        </w:tc>
      </w:tr>
      <w:tr>
        <w:trPr>
          <w:trHeight w:val="169"/>
        </w:trPr>
        <w:tc>
          <w:tcPr>
            <w:tcW w:w="1260" w:type="dxa"/>
            <w:vAlign w:val="bottom"/>
          </w:tcPr>
          <w:p>
            <w:pPr>
              <w:spacing w:after="0"/>
              <w:rPr>
                <w:sz w:val="14"/>
                <w:szCs w:val="14"/>
                <w:color w:val="auto"/>
              </w:rPr>
            </w:pPr>
          </w:p>
        </w:tc>
        <w:tc>
          <w:tcPr>
            <w:tcW w:w="3900" w:type="dxa"/>
            <w:vAlign w:val="bottom"/>
            <w:tcBorders>
              <w:top w:val="single" w:sz="8" w:color="0000FF"/>
              <w:bottom w:val="single" w:sz="8" w:color="0000FF"/>
            </w:tcBorders>
            <w:gridSpan w:val="4"/>
          </w:tcPr>
          <w:p>
            <w:pPr>
              <w:spacing w:after="0" w:line="169" w:lineRule="exact"/>
              <w:rPr>
                <w:rFonts w:ascii="Calibri" w:cs="Calibri" w:eastAsia="Calibri" w:hAnsi="Calibri"/>
                <w:sz w:val="18"/>
                <w:szCs w:val="18"/>
                <w:color w:val="0000FF"/>
                <w:w w:val="97"/>
              </w:rPr>
            </w:pPr>
            <w:hyperlink r:id="rId105">
              <w:r>
                <w:rPr>
                  <w:rFonts w:ascii="Calibri" w:cs="Calibri" w:eastAsia="Calibri" w:hAnsi="Calibri"/>
                  <w:sz w:val="18"/>
                  <w:szCs w:val="18"/>
                  <w:color w:val="0000FF"/>
                  <w:w w:val="97"/>
                </w:rPr>
                <w:t>Current Report on Form 8-K fled on January 31, 2023).</w:t>
              </w:r>
            </w:hyperlink>
          </w:p>
        </w:tc>
        <w:tc>
          <w:tcPr>
            <w:tcW w:w="554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60" w:type="dxa"/>
            <w:vAlign w:val="bottom"/>
          </w:tcPr>
          <w:p>
            <w:pPr>
              <w:ind w:left="20"/>
              <w:spacing w:after="0" w:line="209" w:lineRule="exact"/>
              <w:rPr>
                <w:sz w:val="20"/>
                <w:szCs w:val="20"/>
                <w:color w:val="auto"/>
              </w:rPr>
            </w:pPr>
            <w:r>
              <w:rPr>
                <w:rFonts w:ascii="Calibri" w:cs="Calibri" w:eastAsia="Calibri" w:hAnsi="Calibri"/>
                <w:sz w:val="18"/>
                <w:szCs w:val="18"/>
                <w:color w:val="auto"/>
              </w:rPr>
              <w:t>10.15</w:t>
            </w:r>
          </w:p>
        </w:tc>
        <w:tc>
          <w:tcPr>
            <w:tcW w:w="10020" w:type="dxa"/>
            <w:vAlign w:val="bottom"/>
            <w:gridSpan w:val="43"/>
          </w:tcPr>
          <w:p>
            <w:pPr>
              <w:spacing w:after="0" w:line="209" w:lineRule="exact"/>
              <w:rPr>
                <w:rFonts w:ascii="Calibri" w:cs="Calibri" w:eastAsia="Calibri" w:hAnsi="Calibri"/>
                <w:sz w:val="18"/>
                <w:szCs w:val="18"/>
                <w:color w:val="0000FF"/>
                <w:w w:val="98"/>
              </w:rPr>
            </w:pPr>
            <w:hyperlink r:id="rId106">
              <w:r>
                <w:rPr>
                  <w:rFonts w:ascii="Calibri" w:cs="Calibri" w:eastAsia="Calibri" w:hAnsi="Calibri"/>
                  <w:sz w:val="18"/>
                  <w:szCs w:val="18"/>
                  <w:color w:val="0000FF"/>
                  <w:w w:val="98"/>
                </w:rPr>
                <w:t>Form of Hostng Services Agreement, dated as of January 30, 2023, between Greenidge South Carolina LLC and separate NYDIG subsidiaries</w:t>
              </w:r>
            </w:hyperlink>
          </w:p>
        </w:tc>
      </w:tr>
      <w:tr>
        <w:trPr>
          <w:trHeight w:val="155"/>
        </w:trPr>
        <w:tc>
          <w:tcPr>
            <w:tcW w:w="1260" w:type="dxa"/>
            <w:vAlign w:val="bottom"/>
          </w:tcPr>
          <w:p>
            <w:pPr>
              <w:spacing w:after="0"/>
              <w:rPr>
                <w:sz w:val="13"/>
                <w:szCs w:val="13"/>
                <w:color w:val="auto"/>
              </w:rPr>
            </w:pPr>
          </w:p>
        </w:tc>
        <w:tc>
          <w:tcPr>
            <w:tcW w:w="6860" w:type="dxa"/>
            <w:vAlign w:val="bottom"/>
            <w:tcBorders>
              <w:top w:val="single" w:sz="8" w:color="0000FF"/>
              <w:bottom w:val="single" w:sz="8" w:color="0000FF"/>
            </w:tcBorders>
            <w:gridSpan w:val="10"/>
          </w:tcPr>
          <w:p>
            <w:pPr>
              <w:spacing w:after="0" w:line="156" w:lineRule="exact"/>
              <w:rPr>
                <w:rFonts w:ascii="Calibri" w:cs="Calibri" w:eastAsia="Calibri" w:hAnsi="Calibri"/>
                <w:sz w:val="16"/>
                <w:szCs w:val="16"/>
                <w:color w:val="0000FF"/>
              </w:rPr>
            </w:pPr>
            <w:hyperlink r:id="rId106">
              <w:r>
                <w:rPr>
                  <w:rFonts w:ascii="Calibri" w:cs="Calibri" w:eastAsia="Calibri" w:hAnsi="Calibri"/>
                  <w:sz w:val="16"/>
                  <w:szCs w:val="16"/>
                  <w:color w:val="0000FF"/>
                </w:rPr>
                <w:t>(incorporated by reference to Exhibit 10.4 to the Company’s Form 8-K fled on January 31, 2023).</w:t>
              </w:r>
            </w:hyperlink>
          </w:p>
        </w:tc>
        <w:tc>
          <w:tcPr>
            <w:tcW w:w="308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Calibri" w:cs="Calibri" w:eastAsia="Calibri" w:hAnsi="Calibri"/>
                <w:sz w:val="18"/>
                <w:szCs w:val="18"/>
                <w:color w:val="auto"/>
              </w:rPr>
              <w:t>10.16†</w:t>
            </w:r>
          </w:p>
        </w:tc>
        <w:tc>
          <w:tcPr>
            <w:tcW w:w="10020" w:type="dxa"/>
            <w:vAlign w:val="bottom"/>
            <w:gridSpan w:val="43"/>
          </w:tcPr>
          <w:p>
            <w:pPr>
              <w:spacing w:after="0"/>
              <w:rPr>
                <w:rFonts w:ascii="Calibri" w:cs="Calibri" w:eastAsia="Calibri" w:hAnsi="Calibri"/>
                <w:sz w:val="18"/>
                <w:szCs w:val="18"/>
                <w:color w:val="0000FF"/>
                <w:w w:val="99"/>
              </w:rPr>
            </w:pPr>
            <w:hyperlink r:id="rId107">
              <w:r>
                <w:rPr>
                  <w:rFonts w:ascii="Calibri" w:cs="Calibri" w:eastAsia="Calibri" w:hAnsi="Calibri"/>
                  <w:sz w:val="18"/>
                  <w:szCs w:val="18"/>
                  <w:color w:val="0000FF"/>
                  <w:w w:val="99"/>
                </w:rPr>
                <w:t>Ofer Leter, dated October 7, 2022, between Greenidge Generaton Holdings Inc. and David Anderson (incorporated by reference to Exhibit</w:t>
              </w:r>
            </w:hyperlink>
          </w:p>
        </w:tc>
      </w:tr>
      <w:tr>
        <w:trPr>
          <w:trHeight w:val="156"/>
        </w:trPr>
        <w:tc>
          <w:tcPr>
            <w:tcW w:w="126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6"/>
          </w:tcPr>
          <w:p>
            <w:pPr>
              <w:spacing w:after="0" w:line="156" w:lineRule="exact"/>
              <w:rPr>
                <w:rFonts w:ascii="Calibri" w:cs="Calibri" w:eastAsia="Calibri" w:hAnsi="Calibri"/>
                <w:sz w:val="16"/>
                <w:szCs w:val="16"/>
                <w:color w:val="0000FF"/>
              </w:rPr>
            </w:pPr>
            <w:hyperlink r:id="rId107">
              <w:r>
                <w:rPr>
                  <w:rFonts w:ascii="Calibri" w:cs="Calibri" w:eastAsia="Calibri" w:hAnsi="Calibri"/>
                  <w:sz w:val="16"/>
                  <w:szCs w:val="16"/>
                  <w:color w:val="0000FF"/>
                </w:rPr>
                <w:t>10.</w:t>
              </w:r>
              <w:r>
                <w:rPr>
                  <w:rFonts w:ascii="Calibri" w:cs="Calibri" w:eastAsia="Calibri" w:hAnsi="Calibri"/>
                  <w:sz w:val="16"/>
                  <w:szCs w:val="16"/>
                  <w:u w:val="single" w:color="auto"/>
                  <w:color w:val="0000FF"/>
                </w:rPr>
                <w:t>27</w:t>
              </w:r>
              <w:r>
                <w:rPr>
                  <w:rFonts w:ascii="Calibri" w:cs="Calibri" w:eastAsia="Calibri" w:hAnsi="Calibri"/>
                  <w:sz w:val="16"/>
                  <w:szCs w:val="16"/>
                  <w:color w:val="0000FF"/>
                </w:rPr>
                <w:t xml:space="preserve"> to the Annual Report on Form 10-K fled on March 31, 2023).</w:t>
              </w:r>
            </w:hyperlink>
          </w:p>
        </w:tc>
        <w:tc>
          <w:tcPr>
            <w:tcW w:w="5160" w:type="dxa"/>
            <w:vAlign w:val="bottom"/>
            <w:tcBorders>
              <w:top w:val="single" w:sz="8" w:color="0000FF"/>
            </w:tcBorders>
            <w:gridSpan w:val="3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Calibri" w:cs="Calibri" w:eastAsia="Calibri" w:hAnsi="Calibri"/>
                <w:sz w:val="18"/>
                <w:szCs w:val="18"/>
                <w:color w:val="auto"/>
              </w:rPr>
              <w:t>10.17*†</w:t>
            </w:r>
          </w:p>
        </w:tc>
        <w:tc>
          <w:tcPr>
            <w:tcW w:w="10020" w:type="dxa"/>
            <w:vAlign w:val="bottom"/>
            <w:gridSpan w:val="43"/>
          </w:tcPr>
          <w:p>
            <w:pPr>
              <w:spacing w:after="0"/>
              <w:rPr>
                <w:rFonts w:ascii="Calibri" w:cs="Calibri" w:eastAsia="Calibri" w:hAnsi="Calibri"/>
                <w:sz w:val="18"/>
                <w:szCs w:val="18"/>
                <w:color w:val="0000FF"/>
                <w:w w:val="99"/>
              </w:rPr>
            </w:pPr>
            <w:hyperlink r:id="rId108">
              <w:r>
                <w:rPr>
                  <w:rFonts w:ascii="Calibri" w:cs="Calibri" w:eastAsia="Calibri" w:hAnsi="Calibri"/>
                  <w:sz w:val="18"/>
                  <w:szCs w:val="18"/>
                  <w:color w:val="0000FF"/>
                  <w:w w:val="99"/>
                </w:rPr>
                <w:t>Release Agreement, dated April 26, 2024, between Greenidge Generaton Holdings Inc. and Scot MacKenzie (incorporated by reference to</w:t>
              </w:r>
            </w:hyperlink>
          </w:p>
        </w:tc>
      </w:tr>
      <w:tr>
        <w:trPr>
          <w:trHeight w:val="156"/>
        </w:trPr>
        <w:tc>
          <w:tcPr>
            <w:tcW w:w="1260" w:type="dxa"/>
            <w:vAlign w:val="bottom"/>
          </w:tcPr>
          <w:p>
            <w:pPr>
              <w:spacing w:after="0"/>
              <w:rPr>
                <w:sz w:val="13"/>
                <w:szCs w:val="13"/>
                <w:color w:val="auto"/>
              </w:rPr>
            </w:pPr>
          </w:p>
        </w:tc>
        <w:tc>
          <w:tcPr>
            <w:tcW w:w="9880" w:type="dxa"/>
            <w:vAlign w:val="bottom"/>
            <w:tcBorders>
              <w:top w:val="single" w:sz="8" w:color="0000FF"/>
            </w:tcBorders>
            <w:gridSpan w:val="36"/>
          </w:tcPr>
          <w:p>
            <w:pPr>
              <w:spacing w:after="0" w:line="156" w:lineRule="exact"/>
              <w:rPr>
                <w:rFonts w:ascii="Calibri" w:cs="Calibri" w:eastAsia="Calibri" w:hAnsi="Calibri"/>
                <w:sz w:val="16"/>
                <w:szCs w:val="16"/>
                <w:color w:val="0000FF"/>
              </w:rPr>
            </w:pPr>
            <w:hyperlink r:id="rId108">
              <w:r>
                <w:rPr>
                  <w:rFonts w:ascii="Calibri" w:cs="Calibri" w:eastAsia="Calibri" w:hAnsi="Calibri"/>
                  <w:sz w:val="16"/>
                  <w:szCs w:val="16"/>
                  <w:color w:val="0000FF"/>
                </w:rPr>
                <w:t>Exhibit 10.1 to the Current Report on Form 8-K fled on April 29, 2024).</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Calibri" w:cs="Calibri" w:eastAsia="Calibri" w:hAnsi="Calibri"/>
                <w:sz w:val="18"/>
                <w:szCs w:val="18"/>
                <w:color w:val="auto"/>
              </w:rPr>
              <w:t>10.18†</w:t>
            </w:r>
          </w:p>
        </w:tc>
        <w:tc>
          <w:tcPr>
            <w:tcW w:w="10020" w:type="dxa"/>
            <w:vAlign w:val="bottom"/>
            <w:gridSpan w:val="43"/>
          </w:tcPr>
          <w:p>
            <w:pPr>
              <w:spacing w:after="0"/>
              <w:rPr>
                <w:rFonts w:ascii="Calibri" w:cs="Calibri" w:eastAsia="Calibri" w:hAnsi="Calibri"/>
                <w:sz w:val="18"/>
                <w:szCs w:val="18"/>
                <w:color w:val="0000FF"/>
                <w:w w:val="99"/>
              </w:rPr>
            </w:pPr>
            <w:hyperlink r:id="rId109">
              <w:r>
                <w:rPr>
                  <w:rFonts w:ascii="Calibri" w:cs="Calibri" w:eastAsia="Calibri" w:hAnsi="Calibri"/>
                  <w:sz w:val="18"/>
                  <w:szCs w:val="18"/>
                  <w:color w:val="0000FF"/>
                  <w:w w:val="99"/>
                </w:rPr>
                <w:t>Form of Stock Opton Inducement Award Agreement (incorporated by reference to Exhibit 99.1 to the Registraton Statement on Form S-8</w:t>
              </w:r>
            </w:hyperlink>
          </w:p>
        </w:tc>
      </w:tr>
      <w:tr>
        <w:trPr>
          <w:trHeight w:val="156"/>
        </w:trPr>
        <w:tc>
          <w:tcPr>
            <w:tcW w:w="1260" w:type="dxa"/>
            <w:vAlign w:val="bottom"/>
          </w:tcPr>
          <w:p>
            <w:pPr>
              <w:spacing w:after="0"/>
              <w:rPr>
                <w:sz w:val="13"/>
                <w:szCs w:val="13"/>
                <w:color w:val="auto"/>
              </w:rPr>
            </w:pPr>
          </w:p>
        </w:tc>
        <w:tc>
          <w:tcPr>
            <w:tcW w:w="9780" w:type="dxa"/>
            <w:vAlign w:val="bottom"/>
            <w:tcBorders>
              <w:top w:val="single" w:sz="8" w:color="0000FF"/>
            </w:tcBorders>
            <w:gridSpan w:val="31"/>
          </w:tcPr>
          <w:p>
            <w:pPr>
              <w:spacing w:after="0" w:line="156" w:lineRule="exact"/>
              <w:rPr>
                <w:rFonts w:ascii="Calibri" w:cs="Calibri" w:eastAsia="Calibri" w:hAnsi="Calibri"/>
                <w:sz w:val="16"/>
                <w:szCs w:val="16"/>
                <w:color w:val="0000FF"/>
              </w:rPr>
            </w:pPr>
            <w:hyperlink r:id="rId109">
              <w:r>
                <w:rPr>
                  <w:rFonts w:ascii="Calibri" w:cs="Calibri" w:eastAsia="Calibri" w:hAnsi="Calibri"/>
                  <w:sz w:val="16"/>
                  <w:szCs w:val="16"/>
                  <w:color w:val="0000FF"/>
                </w:rPr>
                <w:t>fled on October 31,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Calibri" w:cs="Calibri" w:eastAsia="Calibri" w:hAnsi="Calibri"/>
                <w:sz w:val="18"/>
                <w:szCs w:val="18"/>
                <w:color w:val="auto"/>
              </w:rPr>
              <w:t>10.19</w:t>
            </w:r>
          </w:p>
        </w:tc>
        <w:tc>
          <w:tcPr>
            <w:tcW w:w="9720" w:type="dxa"/>
            <w:vAlign w:val="bottom"/>
            <w:tcBorders>
              <w:bottom w:val="single" w:sz="8" w:color="0000FF"/>
            </w:tcBorders>
            <w:gridSpan w:val="29"/>
          </w:tcPr>
          <w:p>
            <w:pPr>
              <w:spacing w:after="0"/>
              <w:rPr>
                <w:rFonts w:ascii="Calibri" w:cs="Calibri" w:eastAsia="Calibri" w:hAnsi="Calibri"/>
                <w:sz w:val="18"/>
                <w:szCs w:val="18"/>
                <w:color w:val="0000FF"/>
                <w:w w:val="96"/>
              </w:rPr>
            </w:pPr>
            <w:hyperlink r:id="rId110">
              <w:r>
                <w:rPr>
                  <w:rFonts w:ascii="Calibri" w:cs="Calibri" w:eastAsia="Calibri" w:hAnsi="Calibri"/>
                  <w:sz w:val="18"/>
                  <w:szCs w:val="18"/>
                  <w:color w:val="0000FF"/>
                  <w:w w:val="96"/>
                </w:rPr>
                <w:t>Asset Purchase Agreement (the “APA”), dated November 9, 2023, by and among (i) NYDIG ABL LLC ("NYDIG"), (ii) SC 1 Mining Site LLC, an</w:t>
              </w:r>
            </w:hyperlink>
          </w:p>
        </w:tc>
        <w:tc>
          <w:tcPr>
            <w:tcW w:w="300" w:type="dxa"/>
            <w:vAlign w:val="bottom"/>
            <w:gridSpan w:val="14"/>
          </w:tcPr>
          <w:p>
            <w:pPr>
              <w:spacing w:after="0"/>
              <w:rPr>
                <w:sz w:val="19"/>
                <w:szCs w:val="19"/>
                <w:color w:val="auto"/>
              </w:rPr>
            </w:pPr>
          </w:p>
        </w:tc>
      </w:tr>
      <w:tr>
        <w:trPr>
          <w:trHeight w:val="156"/>
        </w:trPr>
        <w:tc>
          <w:tcPr>
            <w:tcW w:w="1260" w:type="dxa"/>
            <w:vAlign w:val="bottom"/>
          </w:tcPr>
          <w:p>
            <w:pPr>
              <w:spacing w:after="0"/>
              <w:rPr>
                <w:sz w:val="13"/>
                <w:szCs w:val="13"/>
                <w:color w:val="auto"/>
              </w:rPr>
            </w:pPr>
          </w:p>
        </w:tc>
        <w:tc>
          <w:tcPr>
            <w:tcW w:w="10020" w:type="dxa"/>
            <w:vAlign w:val="bottom"/>
            <w:gridSpan w:val="43"/>
          </w:tcPr>
          <w:p>
            <w:pPr>
              <w:spacing w:after="0" w:line="156" w:lineRule="exact"/>
              <w:rPr>
                <w:rFonts w:ascii="Calibri" w:cs="Calibri" w:eastAsia="Calibri" w:hAnsi="Calibri"/>
                <w:sz w:val="16"/>
                <w:szCs w:val="16"/>
                <w:color w:val="0000FF"/>
              </w:rPr>
            </w:pPr>
            <w:hyperlink r:id="rId110">
              <w:r>
                <w:rPr>
                  <w:rFonts w:ascii="Calibri" w:cs="Calibri" w:eastAsia="Calibri" w:hAnsi="Calibri"/>
                  <w:sz w:val="16"/>
                  <w:szCs w:val="16"/>
                  <w:color w:val="0000FF"/>
                </w:rPr>
                <w:t>Afliate of NYDIG, (iii) Greenidge Generaton Holdings Inc. ("Holdings"), (iv) Greenidge South Carolina, LLC, a wholly-owned direct subsidiary</w:t>
              </w:r>
            </w:hyperlink>
          </w:p>
        </w:tc>
      </w:tr>
      <w:tr>
        <w:trPr>
          <w:trHeight w:val="169"/>
        </w:trPr>
        <w:tc>
          <w:tcPr>
            <w:tcW w:w="1260" w:type="dxa"/>
            <w:vAlign w:val="bottom"/>
          </w:tcPr>
          <w:p>
            <w:pPr>
              <w:spacing w:after="0"/>
              <w:rPr>
                <w:sz w:val="14"/>
                <w:szCs w:val="14"/>
                <w:color w:val="auto"/>
              </w:rPr>
            </w:pPr>
          </w:p>
        </w:tc>
        <w:tc>
          <w:tcPr>
            <w:tcW w:w="9980" w:type="dxa"/>
            <w:vAlign w:val="bottom"/>
            <w:tcBorders>
              <w:top w:val="single" w:sz="8" w:color="0000FF"/>
            </w:tcBorders>
            <w:gridSpan w:val="41"/>
          </w:tcPr>
          <w:p>
            <w:pPr>
              <w:spacing w:after="0" w:line="169" w:lineRule="exact"/>
              <w:rPr>
                <w:rFonts w:ascii="Calibri" w:cs="Calibri" w:eastAsia="Calibri" w:hAnsi="Calibri"/>
                <w:sz w:val="18"/>
                <w:szCs w:val="18"/>
                <w:color w:val="0000FF"/>
                <w:w w:val="98"/>
              </w:rPr>
            </w:pPr>
            <w:hyperlink r:id="rId110">
              <w:r>
                <w:rPr>
                  <w:rFonts w:ascii="Calibri" w:cs="Calibri" w:eastAsia="Calibri" w:hAnsi="Calibri"/>
                  <w:sz w:val="18"/>
                  <w:szCs w:val="18"/>
                  <w:color w:val="0000FF"/>
                  <w:w w:val="98"/>
                </w:rPr>
                <w:t>of Holdings ("Property Seller Parent"), (v) 300 Jones Road LLC, a wholly-owned indirect subsidiary of Property Seller Parent, and (vi) each of</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9900" w:type="dxa"/>
            <w:vAlign w:val="bottom"/>
            <w:tcBorders>
              <w:top w:val="single" w:sz="8" w:color="0000FF"/>
            </w:tcBorders>
            <w:gridSpan w:val="37"/>
          </w:tcPr>
          <w:p>
            <w:pPr>
              <w:spacing w:after="0" w:line="156" w:lineRule="exact"/>
              <w:rPr>
                <w:rFonts w:ascii="Calibri" w:cs="Calibri" w:eastAsia="Calibri" w:hAnsi="Calibri"/>
                <w:sz w:val="16"/>
                <w:szCs w:val="16"/>
                <w:color w:val="0000FF"/>
              </w:rPr>
            </w:pPr>
            <w:hyperlink r:id="rId110">
              <w:r>
                <w:rPr>
                  <w:rFonts w:ascii="Calibri" w:cs="Calibri" w:eastAsia="Calibri" w:hAnsi="Calibri"/>
                  <w:sz w:val="16"/>
                  <w:szCs w:val="16"/>
                  <w:color w:val="0000FF"/>
                </w:rPr>
                <w:t>the wholly-owned direct and indirect Subsidiaries of Holdings listed on Annex I thereto (incorporated by reference to Exhibit 10.8 of the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60" w:type="dxa"/>
            <w:vAlign w:val="bottom"/>
          </w:tcPr>
          <w:p>
            <w:pPr>
              <w:spacing w:after="0"/>
              <w:rPr>
                <w:sz w:val="13"/>
                <w:szCs w:val="13"/>
                <w:color w:val="auto"/>
              </w:rPr>
            </w:pPr>
          </w:p>
        </w:tc>
        <w:tc>
          <w:tcPr>
            <w:tcW w:w="9640" w:type="dxa"/>
            <w:vAlign w:val="bottom"/>
            <w:tcBorders>
              <w:top w:val="single" w:sz="8" w:color="0000FF"/>
            </w:tcBorders>
            <w:gridSpan w:val="27"/>
          </w:tcPr>
          <w:p>
            <w:pPr>
              <w:spacing w:after="0" w:line="156" w:lineRule="exact"/>
              <w:rPr>
                <w:rFonts w:ascii="Calibri" w:cs="Calibri" w:eastAsia="Calibri" w:hAnsi="Calibri"/>
                <w:sz w:val="16"/>
                <w:szCs w:val="16"/>
                <w:color w:val="0000FF"/>
              </w:rPr>
            </w:pPr>
            <w:hyperlink r:id="rId110">
              <w:r>
                <w:rPr>
                  <w:rFonts w:ascii="Calibri" w:cs="Calibri" w:eastAsia="Calibri" w:hAnsi="Calibri"/>
                  <w:sz w:val="16"/>
                  <w:szCs w:val="16"/>
                  <w:color w:val="0000FF"/>
                </w:rPr>
                <w:t>Quarterly Report on Form 10-Q fled on November 14, 2023).</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Calibri" w:cs="Calibri" w:eastAsia="Calibri" w:hAnsi="Calibri"/>
                <w:sz w:val="18"/>
                <w:szCs w:val="18"/>
                <w:color w:val="auto"/>
              </w:rPr>
              <w:t>10.20</w:t>
            </w:r>
          </w:p>
        </w:tc>
        <w:tc>
          <w:tcPr>
            <w:tcW w:w="10020" w:type="dxa"/>
            <w:vAlign w:val="bottom"/>
            <w:gridSpan w:val="43"/>
          </w:tcPr>
          <w:p>
            <w:pPr>
              <w:spacing w:after="0"/>
              <w:rPr>
                <w:rFonts w:ascii="Calibri" w:cs="Calibri" w:eastAsia="Calibri" w:hAnsi="Calibri"/>
                <w:sz w:val="18"/>
                <w:szCs w:val="18"/>
                <w:color w:val="0000FF"/>
              </w:rPr>
            </w:pPr>
            <w:hyperlink r:id="rId111">
              <w:r>
                <w:rPr>
                  <w:rFonts w:ascii="Calibri" w:cs="Calibri" w:eastAsia="Calibri" w:hAnsi="Calibri"/>
                  <w:sz w:val="18"/>
                  <w:szCs w:val="18"/>
                  <w:color w:val="0000FF"/>
                </w:rPr>
                <w:t>Real Estate Purchase and Sale Agreement dated November 9, 2023, by and among (i) SC 1 Mining Site LLC, (ii) Greenidge Generaton</w:t>
              </w:r>
            </w:hyperlink>
          </w:p>
        </w:tc>
      </w:tr>
      <w:tr>
        <w:trPr>
          <w:trHeight w:val="155"/>
        </w:trPr>
        <w:tc>
          <w:tcPr>
            <w:tcW w:w="1260" w:type="dxa"/>
            <w:vAlign w:val="bottom"/>
          </w:tcPr>
          <w:p>
            <w:pPr>
              <w:spacing w:after="0"/>
              <w:rPr>
                <w:sz w:val="13"/>
                <w:szCs w:val="13"/>
                <w:color w:val="auto"/>
              </w:rPr>
            </w:pPr>
          </w:p>
        </w:tc>
        <w:tc>
          <w:tcPr>
            <w:tcW w:w="9380" w:type="dxa"/>
            <w:vAlign w:val="bottom"/>
            <w:tcBorders>
              <w:top w:val="single" w:sz="8" w:color="0000FF"/>
            </w:tcBorders>
            <w:gridSpan w:val="19"/>
          </w:tcPr>
          <w:p>
            <w:pPr>
              <w:spacing w:after="0" w:line="156" w:lineRule="exact"/>
              <w:rPr>
                <w:rFonts w:ascii="Calibri" w:cs="Calibri" w:eastAsia="Calibri" w:hAnsi="Calibri"/>
                <w:sz w:val="16"/>
                <w:szCs w:val="16"/>
                <w:color w:val="0000FF"/>
              </w:rPr>
            </w:pPr>
            <w:hyperlink r:id="rId111">
              <w:r>
                <w:rPr>
                  <w:rFonts w:ascii="Calibri" w:cs="Calibri" w:eastAsia="Calibri" w:hAnsi="Calibri"/>
                  <w:sz w:val="16"/>
                  <w:szCs w:val="16"/>
                  <w:color w:val="0000FF"/>
                </w:rPr>
                <w:t>Holdings Inc. ("Holdings"), (iii) Greenidge South Carolina LLC, a wholly-owned direct Subsidiary of Holdings ("Property Seller Parent"),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gridSpan w:val="20"/>
          </w:tcPr>
          <w:p>
            <w:pPr>
              <w:ind w:left="20"/>
              <w:spacing w:after="0" w:line="156" w:lineRule="exact"/>
              <w:rPr>
                <w:rFonts w:ascii="Calibri" w:cs="Calibri" w:eastAsia="Calibri" w:hAnsi="Calibri"/>
                <w:sz w:val="16"/>
                <w:szCs w:val="16"/>
                <w:color w:val="0000FF"/>
              </w:rPr>
            </w:pPr>
            <w:hyperlink r:id="rId111">
              <w:r>
                <w:rPr>
                  <w:rFonts w:ascii="Calibri" w:cs="Calibri" w:eastAsia="Calibri" w:hAnsi="Calibri"/>
                  <w:sz w:val="16"/>
                  <w:szCs w:val="16"/>
                  <w:color w:val="0000FF"/>
                </w:rPr>
                <w:t>(iv)</w:t>
              </w:r>
            </w:hyperlink>
          </w:p>
        </w:tc>
      </w:tr>
      <w:tr>
        <w:trPr>
          <w:trHeight w:val="169"/>
        </w:trPr>
        <w:tc>
          <w:tcPr>
            <w:tcW w:w="1260" w:type="dxa"/>
            <w:vAlign w:val="bottom"/>
          </w:tcPr>
          <w:p>
            <w:pPr>
              <w:spacing w:after="0"/>
              <w:rPr>
                <w:sz w:val="14"/>
                <w:szCs w:val="14"/>
                <w:color w:val="auto"/>
              </w:rPr>
            </w:pPr>
          </w:p>
        </w:tc>
        <w:tc>
          <w:tcPr>
            <w:tcW w:w="9720" w:type="dxa"/>
            <w:vAlign w:val="bottom"/>
            <w:tcBorders>
              <w:top w:val="single" w:sz="8" w:color="0000FF"/>
            </w:tcBorders>
            <w:gridSpan w:val="29"/>
          </w:tcPr>
          <w:p>
            <w:pPr>
              <w:spacing w:after="0" w:line="169" w:lineRule="exact"/>
              <w:rPr>
                <w:rFonts w:ascii="Calibri" w:cs="Calibri" w:eastAsia="Calibri" w:hAnsi="Calibri"/>
                <w:sz w:val="18"/>
                <w:szCs w:val="18"/>
                <w:color w:val="0000FF"/>
                <w:w w:val="98"/>
              </w:rPr>
            </w:pPr>
            <w:hyperlink r:id="rId111">
              <w:r>
                <w:rPr>
                  <w:rFonts w:ascii="Calibri" w:cs="Calibri" w:eastAsia="Calibri" w:hAnsi="Calibri"/>
                  <w:sz w:val="18"/>
                  <w:szCs w:val="18"/>
                  <w:color w:val="0000FF"/>
                  <w:w w:val="98"/>
                </w:rPr>
                <w:t>300 Jones Road LLC, a wholly-owned indirect Subsidiary of Property Seller Parent, and (v) each of the wholly-owned direct and indirect</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9540" w:type="dxa"/>
            <w:vAlign w:val="bottom"/>
            <w:tcBorders>
              <w:top w:val="single" w:sz="8" w:color="0000FF"/>
            </w:tcBorders>
            <w:gridSpan w:val="24"/>
          </w:tcPr>
          <w:p>
            <w:pPr>
              <w:spacing w:after="0" w:line="156" w:lineRule="exact"/>
              <w:rPr>
                <w:rFonts w:ascii="Calibri" w:cs="Calibri" w:eastAsia="Calibri" w:hAnsi="Calibri"/>
                <w:sz w:val="16"/>
                <w:szCs w:val="16"/>
                <w:color w:val="0000FF"/>
              </w:rPr>
            </w:pPr>
            <w:hyperlink r:id="rId111">
              <w:r>
                <w:rPr>
                  <w:rFonts w:ascii="Calibri" w:cs="Calibri" w:eastAsia="Calibri" w:hAnsi="Calibri"/>
                  <w:sz w:val="16"/>
                  <w:szCs w:val="16"/>
                  <w:color w:val="0000FF"/>
                </w:rPr>
                <w:t>Subsidiaries of Holdings listed on Annex I of the APA (incorporated by reference to Exhibit 10.9 to the Quarterly Report Form 10-Q fled</w:t>
              </w:r>
            </w:hyperlink>
          </w:p>
        </w:tc>
        <w:tc>
          <w:tcPr>
            <w:tcW w:w="40" w:type="dxa"/>
            <w:vAlign w:val="bottom"/>
          </w:tcPr>
          <w:p>
            <w:pPr>
              <w:spacing w:after="0"/>
              <w:rPr>
                <w:sz w:val="13"/>
                <w:szCs w:val="13"/>
                <w:color w:val="auto"/>
              </w:rPr>
            </w:pPr>
          </w:p>
        </w:tc>
        <w:tc>
          <w:tcPr>
            <w:tcW w:w="440" w:type="dxa"/>
            <w:vAlign w:val="bottom"/>
            <w:gridSpan w:val="18"/>
          </w:tcPr>
          <w:p>
            <w:pPr>
              <w:ind w:left="20"/>
              <w:spacing w:after="0" w:line="156" w:lineRule="exact"/>
              <w:rPr>
                <w:rFonts w:ascii="Calibri" w:cs="Calibri" w:eastAsia="Calibri" w:hAnsi="Calibri"/>
                <w:sz w:val="16"/>
                <w:szCs w:val="16"/>
                <w:color w:val="0000FF"/>
              </w:rPr>
            </w:pPr>
            <w:hyperlink r:id="rId111">
              <w:r>
                <w:rPr>
                  <w:rFonts w:ascii="Calibri" w:cs="Calibri" w:eastAsia="Calibri" w:hAnsi="Calibri"/>
                  <w:sz w:val="16"/>
                  <w:szCs w:val="16"/>
                  <w:color w:val="0000FF"/>
                </w:rPr>
                <w:t>on</w:t>
              </w:r>
            </w:hyperlink>
          </w:p>
        </w:tc>
      </w:tr>
      <w:tr>
        <w:trPr>
          <w:trHeight w:val="155"/>
        </w:trPr>
        <w:tc>
          <w:tcPr>
            <w:tcW w:w="1260" w:type="dxa"/>
            <w:vAlign w:val="bottom"/>
          </w:tcPr>
          <w:p>
            <w:pPr>
              <w:spacing w:after="0"/>
              <w:rPr>
                <w:sz w:val="13"/>
                <w:szCs w:val="13"/>
                <w:color w:val="auto"/>
              </w:rPr>
            </w:pPr>
          </w:p>
        </w:tc>
        <w:tc>
          <w:tcPr>
            <w:tcW w:w="9800" w:type="dxa"/>
            <w:vAlign w:val="bottom"/>
            <w:tcBorders>
              <w:top w:val="single" w:sz="8" w:color="0000FF"/>
            </w:tcBorders>
            <w:gridSpan w:val="32"/>
          </w:tcPr>
          <w:p>
            <w:pPr>
              <w:spacing w:after="0" w:line="156" w:lineRule="exact"/>
              <w:rPr>
                <w:rFonts w:ascii="Calibri" w:cs="Calibri" w:eastAsia="Calibri" w:hAnsi="Calibri"/>
                <w:sz w:val="16"/>
                <w:szCs w:val="16"/>
                <w:color w:val="0000FF"/>
              </w:rPr>
            </w:pPr>
            <w:hyperlink r:id="rId111">
              <w:r>
                <w:rPr>
                  <w:rFonts w:ascii="Calibri" w:cs="Calibri" w:eastAsia="Calibri" w:hAnsi="Calibri"/>
                  <w:sz w:val="16"/>
                  <w:szCs w:val="16"/>
                  <w:color w:val="0000FF"/>
                </w:rPr>
                <w:t>November 14,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Calibri" w:cs="Calibri" w:eastAsia="Calibri" w:hAnsi="Calibri"/>
                <w:sz w:val="18"/>
                <w:szCs w:val="18"/>
                <w:color w:val="auto"/>
              </w:rPr>
              <w:t>10.21</w:t>
            </w:r>
          </w:p>
        </w:tc>
        <w:tc>
          <w:tcPr>
            <w:tcW w:w="10020" w:type="dxa"/>
            <w:vAlign w:val="bottom"/>
            <w:gridSpan w:val="43"/>
          </w:tcPr>
          <w:p>
            <w:pPr>
              <w:spacing w:after="0"/>
              <w:rPr>
                <w:rFonts w:ascii="Calibri" w:cs="Calibri" w:eastAsia="Calibri" w:hAnsi="Calibri"/>
                <w:sz w:val="18"/>
                <w:szCs w:val="18"/>
                <w:color w:val="0000FF"/>
              </w:rPr>
            </w:pPr>
            <w:hyperlink r:id="rId112">
              <w:r>
                <w:rPr>
                  <w:rFonts w:ascii="Calibri" w:cs="Calibri" w:eastAsia="Calibri" w:hAnsi="Calibri"/>
                  <w:sz w:val="18"/>
                  <w:szCs w:val="18"/>
                  <w:color w:val="0000FF"/>
                </w:rPr>
                <w:t>Transiton Services Agreement, dated November 9, 2023, by and between SC 1 Mining Site LLC and Greenidge Generaton Holdings Inc.</w:t>
              </w:r>
            </w:hyperlink>
          </w:p>
        </w:tc>
      </w:tr>
      <w:tr>
        <w:trPr>
          <w:trHeight w:val="156"/>
        </w:trPr>
        <w:tc>
          <w:tcPr>
            <w:tcW w:w="126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15"/>
          </w:tcPr>
          <w:p>
            <w:pPr>
              <w:spacing w:after="0" w:line="156" w:lineRule="exact"/>
              <w:rPr>
                <w:rFonts w:ascii="Calibri" w:cs="Calibri" w:eastAsia="Calibri" w:hAnsi="Calibri"/>
                <w:sz w:val="16"/>
                <w:szCs w:val="16"/>
                <w:color w:val="0000FF"/>
              </w:rPr>
            </w:pPr>
            <w:hyperlink r:id="rId112">
              <w:r>
                <w:rPr>
                  <w:rFonts w:ascii="Calibri" w:cs="Calibri" w:eastAsia="Calibri" w:hAnsi="Calibri"/>
                  <w:sz w:val="16"/>
                  <w:szCs w:val="16"/>
                  <w:color w:val="0000FF"/>
                </w:rPr>
                <w:t>(incorporated by reference to Exhibit 10.10 to the Quarterly Report on Form 10-Q fled on November 14, 2023).</w:t>
              </w:r>
            </w:hyperlink>
          </w:p>
        </w:tc>
        <w:tc>
          <w:tcPr>
            <w:tcW w:w="1660" w:type="dxa"/>
            <w:vAlign w:val="bottom"/>
            <w:tcBorders>
              <w:top w:val="single" w:sz="8" w:color="0000FF"/>
            </w:tcBorders>
            <w:gridSpan w:val="10"/>
          </w:tcPr>
          <w:p>
            <w:pPr>
              <w:spacing w:after="0"/>
              <w:rPr>
                <w:sz w:val="13"/>
                <w:szCs w:val="13"/>
                <w:color w:val="auto"/>
              </w:rPr>
            </w:pPr>
          </w:p>
        </w:tc>
        <w:tc>
          <w:tcPr>
            <w:tcW w:w="16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Calibri" w:cs="Calibri" w:eastAsia="Calibri" w:hAnsi="Calibri"/>
                <w:sz w:val="18"/>
                <w:szCs w:val="18"/>
                <w:color w:val="auto"/>
              </w:rPr>
              <w:t>10.22</w:t>
            </w:r>
          </w:p>
        </w:tc>
        <w:tc>
          <w:tcPr>
            <w:tcW w:w="10020" w:type="dxa"/>
            <w:vAlign w:val="bottom"/>
            <w:gridSpan w:val="43"/>
          </w:tcPr>
          <w:p>
            <w:pPr>
              <w:spacing w:after="0"/>
              <w:rPr>
                <w:rFonts w:ascii="Calibri" w:cs="Calibri" w:eastAsia="Calibri" w:hAnsi="Calibri"/>
                <w:sz w:val="18"/>
                <w:szCs w:val="18"/>
                <w:color w:val="0000FF"/>
                <w:w w:val="98"/>
              </w:rPr>
            </w:pPr>
            <w:hyperlink r:id="rId113">
              <w:r>
                <w:rPr>
                  <w:rFonts w:ascii="Calibri" w:cs="Calibri" w:eastAsia="Calibri" w:hAnsi="Calibri"/>
                  <w:sz w:val="18"/>
                  <w:szCs w:val="18"/>
                  <w:color w:val="0000FF"/>
                  <w:w w:val="98"/>
                </w:rPr>
                <w:t>Hostng Order Terminaton Agreement, dated November 9, 2023, between Greenidge South Carolina LLC, and SC 1 Mining LLC (incorporated</w:t>
              </w:r>
            </w:hyperlink>
          </w:p>
        </w:tc>
      </w:tr>
      <w:tr>
        <w:trPr>
          <w:trHeight w:val="155"/>
        </w:trPr>
        <w:tc>
          <w:tcPr>
            <w:tcW w:w="126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1"/>
          </w:tcPr>
          <w:p>
            <w:pPr>
              <w:spacing w:after="0" w:line="156" w:lineRule="exact"/>
              <w:rPr>
                <w:rFonts w:ascii="Calibri" w:cs="Calibri" w:eastAsia="Calibri" w:hAnsi="Calibri"/>
                <w:sz w:val="16"/>
                <w:szCs w:val="16"/>
                <w:color w:val="0000FF"/>
              </w:rPr>
            </w:pPr>
            <w:hyperlink r:id="rId113">
              <w:r>
                <w:rPr>
                  <w:rFonts w:ascii="Calibri" w:cs="Calibri" w:eastAsia="Calibri" w:hAnsi="Calibri"/>
                  <w:sz w:val="16"/>
                  <w:szCs w:val="16"/>
                  <w:color w:val="0000FF"/>
                </w:rPr>
                <w:t>by reference to Exhibit 10.11 to the Quarterly Report on Form 10-Q fled on November 14, 2023).</w:t>
              </w:r>
            </w:hyperlink>
          </w:p>
        </w:tc>
        <w:tc>
          <w:tcPr>
            <w:tcW w:w="310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Calibri" w:cs="Calibri" w:eastAsia="Calibri" w:hAnsi="Calibri"/>
                <w:sz w:val="18"/>
                <w:szCs w:val="18"/>
                <w:color w:val="auto"/>
              </w:rPr>
              <w:t>10.23†</w:t>
            </w:r>
          </w:p>
        </w:tc>
        <w:tc>
          <w:tcPr>
            <w:tcW w:w="10020" w:type="dxa"/>
            <w:vAlign w:val="bottom"/>
            <w:gridSpan w:val="43"/>
          </w:tcPr>
          <w:p>
            <w:pPr>
              <w:spacing w:after="0"/>
              <w:rPr>
                <w:rFonts w:ascii="Calibri" w:cs="Calibri" w:eastAsia="Calibri" w:hAnsi="Calibri"/>
                <w:sz w:val="18"/>
                <w:szCs w:val="18"/>
                <w:color w:val="0000FF"/>
              </w:rPr>
            </w:pPr>
            <w:hyperlink r:id="rId114">
              <w:r>
                <w:rPr>
                  <w:rFonts w:ascii="Calibri" w:cs="Calibri" w:eastAsia="Calibri" w:hAnsi="Calibri"/>
                  <w:sz w:val="18"/>
                  <w:szCs w:val="18"/>
                  <w:color w:val="0000FF"/>
                </w:rPr>
                <w:t>Ofer Leter, efectve October 11, 2023, between Greenidge Generaton Holdings Inc. and Christan Mulvihill (incorporated by reference to</w:t>
              </w:r>
            </w:hyperlink>
          </w:p>
        </w:tc>
      </w:tr>
      <w:tr>
        <w:trPr>
          <w:trHeight w:val="155"/>
        </w:trPr>
        <w:tc>
          <w:tcPr>
            <w:tcW w:w="1260" w:type="dxa"/>
            <w:vAlign w:val="bottom"/>
          </w:tcPr>
          <w:p>
            <w:pPr>
              <w:spacing w:after="0"/>
              <w:rPr>
                <w:sz w:val="13"/>
                <w:szCs w:val="13"/>
                <w:color w:val="auto"/>
              </w:rPr>
            </w:pPr>
          </w:p>
        </w:tc>
        <w:tc>
          <w:tcPr>
            <w:tcW w:w="9840" w:type="dxa"/>
            <w:vAlign w:val="bottom"/>
            <w:tcBorders>
              <w:top w:val="single" w:sz="8" w:color="0000FF"/>
            </w:tcBorders>
            <w:gridSpan w:val="34"/>
          </w:tcPr>
          <w:p>
            <w:pPr>
              <w:spacing w:after="0" w:line="156" w:lineRule="exact"/>
              <w:rPr>
                <w:rFonts w:ascii="Calibri" w:cs="Calibri" w:eastAsia="Calibri" w:hAnsi="Calibri"/>
                <w:sz w:val="16"/>
                <w:szCs w:val="16"/>
                <w:color w:val="0000FF"/>
              </w:rPr>
            </w:pPr>
            <w:hyperlink r:id="rId114">
              <w:r>
                <w:rPr>
                  <w:rFonts w:ascii="Calibri" w:cs="Calibri" w:eastAsia="Calibri" w:hAnsi="Calibri"/>
                  <w:sz w:val="16"/>
                  <w:szCs w:val="16"/>
                  <w:color w:val="0000FF"/>
                </w:rPr>
                <w:t>Exhibit 10.37 to the Annual Report on Form 10-K fled on April 9, 2024)</w:t>
              </w:r>
              <w:r>
                <w:rPr>
                  <w:rFonts w:ascii="Calibri" w:cs="Calibri" w:eastAsia="Calibri" w:hAnsi="Calibri"/>
                  <w:sz w:val="16"/>
                  <w:szCs w:val="16"/>
                  <w:u w:val="single" w:color="auto"/>
                  <w:color w:val="0000FF"/>
                </w:rPr>
                <w:t>.</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502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43"/>
        </w:trPr>
        <w:tc>
          <w:tcPr>
            <w:tcW w:w="1260" w:type="dxa"/>
            <w:vAlign w:val="bottom"/>
          </w:tcPr>
          <w:p>
            <w:pPr>
              <w:ind w:left="20"/>
              <w:spacing w:after="0"/>
              <w:rPr>
                <w:sz w:val="20"/>
                <w:szCs w:val="20"/>
                <w:color w:val="auto"/>
              </w:rPr>
            </w:pPr>
            <w:r>
              <w:rPr>
                <w:rFonts w:ascii="Calibri" w:cs="Calibri" w:eastAsia="Calibri" w:hAnsi="Calibri"/>
                <w:sz w:val="18"/>
                <w:szCs w:val="18"/>
                <w:color w:val="auto"/>
              </w:rPr>
              <w:t>10.24†</w:t>
            </w:r>
          </w:p>
        </w:tc>
        <w:tc>
          <w:tcPr>
            <w:tcW w:w="10020" w:type="dxa"/>
            <w:vAlign w:val="bottom"/>
            <w:gridSpan w:val="43"/>
          </w:tcPr>
          <w:p>
            <w:pPr>
              <w:spacing w:after="0"/>
              <w:rPr>
                <w:rFonts w:ascii="Calibri" w:cs="Calibri" w:eastAsia="Calibri" w:hAnsi="Calibri"/>
                <w:sz w:val="18"/>
                <w:szCs w:val="18"/>
                <w:color w:val="0000FF"/>
              </w:rPr>
            </w:pPr>
            <w:hyperlink r:id="rId114">
              <w:r>
                <w:rPr>
                  <w:rFonts w:ascii="Calibri" w:cs="Calibri" w:eastAsia="Calibri" w:hAnsi="Calibri"/>
                  <w:sz w:val="18"/>
                  <w:szCs w:val="18"/>
                  <w:color w:val="0000FF"/>
                </w:rPr>
                <w:t>Ofer Leter, dated November 16, 2023, between Greenidge Generaton Holdings Inc. and Jordan Kovler (incorporated by reference to</w:t>
              </w:r>
            </w:hyperlink>
          </w:p>
        </w:tc>
      </w:tr>
      <w:tr>
        <w:trPr>
          <w:trHeight w:val="135"/>
        </w:trPr>
        <w:tc>
          <w:tcPr>
            <w:tcW w:w="1260" w:type="dxa"/>
            <w:vAlign w:val="bottom"/>
          </w:tcPr>
          <w:p>
            <w:pPr>
              <w:spacing w:after="0"/>
              <w:rPr>
                <w:sz w:val="11"/>
                <w:szCs w:val="11"/>
                <w:color w:val="auto"/>
              </w:rPr>
            </w:pPr>
          </w:p>
        </w:tc>
        <w:tc>
          <w:tcPr>
            <w:tcW w:w="7380" w:type="dxa"/>
            <w:vAlign w:val="bottom"/>
            <w:tcBorders>
              <w:top w:val="single" w:sz="8" w:color="0000FF"/>
            </w:tcBorders>
            <w:gridSpan w:val="12"/>
          </w:tcPr>
          <w:p>
            <w:pPr>
              <w:spacing w:after="0" w:line="135" w:lineRule="exact"/>
              <w:rPr>
                <w:rFonts w:ascii="Calibri" w:cs="Calibri" w:eastAsia="Calibri" w:hAnsi="Calibri"/>
                <w:sz w:val="13"/>
                <w:szCs w:val="13"/>
                <w:color w:val="0000FF"/>
              </w:rPr>
            </w:pPr>
            <w:hyperlink r:id="rId114">
              <w:r>
                <w:rPr>
                  <w:rFonts w:ascii="Calibri" w:cs="Calibri" w:eastAsia="Calibri" w:hAnsi="Calibri"/>
                  <w:sz w:val="13"/>
                  <w:szCs w:val="13"/>
                  <w:color w:val="0000FF"/>
                </w:rPr>
                <w:t>Exhibit 10.37 to the Annual Report on Form 10-K fled on April 9, 2024).</w:t>
              </w:r>
            </w:hyperlink>
          </w:p>
        </w:tc>
        <w:tc>
          <w:tcPr>
            <w:tcW w:w="1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260" w:type="dxa"/>
            <w:vAlign w:val="bottom"/>
          </w:tcPr>
          <w:p>
            <w:pPr>
              <w:spacing w:after="0" w:line="20" w:lineRule="exact"/>
              <w:rPr>
                <w:sz w:val="1"/>
                <w:szCs w:val="1"/>
                <w:color w:val="auto"/>
              </w:rPr>
            </w:pPr>
          </w:p>
        </w:tc>
        <w:tc>
          <w:tcPr>
            <w:tcW w:w="5060" w:type="dxa"/>
            <w:vAlign w:val="bottom"/>
            <w:gridSpan w:val="8"/>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Calibri" w:cs="Calibri" w:eastAsia="Calibri" w:hAnsi="Calibri"/>
                <w:sz w:val="18"/>
                <w:szCs w:val="18"/>
                <w:color w:val="auto"/>
              </w:rPr>
              <w:t>10.25</w:t>
            </w:r>
          </w:p>
        </w:tc>
        <w:tc>
          <w:tcPr>
            <w:tcW w:w="10020" w:type="dxa"/>
            <w:vAlign w:val="bottom"/>
            <w:gridSpan w:val="43"/>
          </w:tcPr>
          <w:p>
            <w:pPr>
              <w:spacing w:after="0"/>
              <w:rPr>
                <w:rFonts w:ascii="Calibri" w:cs="Calibri" w:eastAsia="Calibri" w:hAnsi="Calibri"/>
                <w:sz w:val="18"/>
                <w:szCs w:val="18"/>
                <w:color w:val="0000FF"/>
              </w:rPr>
            </w:pPr>
            <w:hyperlink r:id="rId115">
              <w:r>
                <w:rPr>
                  <w:rFonts w:ascii="Calibri" w:cs="Calibri" w:eastAsia="Calibri" w:hAnsi="Calibri"/>
                  <w:sz w:val="18"/>
                  <w:szCs w:val="18"/>
                  <w:color w:val="0000FF"/>
                </w:rPr>
                <w:t>Master Services Agreement, dated December 11, 2023, by and between Greenidge Generaton Holdings Inc. and Infnite Reality, Inc.</w:t>
              </w:r>
            </w:hyperlink>
          </w:p>
        </w:tc>
      </w:tr>
      <w:tr>
        <w:trPr>
          <w:trHeight w:val="156"/>
        </w:trPr>
        <w:tc>
          <w:tcPr>
            <w:tcW w:w="126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13"/>
          </w:tcPr>
          <w:p>
            <w:pPr>
              <w:spacing w:after="0" w:line="156" w:lineRule="exact"/>
              <w:rPr>
                <w:rFonts w:ascii="Calibri" w:cs="Calibri" w:eastAsia="Calibri" w:hAnsi="Calibri"/>
                <w:sz w:val="16"/>
                <w:szCs w:val="16"/>
                <w:color w:val="0000FF"/>
              </w:rPr>
            </w:pPr>
            <w:hyperlink r:id="rId115">
              <w:r>
                <w:rPr>
                  <w:rFonts w:ascii="Calibri" w:cs="Calibri" w:eastAsia="Calibri" w:hAnsi="Calibri"/>
                  <w:sz w:val="16"/>
                  <w:szCs w:val="16"/>
                  <w:color w:val="0000FF"/>
                </w:rPr>
                <w:t>(incorporated by reference to Exhibit 10.1 to the Current Report on Form 8-K fled on December 12, 2023).</w:t>
              </w:r>
            </w:hyperlink>
          </w:p>
        </w:tc>
        <w:tc>
          <w:tcPr>
            <w:tcW w:w="18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9"/>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Calibri" w:cs="Calibri" w:eastAsia="Calibri" w:hAnsi="Calibri"/>
                <w:sz w:val="18"/>
                <w:szCs w:val="18"/>
                <w:color w:val="auto"/>
              </w:rPr>
              <w:t>10.26</w:t>
            </w:r>
          </w:p>
        </w:tc>
        <w:tc>
          <w:tcPr>
            <w:tcW w:w="10020" w:type="dxa"/>
            <w:vAlign w:val="bottom"/>
            <w:gridSpan w:val="43"/>
          </w:tcPr>
          <w:p>
            <w:pPr>
              <w:spacing w:after="0"/>
              <w:rPr>
                <w:rFonts w:ascii="Calibri" w:cs="Calibri" w:eastAsia="Calibri" w:hAnsi="Calibri"/>
                <w:sz w:val="18"/>
                <w:szCs w:val="18"/>
                <w:color w:val="0000FF"/>
              </w:rPr>
            </w:pPr>
            <w:hyperlink r:id="rId116">
              <w:r>
                <w:rPr>
                  <w:rFonts w:ascii="Calibri" w:cs="Calibri" w:eastAsia="Calibri" w:hAnsi="Calibri"/>
                  <w:sz w:val="18"/>
                  <w:szCs w:val="18"/>
                  <w:color w:val="0000FF"/>
                </w:rPr>
                <w:t>Equity Exchange Agreement, dated December 11, 2023, by and between Greenidge Generaton Holdings Inc. and Infnite Reality, Inc.</w:t>
              </w:r>
            </w:hyperlink>
          </w:p>
        </w:tc>
      </w:tr>
      <w:tr>
        <w:trPr>
          <w:trHeight w:val="155"/>
        </w:trPr>
        <w:tc>
          <w:tcPr>
            <w:tcW w:w="126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13"/>
          </w:tcPr>
          <w:p>
            <w:pPr>
              <w:spacing w:after="0" w:line="156" w:lineRule="exact"/>
              <w:rPr>
                <w:rFonts w:ascii="Calibri" w:cs="Calibri" w:eastAsia="Calibri" w:hAnsi="Calibri"/>
                <w:sz w:val="16"/>
                <w:szCs w:val="16"/>
                <w:color w:val="0000FF"/>
              </w:rPr>
            </w:pPr>
            <w:hyperlink r:id="rId116">
              <w:r>
                <w:rPr>
                  <w:rFonts w:ascii="Calibri" w:cs="Calibri" w:eastAsia="Calibri" w:hAnsi="Calibri"/>
                  <w:sz w:val="16"/>
                  <w:szCs w:val="16"/>
                  <w:color w:val="0000FF"/>
                </w:rPr>
                <w:t>(incorporated by reference to Exhibit 10.2 to the Current Report on Form 8-K fled on December 12, 2023).</w:t>
              </w:r>
            </w:hyperlink>
          </w:p>
        </w:tc>
        <w:tc>
          <w:tcPr>
            <w:tcW w:w="1860" w:type="dxa"/>
            <w:vAlign w:val="bottom"/>
            <w:tcBorders>
              <w:top w:val="single" w:sz="8" w:color="0000FF"/>
            </w:tcBorders>
            <w:gridSpan w:val="8"/>
          </w:tcPr>
          <w:p>
            <w:pPr>
              <w:spacing w:after="0"/>
              <w:rPr>
                <w:sz w:val="13"/>
                <w:szCs w:val="13"/>
                <w:color w:val="auto"/>
              </w:rPr>
            </w:pPr>
          </w:p>
        </w:tc>
        <w:tc>
          <w:tcPr>
            <w:tcW w:w="320" w:type="dxa"/>
            <w:vAlign w:val="bottom"/>
            <w:gridSpan w:val="9"/>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Calibri" w:cs="Calibri" w:eastAsia="Calibri" w:hAnsi="Calibri"/>
                <w:sz w:val="18"/>
                <w:szCs w:val="18"/>
                <w:color w:val="auto"/>
              </w:rPr>
              <w:t>10.27</w:t>
            </w:r>
          </w:p>
        </w:tc>
        <w:tc>
          <w:tcPr>
            <w:tcW w:w="10020" w:type="dxa"/>
            <w:vAlign w:val="bottom"/>
            <w:gridSpan w:val="43"/>
          </w:tcPr>
          <w:p>
            <w:pPr>
              <w:spacing w:after="0"/>
              <w:rPr>
                <w:rFonts w:ascii="Calibri" w:cs="Calibri" w:eastAsia="Calibri" w:hAnsi="Calibri"/>
                <w:sz w:val="18"/>
                <w:szCs w:val="18"/>
                <w:color w:val="0000FF"/>
              </w:rPr>
            </w:pPr>
            <w:hyperlink r:id="rId117">
              <w:r>
                <w:rPr>
                  <w:rFonts w:ascii="Calibri" w:cs="Calibri" w:eastAsia="Calibri" w:hAnsi="Calibri"/>
                  <w:sz w:val="18"/>
                  <w:szCs w:val="18"/>
                  <w:color w:val="0000FF"/>
                </w:rPr>
                <w:t>Stock Purchase Warrant, dated December 11, 2023, issued by Greenidge Generaton Holdings Inc. to Infnite Reality, Inc. (incorporated by</w:t>
              </w:r>
            </w:hyperlink>
          </w:p>
        </w:tc>
      </w:tr>
      <w:tr>
        <w:trPr>
          <w:trHeight w:val="155"/>
        </w:trPr>
        <w:tc>
          <w:tcPr>
            <w:tcW w:w="126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9"/>
          </w:tcPr>
          <w:p>
            <w:pPr>
              <w:spacing w:after="0" w:line="156" w:lineRule="exact"/>
              <w:rPr>
                <w:rFonts w:ascii="Calibri" w:cs="Calibri" w:eastAsia="Calibri" w:hAnsi="Calibri"/>
                <w:sz w:val="16"/>
                <w:szCs w:val="16"/>
                <w:color w:val="0000FF"/>
              </w:rPr>
            </w:pPr>
            <w:hyperlink r:id="rId117">
              <w:r>
                <w:rPr>
                  <w:rFonts w:ascii="Calibri" w:cs="Calibri" w:eastAsia="Calibri" w:hAnsi="Calibri"/>
                  <w:sz w:val="16"/>
                  <w:szCs w:val="16"/>
                  <w:color w:val="0000FF"/>
                </w:rPr>
                <w:t>reference to Exhibit 10.3 to the Current Report on Form 8-K fled on December 12, 2023).</w:t>
              </w:r>
            </w:hyperlink>
          </w:p>
        </w:tc>
        <w:tc>
          <w:tcPr>
            <w:tcW w:w="3400" w:type="dxa"/>
            <w:vAlign w:val="bottom"/>
            <w:tcBorders>
              <w:top w:val="single" w:sz="8" w:color="0000FF"/>
            </w:tcBorders>
            <w:gridSpan w:val="21"/>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Calibri" w:cs="Calibri" w:eastAsia="Calibri" w:hAnsi="Calibri"/>
                <w:sz w:val="18"/>
                <w:szCs w:val="18"/>
                <w:color w:val="auto"/>
              </w:rPr>
              <w:t>10.28</w:t>
            </w:r>
          </w:p>
        </w:tc>
        <w:tc>
          <w:tcPr>
            <w:tcW w:w="10020" w:type="dxa"/>
            <w:vAlign w:val="bottom"/>
            <w:gridSpan w:val="43"/>
          </w:tcPr>
          <w:p>
            <w:pPr>
              <w:spacing w:after="0"/>
              <w:rPr>
                <w:rFonts w:ascii="Calibri" w:cs="Calibri" w:eastAsia="Calibri" w:hAnsi="Calibri"/>
                <w:sz w:val="18"/>
                <w:szCs w:val="18"/>
                <w:color w:val="0000FF"/>
                <w:w w:val="99"/>
              </w:rPr>
            </w:pPr>
            <w:hyperlink r:id="rId118">
              <w:r>
                <w:rPr>
                  <w:rFonts w:ascii="Calibri" w:cs="Calibri" w:eastAsia="Calibri" w:hAnsi="Calibri"/>
                  <w:sz w:val="18"/>
                  <w:szCs w:val="18"/>
                  <w:color w:val="0000FF"/>
                  <w:w w:val="99"/>
                </w:rPr>
                <w:t>Warrant to Purchase Shares of Common Stock, dated December 11, 2023, issued by Infnite Reality, Inc. to Greenidge Generaton Holdings</w:t>
              </w:r>
            </w:hyperlink>
          </w:p>
        </w:tc>
      </w:tr>
      <w:tr>
        <w:trPr>
          <w:trHeight w:val="156"/>
        </w:trPr>
        <w:tc>
          <w:tcPr>
            <w:tcW w:w="1260" w:type="dxa"/>
            <w:vAlign w:val="bottom"/>
          </w:tcPr>
          <w:p>
            <w:pPr>
              <w:spacing w:after="0"/>
              <w:rPr>
                <w:sz w:val="13"/>
                <w:szCs w:val="13"/>
                <w:color w:val="auto"/>
              </w:rPr>
            </w:pPr>
          </w:p>
        </w:tc>
        <w:tc>
          <w:tcPr>
            <w:tcW w:w="9820" w:type="dxa"/>
            <w:vAlign w:val="bottom"/>
            <w:tcBorders>
              <w:top w:val="single" w:sz="8" w:color="0000FF"/>
            </w:tcBorders>
            <w:gridSpan w:val="33"/>
          </w:tcPr>
          <w:p>
            <w:pPr>
              <w:spacing w:after="0" w:line="156" w:lineRule="exact"/>
              <w:rPr>
                <w:rFonts w:ascii="Calibri" w:cs="Calibri" w:eastAsia="Calibri" w:hAnsi="Calibri"/>
                <w:sz w:val="16"/>
                <w:szCs w:val="16"/>
                <w:color w:val="0000FF"/>
              </w:rPr>
            </w:pPr>
            <w:hyperlink r:id="rId118">
              <w:r>
                <w:rPr>
                  <w:rFonts w:ascii="Calibri" w:cs="Calibri" w:eastAsia="Calibri" w:hAnsi="Calibri"/>
                  <w:sz w:val="16"/>
                  <w:szCs w:val="16"/>
                  <w:color w:val="0000FF"/>
                </w:rPr>
                <w:t>Inc. (incorporated by reference to Exhibit 10.4 to the Current Report on Form 8-K fled on December 12, 2023).</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7840" w:type="dxa"/>
            <w:vAlign w:val="bottom"/>
            <w:gridSpan w:val="1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1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Calibri" w:cs="Calibri" w:eastAsia="Calibri" w:hAnsi="Calibri"/>
                <w:sz w:val="18"/>
                <w:szCs w:val="18"/>
                <w:color w:val="auto"/>
              </w:rPr>
              <w:t>10.29</w:t>
            </w:r>
          </w:p>
        </w:tc>
        <w:tc>
          <w:tcPr>
            <w:tcW w:w="10020" w:type="dxa"/>
            <w:vAlign w:val="bottom"/>
            <w:gridSpan w:val="43"/>
          </w:tcPr>
          <w:p>
            <w:pPr>
              <w:spacing w:after="0"/>
              <w:rPr>
                <w:rFonts w:ascii="Calibri" w:cs="Calibri" w:eastAsia="Calibri" w:hAnsi="Calibri"/>
                <w:sz w:val="18"/>
                <w:szCs w:val="18"/>
                <w:color w:val="0000FF"/>
                <w:w w:val="99"/>
              </w:rPr>
            </w:pPr>
            <w:hyperlink r:id="rId119">
              <w:r>
                <w:rPr>
                  <w:rFonts w:ascii="Calibri" w:cs="Calibri" w:eastAsia="Calibri" w:hAnsi="Calibri"/>
                  <w:sz w:val="18"/>
                  <w:szCs w:val="18"/>
                  <w:color w:val="0000FF"/>
                  <w:w w:val="99"/>
                </w:rPr>
                <w:t>Securites Purchase Agreement, dated February 12, 2024, by and between Greenidge Generaton Holdings Inc. and Armistce Capital Master</w:t>
              </w:r>
            </w:hyperlink>
          </w:p>
        </w:tc>
      </w:tr>
      <w:tr>
        <w:trPr>
          <w:trHeight w:val="155"/>
        </w:trPr>
        <w:tc>
          <w:tcPr>
            <w:tcW w:w="126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16"/>
          </w:tcPr>
          <w:p>
            <w:pPr>
              <w:spacing w:after="0" w:line="156" w:lineRule="exact"/>
              <w:rPr>
                <w:rFonts w:ascii="Calibri" w:cs="Calibri" w:eastAsia="Calibri" w:hAnsi="Calibri"/>
                <w:sz w:val="16"/>
                <w:szCs w:val="16"/>
                <w:color w:val="0000FF"/>
              </w:rPr>
            </w:pPr>
            <w:hyperlink r:id="rId119">
              <w:r>
                <w:rPr>
                  <w:rFonts w:ascii="Calibri" w:cs="Calibri" w:eastAsia="Calibri" w:hAnsi="Calibri"/>
                  <w:sz w:val="16"/>
                  <w:szCs w:val="16"/>
                  <w:color w:val="0000FF"/>
                </w:rPr>
                <w:t>Fund Ltd. (incorporated by reference to Exhibit 10.1 to the Current Report on Form 8-K fled on February 16, 2024).</w:t>
              </w:r>
            </w:hyperlink>
          </w:p>
        </w:tc>
        <w:tc>
          <w:tcPr>
            <w:tcW w:w="1800" w:type="dxa"/>
            <w:vAlign w:val="bottom"/>
            <w:tcBorders>
              <w:top w:val="single" w:sz="8" w:color="0000FF"/>
            </w:tcBorders>
            <w:gridSpan w:val="2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Calibri" w:cs="Calibri" w:eastAsia="Calibri" w:hAnsi="Calibri"/>
                <w:sz w:val="18"/>
                <w:szCs w:val="18"/>
                <w:color w:val="auto"/>
              </w:rPr>
              <w:t>10.30</w:t>
            </w:r>
          </w:p>
        </w:tc>
        <w:tc>
          <w:tcPr>
            <w:tcW w:w="10020" w:type="dxa"/>
            <w:vAlign w:val="bottom"/>
            <w:gridSpan w:val="43"/>
          </w:tcPr>
          <w:p>
            <w:pPr>
              <w:spacing w:after="0"/>
              <w:rPr>
                <w:rFonts w:ascii="Calibri" w:cs="Calibri" w:eastAsia="Calibri" w:hAnsi="Calibri"/>
                <w:sz w:val="18"/>
                <w:szCs w:val="18"/>
                <w:color w:val="0000FF"/>
                <w:w w:val="99"/>
              </w:rPr>
            </w:pPr>
            <w:hyperlink r:id="rId120">
              <w:r>
                <w:rPr>
                  <w:rFonts w:ascii="Calibri" w:cs="Calibri" w:eastAsia="Calibri" w:hAnsi="Calibri"/>
                  <w:sz w:val="18"/>
                  <w:szCs w:val="18"/>
                  <w:color w:val="0000FF"/>
                  <w:w w:val="99"/>
                </w:rPr>
                <w:t>Pre-Funded Common Stock Purchase Warrant, dated February 14, 2024, issued by Greenidge Generaton Holdings Inc. to Armistce Capital</w:t>
              </w:r>
            </w:hyperlink>
          </w:p>
        </w:tc>
      </w:tr>
      <w:tr>
        <w:trPr>
          <w:trHeight w:val="155"/>
        </w:trPr>
        <w:tc>
          <w:tcPr>
            <w:tcW w:w="1260" w:type="dxa"/>
            <w:vAlign w:val="bottom"/>
          </w:tcPr>
          <w:p>
            <w:pPr>
              <w:spacing w:after="0"/>
              <w:rPr>
                <w:sz w:val="13"/>
                <w:szCs w:val="13"/>
                <w:color w:val="auto"/>
              </w:rPr>
            </w:pPr>
          </w:p>
        </w:tc>
        <w:tc>
          <w:tcPr>
            <w:tcW w:w="9860" w:type="dxa"/>
            <w:vAlign w:val="bottom"/>
            <w:tcBorders>
              <w:top w:val="single" w:sz="8" w:color="0000FF"/>
            </w:tcBorders>
            <w:gridSpan w:val="35"/>
          </w:tcPr>
          <w:p>
            <w:pPr>
              <w:spacing w:after="0" w:line="156" w:lineRule="exact"/>
              <w:rPr>
                <w:rFonts w:ascii="Calibri" w:cs="Calibri" w:eastAsia="Calibri" w:hAnsi="Calibri"/>
                <w:sz w:val="16"/>
                <w:szCs w:val="16"/>
                <w:color w:val="0000FF"/>
              </w:rPr>
            </w:pPr>
            <w:hyperlink r:id="rId120">
              <w:r>
                <w:rPr>
                  <w:rFonts w:ascii="Calibri" w:cs="Calibri" w:eastAsia="Calibri" w:hAnsi="Calibri"/>
                  <w:sz w:val="16"/>
                  <w:szCs w:val="16"/>
                  <w:color w:val="0000FF"/>
                </w:rPr>
                <w:t>Master Fund Ltd. (incorporated by reference to Exhibit 10.2 to the Current Report on Form 8-K fled on February 16, 2024).</w:t>
              </w:r>
            </w:hyperlink>
          </w:p>
        </w:tc>
        <w:tc>
          <w:tcPr>
            <w:tcW w:w="160" w:type="dxa"/>
            <w:vAlign w:val="bottom"/>
            <w:gridSpan w:val="8"/>
          </w:tcPr>
          <w:p>
            <w:pPr>
              <w:spacing w:after="0"/>
              <w:rPr>
                <w:sz w:val="13"/>
                <w:szCs w:val="13"/>
                <w:color w:val="auto"/>
              </w:rPr>
            </w:pPr>
          </w:p>
        </w:tc>
      </w:tr>
      <w:tr>
        <w:trPr>
          <w:trHeight w:val="709"/>
        </w:trPr>
        <w:tc>
          <w:tcPr>
            <w:tcW w:w="1260" w:type="dxa"/>
            <w:vAlign w:val="bottom"/>
          </w:tcPr>
          <w:p>
            <w:pPr>
              <w:spacing w:after="0"/>
              <w:rPr>
                <w:sz w:val="24"/>
                <w:szCs w:val="24"/>
                <w:color w:val="auto"/>
              </w:rPr>
            </w:pPr>
          </w:p>
        </w:tc>
        <w:tc>
          <w:tcPr>
            <w:tcW w:w="4760" w:type="dxa"/>
            <w:vAlign w:val="bottom"/>
            <w:tcBorders>
              <w:top w:val="single" w:sz="8" w:color="0000FF"/>
            </w:tcBorders>
            <w:gridSpan w:val="6"/>
          </w:tcPr>
          <w:p>
            <w:pPr>
              <w:ind w:left="4280"/>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1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69" w:name="page70"/>
    <w:bookmarkEnd w:id="69"/>
    <w:tbl>
      <w:tblPr>
        <w:tblLayout w:type="fixed"/>
        <w:tblInd w:w="20" w:type="dxa"/>
        <w:tblCellMar>
          <w:top w:w="0" w:type="dxa"/>
          <w:left w:w="0" w:type="dxa"/>
          <w:bottom w:w="0" w:type="dxa"/>
          <w:right w:w="0" w:type="dxa"/>
        </w:tblCellMar>
      </w:tblPr>
      <w:tr>
        <w:trPr>
          <w:trHeight w:val="220"/>
        </w:trPr>
        <w:tc>
          <w:tcPr>
            <w:tcW w:w="1240" w:type="dxa"/>
            <w:vAlign w:val="bottom"/>
          </w:tcPr>
          <w:p>
            <w:pPr>
              <w:spacing w:after="0"/>
              <w:rPr>
                <w:sz w:val="20"/>
                <w:szCs w:val="20"/>
                <w:color w:val="auto"/>
              </w:rPr>
            </w:pPr>
            <w:r>
              <w:rPr>
                <w:rFonts w:ascii="Calibri" w:cs="Calibri" w:eastAsia="Calibri" w:hAnsi="Calibri"/>
                <w:sz w:val="18"/>
                <w:szCs w:val="18"/>
                <w:color w:val="auto"/>
              </w:rPr>
              <w:t>10.31</w:t>
            </w:r>
          </w:p>
        </w:tc>
        <w:tc>
          <w:tcPr>
            <w:tcW w:w="9980" w:type="dxa"/>
            <w:vAlign w:val="bottom"/>
            <w:gridSpan w:val="20"/>
          </w:tcPr>
          <w:p>
            <w:pPr>
              <w:spacing w:after="0"/>
              <w:rPr>
                <w:rFonts w:ascii="Calibri" w:cs="Calibri" w:eastAsia="Calibri" w:hAnsi="Calibri"/>
                <w:sz w:val="18"/>
                <w:szCs w:val="18"/>
                <w:color w:val="0000FF"/>
                <w:w w:val="98"/>
              </w:rPr>
            </w:pPr>
            <w:hyperlink r:id="rId123">
              <w:r>
                <w:rPr>
                  <w:rFonts w:ascii="Calibri" w:cs="Calibri" w:eastAsia="Calibri" w:hAnsi="Calibri"/>
                  <w:sz w:val="18"/>
                  <w:szCs w:val="18"/>
                  <w:color w:val="0000FF"/>
                  <w:w w:val="98"/>
                </w:rPr>
                <w:t>Common Stock Purchase Warrant, dated February 14, 2024, issued by Greenidge Generaton Holdings Inc. to Armistce Capital Master Fund</w:t>
              </w:r>
            </w:hyperlink>
          </w:p>
        </w:tc>
      </w:tr>
      <w:tr>
        <w:trPr>
          <w:trHeight w:val="156"/>
        </w:trPr>
        <w:tc>
          <w:tcPr>
            <w:tcW w:w="1240" w:type="dxa"/>
            <w:vAlign w:val="bottom"/>
          </w:tcPr>
          <w:p>
            <w:pPr>
              <w:spacing w:after="0"/>
              <w:rPr>
                <w:sz w:val="13"/>
                <w:szCs w:val="13"/>
                <w:color w:val="auto"/>
              </w:rPr>
            </w:pPr>
          </w:p>
        </w:tc>
        <w:tc>
          <w:tcPr>
            <w:tcW w:w="7760" w:type="dxa"/>
            <w:vAlign w:val="bottom"/>
            <w:tcBorders>
              <w:top w:val="single" w:sz="8" w:color="0000FF"/>
              <w:bottom w:val="single" w:sz="8" w:color="0000FF"/>
            </w:tcBorders>
            <w:gridSpan w:val="9"/>
          </w:tcPr>
          <w:p>
            <w:pPr>
              <w:spacing w:after="0" w:line="156" w:lineRule="exact"/>
              <w:rPr>
                <w:rFonts w:ascii="Calibri" w:cs="Calibri" w:eastAsia="Calibri" w:hAnsi="Calibri"/>
                <w:sz w:val="16"/>
                <w:szCs w:val="16"/>
                <w:color w:val="0000FF"/>
              </w:rPr>
            </w:pPr>
            <w:hyperlink r:id="rId123">
              <w:r>
                <w:rPr>
                  <w:rFonts w:ascii="Calibri" w:cs="Calibri" w:eastAsia="Calibri" w:hAnsi="Calibri"/>
                  <w:sz w:val="16"/>
                  <w:szCs w:val="16"/>
                  <w:color w:val="0000FF"/>
                </w:rPr>
                <w:t>Ltd. (incorporated by reference to Exhibit 10.3 to the Current Report on Form 8-K fled on February 16, 2024).</w:t>
              </w:r>
            </w:hyperlink>
          </w:p>
        </w:tc>
        <w:tc>
          <w:tcPr>
            <w:tcW w:w="21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Calibri" w:cs="Calibri" w:eastAsia="Calibri" w:hAnsi="Calibri"/>
                <w:sz w:val="18"/>
                <w:szCs w:val="18"/>
                <w:color w:val="auto"/>
              </w:rPr>
              <w:t>10.32</w:t>
            </w:r>
          </w:p>
        </w:tc>
        <w:tc>
          <w:tcPr>
            <w:tcW w:w="9980" w:type="dxa"/>
            <w:vAlign w:val="bottom"/>
            <w:gridSpan w:val="20"/>
          </w:tcPr>
          <w:p>
            <w:pPr>
              <w:spacing w:after="0"/>
              <w:rPr>
                <w:rFonts w:ascii="Calibri" w:cs="Calibri" w:eastAsia="Calibri" w:hAnsi="Calibri"/>
                <w:sz w:val="18"/>
                <w:szCs w:val="18"/>
                <w:color w:val="0000FF"/>
              </w:rPr>
            </w:pPr>
            <w:hyperlink r:id="rId124">
              <w:r>
                <w:rPr>
                  <w:rFonts w:ascii="Calibri" w:cs="Calibri" w:eastAsia="Calibri" w:hAnsi="Calibri"/>
                  <w:sz w:val="18"/>
                  <w:szCs w:val="18"/>
                  <w:color w:val="0000FF"/>
                </w:rPr>
                <w:t>Commercial Purchase and Sale Agreement, dated March 6, 2024, by and between Greenidge Mississippi LLC and Janesville, LLC</w:t>
              </w:r>
            </w:hyperlink>
          </w:p>
        </w:tc>
      </w:tr>
      <w:tr>
        <w:trPr>
          <w:trHeight w:val="156"/>
        </w:trPr>
        <w:tc>
          <w:tcPr>
            <w:tcW w:w="1240" w:type="dxa"/>
            <w:vAlign w:val="bottom"/>
          </w:tcPr>
          <w:p>
            <w:pPr>
              <w:spacing w:after="0"/>
              <w:rPr>
                <w:sz w:val="13"/>
                <w:szCs w:val="13"/>
                <w:color w:val="auto"/>
              </w:rPr>
            </w:pPr>
          </w:p>
        </w:tc>
        <w:tc>
          <w:tcPr>
            <w:tcW w:w="9000" w:type="dxa"/>
            <w:vAlign w:val="bottom"/>
            <w:tcBorders>
              <w:top w:val="single" w:sz="8" w:color="0000FF"/>
            </w:tcBorders>
            <w:gridSpan w:val="10"/>
          </w:tcPr>
          <w:p>
            <w:pPr>
              <w:spacing w:after="0" w:line="156" w:lineRule="exact"/>
              <w:rPr>
                <w:rFonts w:ascii="Calibri" w:cs="Calibri" w:eastAsia="Calibri" w:hAnsi="Calibri"/>
                <w:sz w:val="16"/>
                <w:szCs w:val="16"/>
                <w:color w:val="0000FF"/>
              </w:rPr>
            </w:pPr>
            <w:hyperlink r:id="rId124">
              <w:r>
                <w:rPr>
                  <w:rFonts w:ascii="Calibri" w:cs="Calibri" w:eastAsia="Calibri" w:hAnsi="Calibri"/>
                  <w:sz w:val="16"/>
                  <w:szCs w:val="16"/>
                  <w:color w:val="0000FF"/>
                </w:rPr>
                <w:t xml:space="preserve">(incorporated by reference to Exhibit </w:t>
              </w:r>
            </w:hyperlink>
            <w:r>
              <w:rPr>
                <w:rFonts w:ascii="Calibri" w:cs="Calibri" w:eastAsia="Calibri" w:hAnsi="Calibri"/>
                <w:sz w:val="16"/>
                <w:szCs w:val="16"/>
                <w:color w:val="0000FF"/>
              </w:rPr>
              <w:t xml:space="preserve">10.46 </w:t>
            </w:r>
            <w:hyperlink r:id="rId124">
              <w:r>
                <w:rPr>
                  <w:rFonts w:ascii="Calibri" w:cs="Calibri" w:eastAsia="Calibri" w:hAnsi="Calibri"/>
                  <w:sz w:val="16"/>
                  <w:szCs w:val="16"/>
                  <w:color w:val="0000FF"/>
                </w:rPr>
                <w:t xml:space="preserve">to the Annual Report on Form </w:t>
              </w:r>
            </w:hyperlink>
            <w:r>
              <w:rPr>
                <w:rFonts w:ascii="Calibri" w:cs="Calibri" w:eastAsia="Calibri" w:hAnsi="Calibri"/>
                <w:sz w:val="16"/>
                <w:szCs w:val="16"/>
                <w:color w:val="0000FF"/>
              </w:rPr>
              <w:t>10</w:t>
            </w:r>
            <w:hyperlink r:id="rId124">
              <w:r>
                <w:rPr>
                  <w:rFonts w:ascii="Calibri" w:cs="Calibri" w:eastAsia="Calibri" w:hAnsi="Calibri"/>
                  <w:sz w:val="16"/>
                  <w:szCs w:val="16"/>
                  <w:color w:val="0000FF"/>
                </w:rPr>
                <w:t>-K fled on April 9, 2024).</w:t>
              </w:r>
            </w:hyperlink>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Calibri" w:cs="Calibri" w:eastAsia="Calibri" w:hAnsi="Calibri"/>
                <w:sz w:val="18"/>
                <w:szCs w:val="18"/>
                <w:color w:val="auto"/>
              </w:rPr>
              <w:t>10.33</w:t>
            </w:r>
          </w:p>
        </w:tc>
        <w:tc>
          <w:tcPr>
            <w:tcW w:w="9980" w:type="dxa"/>
            <w:vAlign w:val="bottom"/>
            <w:gridSpan w:val="20"/>
          </w:tcPr>
          <w:p>
            <w:pPr>
              <w:spacing w:after="0"/>
              <w:rPr>
                <w:rFonts w:ascii="Calibri" w:cs="Calibri" w:eastAsia="Calibri" w:hAnsi="Calibri"/>
                <w:sz w:val="18"/>
                <w:szCs w:val="18"/>
                <w:color w:val="0000FF"/>
                <w:w w:val="98"/>
              </w:rPr>
            </w:pPr>
            <w:hyperlink r:id="rId125">
              <w:r>
                <w:rPr>
                  <w:rFonts w:ascii="Calibri" w:cs="Calibri" w:eastAsia="Calibri" w:hAnsi="Calibri"/>
                  <w:sz w:val="18"/>
                  <w:szCs w:val="18"/>
                  <w:color w:val="0000FF"/>
                  <w:w w:val="98"/>
                </w:rPr>
                <w:t>Common Stock Purchase Agreement, dated July 30, 2024, between Greenidge Generaton Holdings Inc. and B. Riley Principal Capital II, LLC</w:t>
              </w:r>
            </w:hyperlink>
          </w:p>
        </w:tc>
      </w:tr>
      <w:tr>
        <w:trPr>
          <w:trHeight w:val="155"/>
        </w:trPr>
        <w:tc>
          <w:tcPr>
            <w:tcW w:w="1240" w:type="dxa"/>
            <w:vAlign w:val="bottom"/>
          </w:tcPr>
          <w:p>
            <w:pPr>
              <w:spacing w:after="0"/>
              <w:rPr>
                <w:sz w:val="13"/>
                <w:szCs w:val="13"/>
                <w:color w:val="auto"/>
              </w:rPr>
            </w:pPr>
          </w:p>
        </w:tc>
        <w:tc>
          <w:tcPr>
            <w:tcW w:w="9840" w:type="dxa"/>
            <w:vAlign w:val="bottom"/>
            <w:tcBorders>
              <w:top w:val="single" w:sz="8" w:color="0000FF"/>
            </w:tcBorders>
            <w:gridSpan w:val="14"/>
          </w:tcPr>
          <w:p>
            <w:pPr>
              <w:spacing w:after="0" w:line="156" w:lineRule="exact"/>
              <w:rPr>
                <w:rFonts w:ascii="Calibri" w:cs="Calibri" w:eastAsia="Calibri" w:hAnsi="Calibri"/>
                <w:sz w:val="16"/>
                <w:szCs w:val="16"/>
                <w:color w:val="0000FF"/>
              </w:rPr>
            </w:pPr>
            <w:hyperlink r:id="rId125">
              <w:r>
                <w:rPr>
                  <w:rFonts w:ascii="Calibri" w:cs="Calibri" w:eastAsia="Calibri" w:hAnsi="Calibri"/>
                  <w:sz w:val="16"/>
                  <w:szCs w:val="16"/>
                  <w:color w:val="0000FF"/>
                </w:rPr>
                <w:t>(incorporated by reference to Exhibit 10.1 to the Current Report on Form 8-K fled on July 31, 2024).</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Calibri" w:cs="Calibri" w:eastAsia="Calibri" w:hAnsi="Calibri"/>
                <w:sz w:val="18"/>
                <w:szCs w:val="18"/>
                <w:color w:val="auto"/>
              </w:rPr>
              <w:t>10.34</w:t>
            </w:r>
          </w:p>
        </w:tc>
        <w:tc>
          <w:tcPr>
            <w:tcW w:w="9980" w:type="dxa"/>
            <w:vAlign w:val="bottom"/>
            <w:gridSpan w:val="20"/>
          </w:tcPr>
          <w:p>
            <w:pPr>
              <w:spacing w:after="0"/>
              <w:rPr>
                <w:rFonts w:ascii="Calibri" w:cs="Calibri" w:eastAsia="Calibri" w:hAnsi="Calibri"/>
                <w:sz w:val="18"/>
                <w:szCs w:val="18"/>
                <w:color w:val="0000FF"/>
              </w:rPr>
            </w:pPr>
            <w:hyperlink r:id="rId126">
              <w:r>
                <w:rPr>
                  <w:rFonts w:ascii="Calibri" w:cs="Calibri" w:eastAsia="Calibri" w:hAnsi="Calibri"/>
                  <w:sz w:val="18"/>
                  <w:szCs w:val="18"/>
                  <w:color w:val="0000FF"/>
                </w:rPr>
                <w:t>Registraton Rights Agreement, dated July 30, 2024, between Greenidge Generaton Holdings Inc. and B. Riley Principal Capital II, LLC</w:t>
              </w:r>
            </w:hyperlink>
          </w:p>
        </w:tc>
      </w:tr>
      <w:tr>
        <w:trPr>
          <w:trHeight w:val="156"/>
        </w:trPr>
        <w:tc>
          <w:tcPr>
            <w:tcW w:w="1240" w:type="dxa"/>
            <w:vAlign w:val="bottom"/>
          </w:tcPr>
          <w:p>
            <w:pPr>
              <w:spacing w:after="0"/>
              <w:rPr>
                <w:sz w:val="13"/>
                <w:szCs w:val="13"/>
                <w:color w:val="auto"/>
              </w:rPr>
            </w:pPr>
          </w:p>
        </w:tc>
        <w:tc>
          <w:tcPr>
            <w:tcW w:w="9400" w:type="dxa"/>
            <w:vAlign w:val="bottom"/>
            <w:tcBorders>
              <w:top w:val="single" w:sz="8" w:color="0000FF"/>
            </w:tcBorders>
            <w:gridSpan w:val="12"/>
          </w:tcPr>
          <w:p>
            <w:pPr>
              <w:spacing w:after="0" w:line="156" w:lineRule="exact"/>
              <w:rPr>
                <w:rFonts w:ascii="Calibri" w:cs="Calibri" w:eastAsia="Calibri" w:hAnsi="Calibri"/>
                <w:sz w:val="16"/>
                <w:szCs w:val="16"/>
                <w:color w:val="0000FF"/>
              </w:rPr>
            </w:pPr>
            <w:hyperlink r:id="rId126">
              <w:r>
                <w:rPr>
                  <w:rFonts w:ascii="Calibri" w:cs="Calibri" w:eastAsia="Calibri" w:hAnsi="Calibri"/>
                  <w:sz w:val="16"/>
                  <w:szCs w:val="16"/>
                  <w:color w:val="0000FF"/>
                </w:rPr>
                <w:t>(incorporated by reference to Exhibit 10.2 to the Current Report on Form 8-K fled on July 31, 2024).</w:t>
              </w:r>
            </w:hyperlink>
          </w:p>
        </w:tc>
        <w:tc>
          <w:tcPr>
            <w:tcW w:w="30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Calibri" w:cs="Calibri" w:eastAsia="Calibri" w:hAnsi="Calibri"/>
                <w:sz w:val="18"/>
                <w:szCs w:val="18"/>
                <w:color w:val="auto"/>
              </w:rPr>
              <w:t>10.35</w:t>
            </w:r>
          </w:p>
        </w:tc>
        <w:tc>
          <w:tcPr>
            <w:tcW w:w="9980" w:type="dxa"/>
            <w:vAlign w:val="bottom"/>
            <w:gridSpan w:val="20"/>
          </w:tcPr>
          <w:p>
            <w:pPr>
              <w:spacing w:after="0"/>
              <w:rPr>
                <w:rFonts w:ascii="Calibri" w:cs="Calibri" w:eastAsia="Calibri" w:hAnsi="Calibri"/>
                <w:sz w:val="18"/>
                <w:szCs w:val="18"/>
                <w:color w:val="0000FF"/>
              </w:rPr>
            </w:pPr>
            <w:hyperlink r:id="rId127">
              <w:r>
                <w:rPr>
                  <w:rFonts w:ascii="Calibri" w:cs="Calibri" w:eastAsia="Calibri" w:hAnsi="Calibri"/>
                  <w:sz w:val="18"/>
                  <w:szCs w:val="18"/>
                  <w:color w:val="0000FF"/>
                </w:rPr>
                <w:t>Equity Interest Payment Agreement, dated January 24, 2025, by and among (i) Greenidge Generaton Holdings Inc., (ii) Atlas Capital</w:t>
              </w:r>
            </w:hyperlink>
          </w:p>
        </w:tc>
      </w:tr>
      <w:tr>
        <w:trPr>
          <w:trHeight w:val="155"/>
        </w:trPr>
        <w:tc>
          <w:tcPr>
            <w:tcW w:w="1240" w:type="dxa"/>
            <w:vAlign w:val="bottom"/>
          </w:tcPr>
          <w:p>
            <w:pPr>
              <w:spacing w:after="0"/>
              <w:rPr>
                <w:sz w:val="13"/>
                <w:szCs w:val="13"/>
                <w:color w:val="auto"/>
              </w:rPr>
            </w:pPr>
          </w:p>
        </w:tc>
        <w:tc>
          <w:tcPr>
            <w:tcW w:w="9320" w:type="dxa"/>
            <w:vAlign w:val="bottom"/>
            <w:tcBorders>
              <w:top w:val="single" w:sz="8" w:color="0000FF"/>
            </w:tcBorders>
            <w:gridSpan w:val="11"/>
          </w:tcPr>
          <w:p>
            <w:pPr>
              <w:spacing w:after="0" w:line="156" w:lineRule="exact"/>
              <w:rPr>
                <w:rFonts w:ascii="Calibri" w:cs="Calibri" w:eastAsia="Calibri" w:hAnsi="Calibri"/>
                <w:sz w:val="16"/>
                <w:szCs w:val="16"/>
                <w:color w:val="0000FF"/>
              </w:rPr>
            </w:pPr>
            <w:hyperlink r:id="rId127">
              <w:r>
                <w:rPr>
                  <w:rFonts w:ascii="Calibri" w:cs="Calibri" w:eastAsia="Calibri" w:hAnsi="Calibri"/>
                  <w:sz w:val="16"/>
                  <w:szCs w:val="16"/>
                  <w:color w:val="0000FF"/>
                </w:rPr>
                <w:t>Resources (A9) LP, (iii) Atlas Capital Resources (A9-Parallel) LP and (iv) Atlas Capital Resources (P) LP (incorporated by reference to</w:t>
              </w:r>
            </w:hyperlink>
          </w:p>
        </w:tc>
        <w:tc>
          <w:tcPr>
            <w:tcW w:w="660" w:type="dxa"/>
            <w:vAlign w:val="bottom"/>
            <w:gridSpan w:val="9"/>
          </w:tcPr>
          <w:p>
            <w:pPr>
              <w:spacing w:after="0" w:line="156" w:lineRule="exact"/>
              <w:rPr>
                <w:rFonts w:ascii="Calibri" w:cs="Calibri" w:eastAsia="Calibri" w:hAnsi="Calibri"/>
                <w:sz w:val="16"/>
                <w:szCs w:val="16"/>
                <w:color w:val="0000FF"/>
              </w:rPr>
            </w:pPr>
            <w:hyperlink r:id="rId127">
              <w:r>
                <w:rPr>
                  <w:rFonts w:ascii="Calibri" w:cs="Calibri" w:eastAsia="Calibri" w:hAnsi="Calibri"/>
                  <w:sz w:val="16"/>
                  <w:szCs w:val="16"/>
                  <w:color w:val="0000FF"/>
                </w:rPr>
                <w:t>Exhibit</w:t>
              </w:r>
            </w:hyperlink>
          </w:p>
        </w:tc>
      </w:tr>
      <w:tr>
        <w:trPr>
          <w:trHeight w:val="169"/>
        </w:trPr>
        <w:tc>
          <w:tcPr>
            <w:tcW w:w="1240" w:type="dxa"/>
            <w:vAlign w:val="bottom"/>
          </w:tcPr>
          <w:p>
            <w:pPr>
              <w:spacing w:after="0"/>
              <w:rPr>
                <w:sz w:val="14"/>
                <w:szCs w:val="14"/>
                <w:color w:val="auto"/>
              </w:rPr>
            </w:pPr>
          </w:p>
        </w:tc>
        <w:tc>
          <w:tcPr>
            <w:tcW w:w="9700" w:type="dxa"/>
            <w:vAlign w:val="bottom"/>
            <w:tcBorders>
              <w:top w:val="single" w:sz="8" w:color="0000FF"/>
            </w:tcBorders>
            <w:gridSpan w:val="13"/>
          </w:tcPr>
          <w:p>
            <w:pPr>
              <w:spacing w:after="0" w:line="169" w:lineRule="exact"/>
              <w:rPr>
                <w:rFonts w:ascii="Calibri" w:cs="Calibri" w:eastAsia="Calibri" w:hAnsi="Calibri"/>
                <w:sz w:val="18"/>
                <w:szCs w:val="18"/>
                <w:color w:val="0000FF"/>
              </w:rPr>
            </w:pPr>
            <w:hyperlink r:id="rId127">
              <w:r>
                <w:rPr>
                  <w:rFonts w:ascii="Calibri" w:cs="Calibri" w:eastAsia="Calibri" w:hAnsi="Calibri"/>
                  <w:sz w:val="18"/>
                  <w:szCs w:val="18"/>
                  <w:color w:val="0000FF"/>
                </w:rPr>
                <w:t>10.</w:t>
              </w:r>
              <w:r>
                <w:rPr>
                  <w:rFonts w:ascii="Calibri" w:cs="Calibri" w:eastAsia="Calibri" w:hAnsi="Calibri"/>
                  <w:sz w:val="18"/>
                  <w:szCs w:val="18"/>
                  <w:u w:val="single" w:color="auto"/>
                  <w:color w:val="0000FF"/>
                </w:rPr>
                <w:t>1</w:t>
              </w:r>
              <w:r>
                <w:rPr>
                  <w:rFonts w:ascii="Calibri" w:cs="Calibri" w:eastAsia="Calibri" w:hAnsi="Calibri"/>
                  <w:sz w:val="18"/>
                  <w:szCs w:val="18"/>
                  <w:color w:val="0000FF"/>
                </w:rPr>
                <w:t xml:space="preserve"> to the Current Report on Form 8-K fled on January 28, 2025).</w:t>
              </w:r>
            </w:hyperlink>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line="209" w:lineRule="exact"/>
              <w:rPr>
                <w:sz w:val="20"/>
                <w:szCs w:val="20"/>
                <w:color w:val="auto"/>
              </w:rPr>
            </w:pPr>
            <w:r>
              <w:rPr>
                <w:rFonts w:ascii="Calibri" w:cs="Calibri" w:eastAsia="Calibri" w:hAnsi="Calibri"/>
                <w:sz w:val="18"/>
                <w:szCs w:val="18"/>
                <w:color w:val="auto"/>
              </w:rPr>
              <w:t>19.1</w:t>
            </w:r>
          </w:p>
        </w:tc>
        <w:tc>
          <w:tcPr>
            <w:tcW w:w="4260" w:type="dxa"/>
            <w:vAlign w:val="bottom"/>
            <w:tcBorders>
              <w:top w:val="single" w:sz="8" w:color="0000FF"/>
              <w:bottom w:val="single" w:sz="8" w:color="0000FF"/>
            </w:tcBorders>
            <w:gridSpan w:val="5"/>
          </w:tcPr>
          <w:p>
            <w:pPr>
              <w:spacing w:after="0" w:line="209" w:lineRule="exact"/>
              <w:rPr>
                <w:rFonts w:ascii="Calibri" w:cs="Calibri" w:eastAsia="Calibri" w:hAnsi="Calibri"/>
                <w:sz w:val="18"/>
                <w:szCs w:val="18"/>
                <w:color w:val="0000FF"/>
                <w:w w:val="97"/>
              </w:rPr>
            </w:pPr>
            <w:hyperlink r:id="rId128">
              <w:r>
                <w:rPr>
                  <w:rFonts w:ascii="Calibri" w:cs="Calibri" w:eastAsia="Calibri" w:hAnsi="Calibri"/>
                  <w:sz w:val="18"/>
                  <w:szCs w:val="18"/>
                  <w:color w:val="0000FF"/>
                  <w:w w:val="97"/>
                </w:rPr>
                <w:t xml:space="preserve">Insider </w:t>
              </w:r>
            </w:hyperlink>
            <w:r>
              <w:rPr>
                <w:rFonts w:ascii="Calibri" w:cs="Calibri" w:eastAsia="Calibri" w:hAnsi="Calibri"/>
                <w:sz w:val="18"/>
                <w:szCs w:val="18"/>
                <w:color w:val="0000FF"/>
                <w:w w:val="97"/>
              </w:rPr>
              <w:t xml:space="preserve">Trading </w:t>
            </w:r>
            <w:hyperlink r:id="rId128">
              <w:r>
                <w:rPr>
                  <w:rFonts w:ascii="Calibri" w:cs="Calibri" w:eastAsia="Calibri" w:hAnsi="Calibri"/>
                  <w:sz w:val="18"/>
                  <w:szCs w:val="18"/>
                  <w:color w:val="0000FF"/>
                  <w:w w:val="97"/>
                </w:rPr>
                <w:t>Policy of Greenidge Generaton Holdings Inc.</w:t>
              </w:r>
            </w:hyperlink>
          </w:p>
        </w:tc>
        <w:tc>
          <w:tcPr>
            <w:tcW w:w="440" w:type="dxa"/>
            <w:vAlign w:val="bottom"/>
            <w:tcBorders>
              <w:top w:val="single" w:sz="8" w:color="0000FF"/>
            </w:tcBorders>
          </w:tcPr>
          <w:p>
            <w:pPr>
              <w:spacing w:after="0"/>
              <w:rPr>
                <w:sz w:val="18"/>
                <w:szCs w:val="18"/>
                <w:color w:val="auto"/>
              </w:rPr>
            </w:pPr>
          </w:p>
        </w:tc>
        <w:tc>
          <w:tcPr>
            <w:tcW w:w="5280" w:type="dxa"/>
            <w:vAlign w:val="bottom"/>
            <w:gridSpan w:val="14"/>
          </w:tcPr>
          <w:p>
            <w:pPr>
              <w:spacing w:after="0"/>
              <w:rPr>
                <w:sz w:val="18"/>
                <w:szCs w:val="18"/>
                <w:color w:val="auto"/>
              </w:rPr>
            </w:pPr>
          </w:p>
        </w:tc>
      </w:tr>
      <w:tr>
        <w:trPr>
          <w:trHeight w:val="209"/>
        </w:trPr>
        <w:tc>
          <w:tcPr>
            <w:tcW w:w="1240" w:type="dxa"/>
            <w:vAlign w:val="bottom"/>
          </w:tcPr>
          <w:p>
            <w:pPr>
              <w:spacing w:after="0" w:line="209" w:lineRule="exact"/>
              <w:rPr>
                <w:sz w:val="20"/>
                <w:szCs w:val="20"/>
                <w:color w:val="auto"/>
              </w:rPr>
            </w:pPr>
            <w:r>
              <w:rPr>
                <w:rFonts w:ascii="Calibri" w:cs="Calibri" w:eastAsia="Calibri" w:hAnsi="Calibri"/>
                <w:sz w:val="18"/>
                <w:szCs w:val="18"/>
                <w:color w:val="auto"/>
              </w:rPr>
              <w:t>21.1*</w:t>
            </w:r>
          </w:p>
        </w:tc>
        <w:tc>
          <w:tcPr>
            <w:tcW w:w="3600" w:type="dxa"/>
            <w:vAlign w:val="bottom"/>
            <w:tcBorders>
              <w:bottom w:val="single" w:sz="8" w:color="0000FF"/>
            </w:tcBorders>
            <w:gridSpan w:val="3"/>
          </w:tcPr>
          <w:p>
            <w:pPr>
              <w:spacing w:after="0" w:line="209" w:lineRule="exact"/>
              <w:rPr>
                <w:sz w:val="20"/>
                <w:szCs w:val="20"/>
                <w:color w:val="auto"/>
              </w:rPr>
            </w:pPr>
            <w:r>
              <w:rPr>
                <w:rFonts w:ascii="Calibri" w:cs="Calibri" w:eastAsia="Calibri" w:hAnsi="Calibri"/>
                <w:sz w:val="18"/>
                <w:szCs w:val="18"/>
                <w:color w:val="0000FF"/>
                <w:w w:val="97"/>
              </w:rPr>
              <w:t>Subsidiaries of Greenidge Generaton Holdings Inc.</w:t>
            </w:r>
          </w:p>
        </w:tc>
        <w:tc>
          <w:tcPr>
            <w:tcW w:w="6380" w:type="dxa"/>
            <w:vAlign w:val="bottom"/>
            <w:gridSpan w:val="17"/>
          </w:tcPr>
          <w:p>
            <w:pPr>
              <w:spacing w:after="0"/>
              <w:rPr>
                <w:sz w:val="18"/>
                <w:szCs w:val="18"/>
                <w:color w:val="auto"/>
              </w:rPr>
            </w:pPr>
          </w:p>
        </w:tc>
      </w:tr>
      <w:tr>
        <w:trPr>
          <w:trHeight w:val="210"/>
        </w:trPr>
        <w:tc>
          <w:tcPr>
            <w:tcW w:w="1240" w:type="dxa"/>
            <w:vAlign w:val="bottom"/>
          </w:tcPr>
          <w:p>
            <w:pPr>
              <w:spacing w:after="0" w:line="209" w:lineRule="exact"/>
              <w:rPr>
                <w:sz w:val="20"/>
                <w:szCs w:val="20"/>
                <w:color w:val="auto"/>
              </w:rPr>
            </w:pPr>
            <w:r>
              <w:rPr>
                <w:rFonts w:ascii="Calibri" w:cs="Calibri" w:eastAsia="Calibri" w:hAnsi="Calibri"/>
                <w:sz w:val="18"/>
                <w:szCs w:val="18"/>
                <w:color w:val="auto"/>
              </w:rPr>
              <w:t>23.1*</w:t>
            </w:r>
          </w:p>
        </w:tc>
        <w:tc>
          <w:tcPr>
            <w:tcW w:w="2080" w:type="dxa"/>
            <w:vAlign w:val="bottom"/>
            <w:tcBorders>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95"/>
              </w:rPr>
              <w:t>Consent of MaloneBailey LLP.</w:t>
            </w:r>
          </w:p>
        </w:tc>
        <w:tc>
          <w:tcPr>
            <w:tcW w:w="7900" w:type="dxa"/>
            <w:vAlign w:val="bottom"/>
            <w:gridSpan w:val="18"/>
          </w:tcPr>
          <w:p>
            <w:pPr>
              <w:spacing w:after="0"/>
              <w:rPr>
                <w:sz w:val="18"/>
                <w:szCs w:val="18"/>
                <w:color w:val="auto"/>
              </w:rPr>
            </w:pPr>
          </w:p>
        </w:tc>
      </w:tr>
      <w:tr>
        <w:trPr>
          <w:trHeight w:val="210"/>
        </w:trPr>
        <w:tc>
          <w:tcPr>
            <w:tcW w:w="1240" w:type="dxa"/>
            <w:vAlign w:val="bottom"/>
          </w:tcPr>
          <w:p>
            <w:pPr>
              <w:spacing w:after="0" w:line="209" w:lineRule="exact"/>
              <w:rPr>
                <w:sz w:val="20"/>
                <w:szCs w:val="20"/>
                <w:color w:val="auto"/>
              </w:rPr>
            </w:pPr>
            <w:r>
              <w:rPr>
                <w:rFonts w:ascii="Calibri" w:cs="Calibri" w:eastAsia="Calibri" w:hAnsi="Calibri"/>
                <w:sz w:val="18"/>
                <w:szCs w:val="18"/>
                <w:color w:val="auto"/>
              </w:rPr>
              <w:t>31.1*</w:t>
            </w:r>
          </w:p>
        </w:tc>
        <w:tc>
          <w:tcPr>
            <w:tcW w:w="9980" w:type="dxa"/>
            <w:vAlign w:val="bottom"/>
            <w:gridSpan w:val="20"/>
          </w:tcPr>
          <w:p>
            <w:pPr>
              <w:spacing w:after="0" w:line="209" w:lineRule="exact"/>
              <w:rPr>
                <w:sz w:val="20"/>
                <w:szCs w:val="20"/>
                <w:color w:val="auto"/>
              </w:rPr>
            </w:pPr>
            <w:r>
              <w:rPr>
                <w:rFonts w:ascii="Calibri" w:cs="Calibri" w:eastAsia="Calibri" w:hAnsi="Calibri"/>
                <w:sz w:val="18"/>
                <w:szCs w:val="18"/>
                <w:color w:val="0000FF"/>
              </w:rPr>
              <w:t>Certfcaton of Principal Executve Ofcer Pursuant to Rules 13a-14(a) and 15d-14(a) under the Securites Exchange Act of 1934, as Adopted</w:t>
            </w:r>
          </w:p>
        </w:tc>
      </w:tr>
      <w:tr>
        <w:trPr>
          <w:trHeight w:val="155"/>
        </w:trPr>
        <w:tc>
          <w:tcPr>
            <w:tcW w:w="124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4"/>
          </w:tcPr>
          <w:p>
            <w:pPr>
              <w:spacing w:after="0" w:line="156" w:lineRule="exact"/>
              <w:rPr>
                <w:sz w:val="20"/>
                <w:szCs w:val="20"/>
                <w:color w:val="auto"/>
              </w:rPr>
            </w:pPr>
            <w:r>
              <w:rPr>
                <w:rFonts w:ascii="Calibri" w:cs="Calibri" w:eastAsia="Calibri" w:hAnsi="Calibri"/>
                <w:sz w:val="16"/>
                <w:szCs w:val="16"/>
                <w:color w:val="0000FF"/>
              </w:rPr>
              <w:t>Pursuant to Secton 302 of the Sarbanes-Oxley Act of 2002.</w:t>
            </w:r>
          </w:p>
        </w:tc>
        <w:tc>
          <w:tcPr>
            <w:tcW w:w="57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Calibri" w:cs="Calibri" w:eastAsia="Calibri" w:hAnsi="Calibri"/>
                <w:sz w:val="18"/>
                <w:szCs w:val="18"/>
                <w:color w:val="auto"/>
              </w:rPr>
              <w:t>31.2*</w:t>
            </w:r>
          </w:p>
        </w:tc>
        <w:tc>
          <w:tcPr>
            <w:tcW w:w="9980" w:type="dxa"/>
            <w:vAlign w:val="bottom"/>
            <w:gridSpan w:val="20"/>
          </w:tcPr>
          <w:p>
            <w:pPr>
              <w:spacing w:after="0"/>
              <w:rPr>
                <w:sz w:val="20"/>
                <w:szCs w:val="20"/>
                <w:color w:val="auto"/>
              </w:rPr>
            </w:pPr>
            <w:r>
              <w:rPr>
                <w:rFonts w:ascii="Calibri" w:cs="Calibri" w:eastAsia="Calibri" w:hAnsi="Calibri"/>
                <w:sz w:val="18"/>
                <w:szCs w:val="18"/>
                <w:color w:val="0000FF"/>
              </w:rPr>
              <w:t>Certfcaton of Principal Financial Ofcer Pursuant to Rules 13a-14(a) and 15d-14(a) under the Securites Exchange Act of 1934, as Adopted</w:t>
            </w:r>
          </w:p>
        </w:tc>
      </w:tr>
      <w:tr>
        <w:trPr>
          <w:trHeight w:val="156"/>
        </w:trPr>
        <w:tc>
          <w:tcPr>
            <w:tcW w:w="124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4"/>
          </w:tcPr>
          <w:p>
            <w:pPr>
              <w:spacing w:after="0" w:line="156" w:lineRule="exact"/>
              <w:rPr>
                <w:sz w:val="20"/>
                <w:szCs w:val="20"/>
                <w:color w:val="auto"/>
              </w:rPr>
            </w:pPr>
            <w:r>
              <w:rPr>
                <w:rFonts w:ascii="Calibri" w:cs="Calibri" w:eastAsia="Calibri" w:hAnsi="Calibri"/>
                <w:sz w:val="16"/>
                <w:szCs w:val="16"/>
                <w:color w:val="0000FF"/>
              </w:rPr>
              <w:t>Pursuant to Secton 302 of the Sarbanes-Oxley Act of 2002.</w:t>
            </w:r>
          </w:p>
        </w:tc>
        <w:tc>
          <w:tcPr>
            <w:tcW w:w="56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Calibri" w:cs="Calibri" w:eastAsia="Calibri" w:hAnsi="Calibri"/>
                <w:sz w:val="18"/>
                <w:szCs w:val="18"/>
                <w:color w:val="auto"/>
              </w:rPr>
              <w:t>32.1**</w:t>
            </w:r>
          </w:p>
        </w:tc>
        <w:tc>
          <w:tcPr>
            <w:tcW w:w="9980" w:type="dxa"/>
            <w:vAlign w:val="bottom"/>
            <w:gridSpan w:val="20"/>
          </w:tcPr>
          <w:p>
            <w:pPr>
              <w:spacing w:after="0"/>
              <w:rPr>
                <w:sz w:val="20"/>
                <w:szCs w:val="20"/>
                <w:color w:val="auto"/>
              </w:rPr>
            </w:pPr>
            <w:r>
              <w:rPr>
                <w:rFonts w:ascii="Calibri" w:cs="Calibri" w:eastAsia="Calibri" w:hAnsi="Calibri"/>
                <w:sz w:val="18"/>
                <w:szCs w:val="18"/>
                <w:color w:val="0000FF"/>
              </w:rPr>
              <w:t>Certfcaton of Principal Executve Ofcer Pursuant to 18 U.S.C. Secton 1350, as Adopted Pursuant to Secton 906 of the Sarbanes-Oxley Act</w:t>
            </w:r>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tcBorders>
            <w:gridSpan w:val="19"/>
          </w:tcPr>
          <w:p>
            <w:pPr>
              <w:spacing w:after="0" w:line="156" w:lineRule="exact"/>
              <w:rPr>
                <w:sz w:val="20"/>
                <w:szCs w:val="20"/>
                <w:color w:val="auto"/>
              </w:rPr>
            </w:pPr>
            <w:r>
              <w:rPr>
                <w:rFonts w:ascii="Calibri" w:cs="Calibri" w:eastAsia="Calibri" w:hAnsi="Calibri"/>
                <w:sz w:val="16"/>
                <w:szCs w:val="16"/>
                <w:color w:val="0000FF"/>
              </w:rPr>
              <w:t>of 2002.</w:t>
            </w: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320" w:type="dxa"/>
            <w:vAlign w:val="bottom"/>
            <w:gridSpan w:val="1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Calibri" w:cs="Calibri" w:eastAsia="Calibri" w:hAnsi="Calibri"/>
                <w:sz w:val="18"/>
                <w:szCs w:val="18"/>
                <w:color w:val="auto"/>
              </w:rPr>
              <w:t>32.2**</w:t>
            </w:r>
          </w:p>
        </w:tc>
        <w:tc>
          <w:tcPr>
            <w:tcW w:w="9980" w:type="dxa"/>
            <w:vAlign w:val="bottom"/>
            <w:gridSpan w:val="20"/>
          </w:tcPr>
          <w:p>
            <w:pPr>
              <w:spacing w:after="0"/>
              <w:rPr>
                <w:sz w:val="20"/>
                <w:szCs w:val="20"/>
                <w:color w:val="auto"/>
              </w:rPr>
            </w:pPr>
            <w:r>
              <w:rPr>
                <w:rFonts w:ascii="Calibri" w:cs="Calibri" w:eastAsia="Calibri" w:hAnsi="Calibri"/>
                <w:sz w:val="18"/>
                <w:szCs w:val="18"/>
                <w:color w:val="0000FF"/>
              </w:rPr>
              <w:t>Certfcaton of Principal Financial Ofcer Pursuant to 18 U.S.C. Secton 1350, as Adopted Pursuant to Secton 906 of the Sarbanes-Oxley Act</w:t>
            </w:r>
          </w:p>
        </w:tc>
      </w:tr>
      <w:tr>
        <w:trPr>
          <w:trHeight w:val="156"/>
        </w:trPr>
        <w:tc>
          <w:tcPr>
            <w:tcW w:w="1240" w:type="dxa"/>
            <w:vAlign w:val="bottom"/>
          </w:tcPr>
          <w:p>
            <w:pPr>
              <w:spacing w:after="0"/>
              <w:rPr>
                <w:sz w:val="13"/>
                <w:szCs w:val="13"/>
                <w:color w:val="auto"/>
              </w:rPr>
            </w:pPr>
          </w:p>
        </w:tc>
        <w:tc>
          <w:tcPr>
            <w:tcW w:w="9900" w:type="dxa"/>
            <w:vAlign w:val="bottom"/>
            <w:tcBorders>
              <w:top w:val="single" w:sz="8" w:color="0000FF"/>
            </w:tcBorders>
            <w:gridSpan w:val="16"/>
          </w:tcPr>
          <w:p>
            <w:pPr>
              <w:spacing w:after="0" w:line="156" w:lineRule="exact"/>
              <w:rPr>
                <w:sz w:val="20"/>
                <w:szCs w:val="20"/>
                <w:color w:val="auto"/>
              </w:rPr>
            </w:pPr>
            <w:r>
              <w:rPr>
                <w:rFonts w:ascii="Calibri" w:cs="Calibri" w:eastAsia="Calibri" w:hAnsi="Calibri"/>
                <w:sz w:val="16"/>
                <w:szCs w:val="16"/>
                <w:color w:val="0000FF"/>
              </w:rPr>
              <w:t>of 2002.</w:t>
            </w:r>
          </w:p>
        </w:tc>
        <w:tc>
          <w:tcPr>
            <w:tcW w:w="8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400" w:type="dxa"/>
            <w:vAlign w:val="bottom"/>
            <w:gridSpan w:val="19"/>
          </w:tcPr>
          <w:p>
            <w:pPr>
              <w:spacing w:after="0" w:line="20" w:lineRule="exact"/>
              <w:rPr>
                <w:sz w:val="1"/>
                <w:szCs w:val="1"/>
                <w:color w:val="auto"/>
              </w:rPr>
            </w:pPr>
          </w:p>
        </w:tc>
      </w:tr>
      <w:tr>
        <w:trPr>
          <w:trHeight w:val="214"/>
        </w:trPr>
        <w:tc>
          <w:tcPr>
            <w:tcW w:w="1240" w:type="dxa"/>
            <w:vAlign w:val="bottom"/>
          </w:tcPr>
          <w:p>
            <w:pPr>
              <w:spacing w:after="0" w:line="214" w:lineRule="exact"/>
              <w:rPr>
                <w:sz w:val="20"/>
                <w:szCs w:val="20"/>
                <w:color w:val="auto"/>
              </w:rPr>
            </w:pPr>
            <w:r>
              <w:rPr>
                <w:rFonts w:ascii="Calibri" w:cs="Calibri" w:eastAsia="Calibri" w:hAnsi="Calibri"/>
                <w:sz w:val="18"/>
                <w:szCs w:val="18"/>
                <w:color w:val="auto"/>
              </w:rPr>
              <w:t>101.INS</w:t>
            </w:r>
          </w:p>
        </w:tc>
        <w:tc>
          <w:tcPr>
            <w:tcW w:w="9980" w:type="dxa"/>
            <w:vAlign w:val="bottom"/>
            <w:gridSpan w:val="20"/>
          </w:tcPr>
          <w:p>
            <w:pPr>
              <w:spacing w:after="0" w:line="214" w:lineRule="exact"/>
              <w:rPr>
                <w:sz w:val="20"/>
                <w:szCs w:val="20"/>
                <w:color w:val="auto"/>
              </w:rPr>
            </w:pPr>
            <w:r>
              <w:rPr>
                <w:rFonts w:ascii="Calibri" w:cs="Calibri" w:eastAsia="Calibri" w:hAnsi="Calibri"/>
                <w:sz w:val="18"/>
                <w:szCs w:val="18"/>
                <w:color w:val="auto"/>
              </w:rPr>
              <w:t>Inline XBRL Instance Document – the instance document does not appear in the Interactve Data File because XBRL tags are embedded</w:t>
            </w:r>
          </w:p>
        </w:tc>
      </w:tr>
      <w:tr>
        <w:trPr>
          <w:trHeight w:val="215"/>
        </w:trPr>
        <w:tc>
          <w:tcPr>
            <w:tcW w:w="1240" w:type="dxa"/>
            <w:vAlign w:val="bottom"/>
          </w:tcPr>
          <w:p>
            <w:pPr>
              <w:spacing w:after="0"/>
              <w:rPr>
                <w:sz w:val="18"/>
                <w:szCs w:val="18"/>
                <w:color w:val="auto"/>
              </w:rPr>
            </w:pPr>
          </w:p>
        </w:tc>
        <w:tc>
          <w:tcPr>
            <w:tcW w:w="9980" w:type="dxa"/>
            <w:vAlign w:val="bottom"/>
            <w:gridSpan w:val="20"/>
          </w:tcPr>
          <w:p>
            <w:pPr>
              <w:spacing w:after="0" w:line="215" w:lineRule="exact"/>
              <w:rPr>
                <w:sz w:val="20"/>
                <w:szCs w:val="20"/>
                <w:color w:val="auto"/>
              </w:rPr>
            </w:pPr>
            <w:r>
              <w:rPr>
                <w:rFonts w:ascii="Calibri" w:cs="Calibri" w:eastAsia="Calibri" w:hAnsi="Calibri"/>
                <w:sz w:val="18"/>
                <w:szCs w:val="18"/>
                <w:color w:val="auto"/>
              </w:rPr>
              <w:t>within the Inline XBRL document.</w:t>
            </w:r>
          </w:p>
        </w:tc>
      </w:tr>
      <w:tr>
        <w:trPr>
          <w:trHeight w:val="243"/>
        </w:trPr>
        <w:tc>
          <w:tcPr>
            <w:tcW w:w="1240" w:type="dxa"/>
            <w:vAlign w:val="bottom"/>
          </w:tcPr>
          <w:p>
            <w:pPr>
              <w:spacing w:after="0"/>
              <w:rPr>
                <w:sz w:val="20"/>
                <w:szCs w:val="20"/>
                <w:color w:val="auto"/>
              </w:rPr>
            </w:pPr>
            <w:r>
              <w:rPr>
                <w:rFonts w:ascii="Calibri" w:cs="Calibri" w:eastAsia="Calibri" w:hAnsi="Calibri"/>
                <w:sz w:val="18"/>
                <w:szCs w:val="18"/>
                <w:color w:val="auto"/>
              </w:rPr>
              <w:t>101.SCH</w:t>
            </w:r>
          </w:p>
        </w:tc>
        <w:tc>
          <w:tcPr>
            <w:tcW w:w="9980" w:type="dxa"/>
            <w:vAlign w:val="bottom"/>
            <w:gridSpan w:val="20"/>
          </w:tcPr>
          <w:p>
            <w:pPr>
              <w:spacing w:after="0"/>
              <w:rPr>
                <w:sz w:val="20"/>
                <w:szCs w:val="20"/>
                <w:color w:val="auto"/>
              </w:rPr>
            </w:pPr>
            <w:r>
              <w:rPr>
                <w:rFonts w:ascii="Calibri" w:cs="Calibri" w:eastAsia="Calibri" w:hAnsi="Calibri"/>
                <w:sz w:val="18"/>
                <w:szCs w:val="18"/>
                <w:color w:val="auto"/>
              </w:rPr>
              <w:t>Inline XBRL Taxonomy Extension Schema Document</w:t>
            </w:r>
          </w:p>
        </w:tc>
      </w:tr>
      <w:tr>
        <w:trPr>
          <w:trHeight w:val="230"/>
        </w:trPr>
        <w:tc>
          <w:tcPr>
            <w:tcW w:w="1240" w:type="dxa"/>
            <w:vAlign w:val="bottom"/>
          </w:tcPr>
          <w:p>
            <w:pPr>
              <w:spacing w:after="0"/>
              <w:rPr>
                <w:sz w:val="20"/>
                <w:szCs w:val="20"/>
                <w:color w:val="auto"/>
              </w:rPr>
            </w:pPr>
            <w:r>
              <w:rPr>
                <w:rFonts w:ascii="Calibri" w:cs="Calibri" w:eastAsia="Calibri" w:hAnsi="Calibri"/>
                <w:sz w:val="18"/>
                <w:szCs w:val="18"/>
                <w:color w:val="auto"/>
              </w:rPr>
              <w:t>101.CAL</w:t>
            </w:r>
          </w:p>
        </w:tc>
        <w:tc>
          <w:tcPr>
            <w:tcW w:w="9980" w:type="dxa"/>
            <w:vAlign w:val="bottom"/>
            <w:gridSpan w:val="20"/>
          </w:tcPr>
          <w:p>
            <w:pPr>
              <w:spacing w:after="0"/>
              <w:rPr>
                <w:sz w:val="20"/>
                <w:szCs w:val="20"/>
                <w:color w:val="auto"/>
              </w:rPr>
            </w:pPr>
            <w:r>
              <w:rPr>
                <w:rFonts w:ascii="Calibri" w:cs="Calibri" w:eastAsia="Calibri" w:hAnsi="Calibri"/>
                <w:sz w:val="18"/>
                <w:szCs w:val="18"/>
                <w:color w:val="auto"/>
              </w:rPr>
              <w:t>Inline XBRL Taxonomy Extension Calculaton Linkbase Document</w:t>
            </w:r>
          </w:p>
        </w:tc>
      </w:tr>
      <w:tr>
        <w:trPr>
          <w:trHeight w:val="229"/>
        </w:trPr>
        <w:tc>
          <w:tcPr>
            <w:tcW w:w="1240" w:type="dxa"/>
            <w:vAlign w:val="bottom"/>
          </w:tcPr>
          <w:p>
            <w:pPr>
              <w:spacing w:after="0"/>
              <w:rPr>
                <w:sz w:val="20"/>
                <w:szCs w:val="20"/>
                <w:color w:val="auto"/>
              </w:rPr>
            </w:pPr>
            <w:r>
              <w:rPr>
                <w:rFonts w:ascii="Calibri" w:cs="Calibri" w:eastAsia="Calibri" w:hAnsi="Calibri"/>
                <w:sz w:val="18"/>
                <w:szCs w:val="18"/>
                <w:color w:val="auto"/>
              </w:rPr>
              <w:t>101.DEF</w:t>
            </w:r>
          </w:p>
        </w:tc>
        <w:tc>
          <w:tcPr>
            <w:tcW w:w="9980" w:type="dxa"/>
            <w:vAlign w:val="bottom"/>
            <w:gridSpan w:val="20"/>
          </w:tcPr>
          <w:p>
            <w:pPr>
              <w:spacing w:after="0"/>
              <w:rPr>
                <w:sz w:val="20"/>
                <w:szCs w:val="20"/>
                <w:color w:val="auto"/>
              </w:rPr>
            </w:pPr>
            <w:r>
              <w:rPr>
                <w:rFonts w:ascii="Calibri" w:cs="Calibri" w:eastAsia="Calibri" w:hAnsi="Calibri"/>
                <w:sz w:val="18"/>
                <w:szCs w:val="18"/>
                <w:color w:val="auto"/>
              </w:rPr>
              <w:t>Inline XBRL Taxonomy Extension Defniton Linkbase Document</w:t>
            </w:r>
          </w:p>
        </w:tc>
      </w:tr>
      <w:tr>
        <w:trPr>
          <w:trHeight w:val="230"/>
        </w:trPr>
        <w:tc>
          <w:tcPr>
            <w:tcW w:w="1240" w:type="dxa"/>
            <w:vAlign w:val="bottom"/>
          </w:tcPr>
          <w:p>
            <w:pPr>
              <w:spacing w:after="0"/>
              <w:rPr>
                <w:sz w:val="20"/>
                <w:szCs w:val="20"/>
                <w:color w:val="auto"/>
              </w:rPr>
            </w:pPr>
            <w:r>
              <w:rPr>
                <w:rFonts w:ascii="Calibri" w:cs="Calibri" w:eastAsia="Calibri" w:hAnsi="Calibri"/>
                <w:sz w:val="18"/>
                <w:szCs w:val="18"/>
                <w:color w:val="auto"/>
              </w:rPr>
              <w:t>101.LAB</w:t>
            </w:r>
          </w:p>
        </w:tc>
        <w:tc>
          <w:tcPr>
            <w:tcW w:w="9980" w:type="dxa"/>
            <w:vAlign w:val="bottom"/>
            <w:gridSpan w:val="20"/>
          </w:tcPr>
          <w:p>
            <w:pPr>
              <w:spacing w:after="0"/>
              <w:rPr>
                <w:sz w:val="20"/>
                <w:szCs w:val="20"/>
                <w:color w:val="auto"/>
              </w:rPr>
            </w:pPr>
            <w:r>
              <w:rPr>
                <w:rFonts w:ascii="Calibri" w:cs="Calibri" w:eastAsia="Calibri" w:hAnsi="Calibri"/>
                <w:sz w:val="18"/>
                <w:szCs w:val="18"/>
                <w:color w:val="auto"/>
              </w:rPr>
              <w:t>Inline XBRL Taxonomy Extension Label Linkbase Document</w:t>
            </w:r>
          </w:p>
        </w:tc>
      </w:tr>
      <w:tr>
        <w:trPr>
          <w:trHeight w:val="230"/>
        </w:trPr>
        <w:tc>
          <w:tcPr>
            <w:tcW w:w="1240" w:type="dxa"/>
            <w:vAlign w:val="bottom"/>
          </w:tcPr>
          <w:p>
            <w:pPr>
              <w:spacing w:after="0"/>
              <w:rPr>
                <w:sz w:val="20"/>
                <w:szCs w:val="20"/>
                <w:color w:val="auto"/>
              </w:rPr>
            </w:pPr>
            <w:r>
              <w:rPr>
                <w:rFonts w:ascii="Calibri" w:cs="Calibri" w:eastAsia="Calibri" w:hAnsi="Calibri"/>
                <w:sz w:val="18"/>
                <w:szCs w:val="18"/>
                <w:color w:val="auto"/>
              </w:rPr>
              <w:t>101.PRE</w:t>
            </w:r>
          </w:p>
        </w:tc>
        <w:tc>
          <w:tcPr>
            <w:tcW w:w="9980" w:type="dxa"/>
            <w:vAlign w:val="bottom"/>
            <w:gridSpan w:val="20"/>
          </w:tcPr>
          <w:p>
            <w:pPr>
              <w:spacing w:after="0"/>
              <w:rPr>
                <w:sz w:val="20"/>
                <w:szCs w:val="20"/>
                <w:color w:val="auto"/>
              </w:rPr>
            </w:pPr>
            <w:r>
              <w:rPr>
                <w:rFonts w:ascii="Calibri" w:cs="Calibri" w:eastAsia="Calibri" w:hAnsi="Calibri"/>
                <w:sz w:val="18"/>
                <w:szCs w:val="18"/>
                <w:color w:val="auto"/>
              </w:rPr>
              <w:t>Inline XBRL Taxonomy Extension Presentaton Linkbase Document</w:t>
            </w:r>
          </w:p>
        </w:tc>
      </w:tr>
      <w:tr>
        <w:trPr>
          <w:trHeight w:val="230"/>
        </w:trPr>
        <w:tc>
          <w:tcPr>
            <w:tcW w:w="1240" w:type="dxa"/>
            <w:vAlign w:val="bottom"/>
          </w:tcPr>
          <w:p>
            <w:pPr>
              <w:spacing w:after="0"/>
              <w:rPr>
                <w:sz w:val="20"/>
                <w:szCs w:val="20"/>
                <w:color w:val="auto"/>
              </w:rPr>
            </w:pPr>
            <w:r>
              <w:rPr>
                <w:rFonts w:ascii="Calibri" w:cs="Calibri" w:eastAsia="Calibri" w:hAnsi="Calibri"/>
                <w:sz w:val="18"/>
                <w:szCs w:val="18"/>
                <w:color w:val="auto"/>
              </w:rPr>
              <w:t>104</w:t>
            </w:r>
          </w:p>
        </w:tc>
        <w:tc>
          <w:tcPr>
            <w:tcW w:w="9980" w:type="dxa"/>
            <w:vAlign w:val="bottom"/>
            <w:gridSpan w:val="20"/>
          </w:tcPr>
          <w:p>
            <w:pPr>
              <w:spacing w:after="0"/>
              <w:rPr>
                <w:sz w:val="20"/>
                <w:szCs w:val="20"/>
                <w:color w:val="auto"/>
              </w:rPr>
            </w:pPr>
            <w:r>
              <w:rPr>
                <w:rFonts w:ascii="Calibri" w:cs="Calibri" w:eastAsia="Calibri" w:hAnsi="Calibri"/>
                <w:sz w:val="18"/>
                <w:szCs w:val="18"/>
                <w:color w:val="auto"/>
              </w:rPr>
              <w:t>Cover Page Interactve Data File (embedded within the Inline XBRL document)</w:t>
            </w:r>
          </w:p>
        </w:tc>
      </w:tr>
    </w:tbl>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w:t>
      </w:r>
    </w:p>
    <w:p>
      <w:pPr>
        <w:spacing w:after="0" w:line="37" w:lineRule="exact"/>
        <w:rPr>
          <w:sz w:val="20"/>
          <w:szCs w:val="20"/>
          <w:color w:val="auto"/>
        </w:rPr>
      </w:pPr>
    </w:p>
    <w:p>
      <w:pPr>
        <w:ind w:left="920" w:hanging="894"/>
        <w:spacing w:after="0"/>
        <w:tabs>
          <w:tab w:leader="none" w:pos="920"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Filed herewith</w:t>
      </w:r>
    </w:p>
    <w:p>
      <w:pPr>
        <w:spacing w:after="0" w:line="28" w:lineRule="exact"/>
        <w:rPr>
          <w:sz w:val="20"/>
          <w:szCs w:val="20"/>
          <w:color w:val="auto"/>
        </w:rPr>
      </w:pPr>
    </w:p>
    <w:p>
      <w:pPr>
        <w:ind w:left="920" w:right="280" w:hanging="894"/>
        <w:spacing w:after="0" w:line="213" w:lineRule="auto"/>
        <w:tabs>
          <w:tab w:leader="none" w:pos="92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The certfcatons furnished in Exhibits 32.1 and 32.2 hereto are deemed to accompany this Annual Report and will not be deemed "fled" for purposes of Secton 18 of the Securites Exchange Act of 1934, as amended, and are not to be incorporated by reference into any of the Registrant’s flings under the Securites Act of 1933, as amended or the Securites Exchange Act of 1934, as amended, irrespectve of general incorporaton language contained in any such fling.</w:t>
      </w:r>
    </w:p>
    <w:p>
      <w:pPr>
        <w:spacing w:after="0" w:line="30" w:lineRule="exact"/>
        <w:rPr>
          <w:sz w:val="20"/>
          <w:szCs w:val="20"/>
          <w:color w:val="auto"/>
        </w:rPr>
      </w:pPr>
    </w:p>
    <w:p>
      <w:pPr>
        <w:ind w:left="920" w:right="660" w:hanging="894"/>
        <w:spacing w:after="0" w:line="220" w:lineRule="auto"/>
        <w:tabs>
          <w:tab w:leader="none" w:pos="92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Certain schedules and exhibits have been omited pursuant to Item 601(a)(5) or Item 601(b)(2) of Regulaton S-K. The Registrant hereby undertakes to furnish copies of the omited schedule or exhibit upon request by the Securites and Exchange Commission.</w:t>
      </w:r>
    </w:p>
    <w:p>
      <w:pPr>
        <w:spacing w:after="0" w:line="24" w:lineRule="exact"/>
        <w:rPr>
          <w:sz w:val="20"/>
          <w:szCs w:val="20"/>
          <w:color w:val="auto"/>
        </w:rPr>
      </w:pPr>
    </w:p>
    <w:p>
      <w:pPr>
        <w:ind w:left="920" w:hanging="894"/>
        <w:spacing w:after="0"/>
        <w:tabs>
          <w:tab w:leader="none" w:pos="92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Management contract or compensatory plan or arrangement.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16. FORM 10-K SUMMARY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8" w:right="379" w:bottom="1440" w:gutter="0" w:footer="0" w:header="0"/>
        </w:sectPr>
      </w:pPr>
    </w:p>
    <w:bookmarkStart w:id="70" w:name="page71"/>
    <w:bookmarkEnd w:id="70"/>
    <w:p>
      <w:pPr>
        <w:jc w:val="center"/>
        <w:ind w:right="-159"/>
        <w:spacing w:after="0"/>
        <w:rPr>
          <w:sz w:val="20"/>
          <w:szCs w:val="20"/>
          <w:color w:val="auto"/>
        </w:rPr>
      </w:pPr>
      <w:r>
        <w:rPr>
          <w:rFonts w:ascii="Calibri" w:cs="Calibri" w:eastAsia="Calibri" w:hAnsi="Calibri"/>
          <w:sz w:val="18"/>
          <w:szCs w:val="18"/>
          <w:b w:val="1"/>
          <w:bCs w:val="1"/>
          <w:color w:val="auto"/>
        </w:rPr>
        <w:t>SIGNATURES</w:t>
      </w:r>
    </w:p>
    <w:p>
      <w:pPr>
        <w:spacing w:after="0" w:line="217"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Pursuant to the requirements of Secton 13 or 15(d) of the Securites Exchange Act of 1934, as amended, the Registrant has duly caused this Report to be signed on its behalf by the undersigned, thereunto duly authorized</w:t>
      </w:r>
      <w:r>
        <w:rPr>
          <w:rFonts w:ascii="Calibri" w:cs="Calibri" w:eastAsia="Calibri" w:hAnsi="Calibri"/>
          <w:sz w:val="18"/>
          <w:szCs w:val="18"/>
          <w:b w:val="1"/>
          <w:bCs w:val="1"/>
          <w:color w:val="auto"/>
        </w:rPr>
        <w:t>.</w:t>
      </w:r>
    </w:p>
    <w:p>
      <w:pPr>
        <w:spacing w:after="0" w:line="260" w:lineRule="exact"/>
        <w:rPr>
          <w:sz w:val="20"/>
          <w:szCs w:val="20"/>
          <w:color w:val="auto"/>
        </w:rPr>
      </w:pPr>
    </w:p>
    <w:p>
      <w:pPr>
        <w:ind w:left="5460"/>
        <w:spacing w:after="0"/>
        <w:rPr>
          <w:sz w:val="20"/>
          <w:szCs w:val="20"/>
          <w:color w:val="auto"/>
        </w:rPr>
      </w:pPr>
      <w:r>
        <w:rPr>
          <w:rFonts w:ascii="Calibri" w:cs="Calibri" w:eastAsia="Calibri" w:hAnsi="Calibri"/>
          <w:sz w:val="16"/>
          <w:szCs w:val="16"/>
          <w:b w:val="1"/>
          <w:bCs w:val="1"/>
          <w:color w:val="auto"/>
        </w:rPr>
        <w:t>GREENIDGE GENERATION HOLDINGS INC.</w:t>
      </w:r>
    </w:p>
    <w:p>
      <w:pPr>
        <w:spacing w:after="0" w:line="297" w:lineRule="exact"/>
        <w:rPr>
          <w:sz w:val="20"/>
          <w:szCs w:val="20"/>
          <w:color w:val="auto"/>
        </w:rPr>
      </w:pPr>
    </w:p>
    <w:p>
      <w:pPr>
        <w:ind w:left="20"/>
        <w:spacing w:after="0"/>
        <w:tabs>
          <w:tab w:leader="none" w:pos="5440" w:val="left"/>
          <w:tab w:leader="none" w:pos="5900" w:val="left"/>
        </w:tabs>
        <w:rPr>
          <w:sz w:val="20"/>
          <w:szCs w:val="20"/>
          <w:color w:val="auto"/>
        </w:rPr>
      </w:pPr>
      <w:r>
        <w:rPr>
          <w:rFonts w:ascii="Calibri" w:cs="Calibri" w:eastAsia="Calibri" w:hAnsi="Calibri"/>
          <w:sz w:val="18"/>
          <w:szCs w:val="18"/>
          <w:color w:val="auto"/>
        </w:rPr>
        <w:t>Date: March 31, 2025</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Jordan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23495</wp:posOffset>
            </wp:positionV>
            <wp:extent cx="33858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7" w:lineRule="exact"/>
        <w:rPr>
          <w:sz w:val="20"/>
          <w:szCs w:val="20"/>
          <w:color w:val="auto"/>
        </w:rPr>
      </w:pPr>
    </w:p>
    <w:p>
      <w:pPr>
        <w:ind w:left="5920"/>
        <w:spacing w:after="0"/>
        <w:rPr>
          <w:sz w:val="20"/>
          <w:szCs w:val="20"/>
          <w:color w:val="auto"/>
        </w:rPr>
      </w:pPr>
      <w:r>
        <w:rPr>
          <w:rFonts w:ascii="Calibri" w:cs="Calibri" w:eastAsia="Calibri" w:hAnsi="Calibri"/>
          <w:sz w:val="18"/>
          <w:szCs w:val="18"/>
          <w:color w:val="auto"/>
        </w:rPr>
        <w:t>Jordan Kovler</w:t>
      </w:r>
    </w:p>
    <w:p>
      <w:pPr>
        <w:spacing w:after="0" w:line="30" w:lineRule="exact"/>
        <w:rPr>
          <w:sz w:val="20"/>
          <w:szCs w:val="20"/>
          <w:color w:val="auto"/>
        </w:rPr>
      </w:pPr>
    </w:p>
    <w:p>
      <w:pPr>
        <w:ind w:left="5920"/>
        <w:spacing w:after="0"/>
        <w:rPr>
          <w:sz w:val="20"/>
          <w:szCs w:val="20"/>
          <w:color w:val="auto"/>
        </w:rPr>
      </w:pPr>
      <w:r>
        <w:rPr>
          <w:rFonts w:ascii="Calibri" w:cs="Calibri" w:eastAsia="Calibri" w:hAnsi="Calibri"/>
          <w:sz w:val="16"/>
          <w:szCs w:val="16"/>
          <w:color w:val="auto"/>
        </w:rPr>
        <w:t>Chief Executve Ofcer</w:t>
      </w:r>
    </w:p>
    <w:p>
      <w:pPr>
        <w:spacing w:after="0" w:line="351" w:lineRule="exact"/>
        <w:rPr>
          <w:sz w:val="20"/>
          <w:szCs w:val="20"/>
          <w:color w:val="auto"/>
        </w:rPr>
      </w:pPr>
    </w:p>
    <w:p>
      <w:pPr>
        <w:jc w:val="center"/>
        <w:ind w:right="-179"/>
        <w:spacing w:after="0"/>
        <w:rPr>
          <w:sz w:val="20"/>
          <w:szCs w:val="20"/>
          <w:color w:val="auto"/>
        </w:rPr>
      </w:pPr>
      <w:r>
        <w:rPr>
          <w:rFonts w:ascii="Calibri" w:cs="Calibri" w:eastAsia="Calibri" w:hAnsi="Calibri"/>
          <w:sz w:val="18"/>
          <w:szCs w:val="18"/>
          <w:b w:val="1"/>
          <w:bCs w:val="1"/>
          <w:color w:val="auto"/>
        </w:rPr>
        <w:t>POWER OF ATTORNEY</w:t>
      </w:r>
    </w:p>
    <w:p>
      <w:pPr>
        <w:spacing w:after="0" w:line="24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Each person whose signature appears below consttutes and appoints Jordan Kovler and Christan Mulvihill, and each one of them, as his or her true and lawful atorneys-in-fact and agents, with full power of substtuton and resubsttuton, for him or her and in their name, place, and stead, in any and all capacites, to sign any and all amendments to this Annual Report on Form 10-K, and to fle the same, with all exhibits thereto and other documents in connecton therewith, with the Securites and Exchange Commission, grantng unto said atorneys-in-fact and agents, and each of them, full power and authority to do and perform each and every act and thing requisite and necessary to be done in connecton therewith, as fully to all intents and purposes as he or she might or could do in person, hereby ratfying and confrming all that said atorneys-in-fact and agents or any of them, or his or her substtute or substtutes, may lawfully do or cause to be done by virtue hereof.</w:t>
      </w:r>
    </w:p>
    <w:p>
      <w:pPr>
        <w:spacing w:after="0" w:line="36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46" w:right="499" w:bottom="1440" w:gutter="0" w:footer="0" w:header="0"/>
        </w:sectPr>
      </w:pPr>
    </w:p>
    <w:bookmarkStart w:id="71" w:name="page72"/>
    <w:bookmarkEnd w:id="71"/>
    <w:p>
      <w:pPr>
        <w:ind w:right="20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as amended, this Report has been signed below by the following persons on behalf of the Registrant in the capacites and on the dates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ind w:left="1660"/>
              <w:spacing w:after="0"/>
              <w:rPr>
                <w:sz w:val="20"/>
                <w:szCs w:val="20"/>
                <w:color w:val="auto"/>
              </w:rPr>
            </w:pPr>
            <w:r>
              <w:rPr>
                <w:rFonts w:ascii="Calibri" w:cs="Calibri" w:eastAsia="Calibri" w:hAnsi="Calibri"/>
                <w:sz w:val="14"/>
                <w:szCs w:val="14"/>
                <w:b w:val="1"/>
                <w:bCs w:val="1"/>
                <w:color w:val="auto"/>
              </w:rPr>
              <w:t>Name</w:t>
            </w:r>
          </w:p>
        </w:tc>
        <w:tc>
          <w:tcPr>
            <w:tcW w:w="100" w:type="dxa"/>
            <w:vAlign w:val="bottom"/>
          </w:tcPr>
          <w:p>
            <w:pPr>
              <w:spacing w:after="0"/>
              <w:rPr>
                <w:sz w:val="14"/>
                <w:szCs w:val="14"/>
                <w:color w:val="auto"/>
              </w:rPr>
            </w:pPr>
          </w:p>
        </w:tc>
        <w:tc>
          <w:tcPr>
            <w:tcW w:w="4740" w:type="dxa"/>
            <w:vAlign w:val="bottom"/>
            <w:gridSpan w:val="2"/>
          </w:tcPr>
          <w:p>
            <w:pPr>
              <w:ind w:left="2200"/>
              <w:spacing w:after="0"/>
              <w:rPr>
                <w:sz w:val="20"/>
                <w:szCs w:val="20"/>
                <w:color w:val="auto"/>
              </w:rPr>
            </w:pPr>
            <w:r>
              <w:rPr>
                <w:rFonts w:ascii="Calibri" w:cs="Calibri" w:eastAsia="Calibri" w:hAnsi="Calibri"/>
                <w:sz w:val="14"/>
                <w:szCs w:val="14"/>
                <w:b w:val="1"/>
                <w:bCs w:val="1"/>
                <w:color w:val="auto"/>
              </w:rPr>
              <w:t>Title</w:t>
            </w:r>
          </w:p>
        </w:tc>
        <w:tc>
          <w:tcPr>
            <w:tcW w:w="2720" w:type="dxa"/>
            <w:vAlign w:val="bottom"/>
          </w:tcPr>
          <w:p>
            <w:pPr>
              <w:ind w:left="1220"/>
              <w:spacing w:after="0"/>
              <w:rPr>
                <w:sz w:val="20"/>
                <w:szCs w:val="20"/>
                <w:color w:val="auto"/>
              </w:rPr>
            </w:pPr>
            <w:r>
              <w:rPr>
                <w:rFonts w:ascii="Calibri" w:cs="Calibri" w:eastAsia="Calibri" w:hAnsi="Calibri"/>
                <w:sz w:val="14"/>
                <w:szCs w:val="14"/>
                <w:b w:val="1"/>
                <w:bCs w:val="1"/>
                <w:color w:val="auto"/>
              </w:rPr>
              <w:t>Date</w:t>
            </w:r>
          </w:p>
        </w:tc>
      </w:tr>
      <w:tr>
        <w:trPr>
          <w:trHeight w:val="47"/>
        </w:trPr>
        <w:tc>
          <w:tcPr>
            <w:tcW w:w="3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r>
      <w:tr>
        <w:trPr>
          <w:trHeight w:val="217"/>
        </w:trPr>
        <w:tc>
          <w:tcPr>
            <w:tcW w:w="368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/s/ Jordan Kovler</w:t>
            </w:r>
          </w:p>
        </w:tc>
        <w:tc>
          <w:tcPr>
            <w:tcW w:w="100" w:type="dxa"/>
            <w:vAlign w:val="bottom"/>
          </w:tcPr>
          <w:p>
            <w:pPr>
              <w:spacing w:after="0"/>
              <w:rPr>
                <w:sz w:val="18"/>
                <w:szCs w:val="18"/>
                <w:color w:val="auto"/>
              </w:rPr>
            </w:pPr>
          </w:p>
        </w:tc>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Chief Executve Ofcer (Principal Executve Ofcer and Director)</w:t>
            </w:r>
          </w:p>
        </w:tc>
        <w:tc>
          <w:tcPr>
            <w:tcW w:w="80" w:type="dxa"/>
            <w:vAlign w:val="bottom"/>
          </w:tcPr>
          <w:p>
            <w:pPr>
              <w:spacing w:after="0"/>
              <w:rPr>
                <w:sz w:val="18"/>
                <w:szCs w:val="18"/>
                <w:color w:val="auto"/>
              </w:rPr>
            </w:pPr>
          </w:p>
        </w:tc>
        <w:tc>
          <w:tcPr>
            <w:tcW w:w="27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March 31, 2025</w:t>
            </w:r>
          </w:p>
        </w:tc>
      </w:tr>
      <w:tr>
        <w:trPr>
          <w:trHeight w:val="215"/>
        </w:trPr>
        <w:tc>
          <w:tcPr>
            <w:tcW w:w="3680" w:type="dxa"/>
            <w:vAlign w:val="bottom"/>
          </w:tcPr>
          <w:p>
            <w:pPr>
              <w:ind w:left="20"/>
              <w:spacing w:after="0" w:line="215" w:lineRule="exact"/>
              <w:rPr>
                <w:sz w:val="20"/>
                <w:szCs w:val="20"/>
                <w:color w:val="auto"/>
              </w:rPr>
            </w:pPr>
            <w:r>
              <w:rPr>
                <w:rFonts w:ascii="Calibri" w:cs="Calibri" w:eastAsia="Calibri" w:hAnsi="Calibri"/>
                <w:sz w:val="18"/>
                <w:szCs w:val="18"/>
                <w:color w:val="auto"/>
              </w:rPr>
              <w:t>Jordan Kovler</w:t>
            </w: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76"/>
        </w:trPr>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740" w:type="dxa"/>
            <w:vAlign w:val="bottom"/>
            <w:gridSpan w:val="2"/>
          </w:tcPr>
          <w:p>
            <w:pPr>
              <w:ind w:left="20"/>
              <w:spacing w:after="0"/>
              <w:rPr>
                <w:sz w:val="20"/>
                <w:szCs w:val="20"/>
                <w:color w:val="auto"/>
              </w:rPr>
            </w:pPr>
            <w:r>
              <w:rPr>
                <w:rFonts w:ascii="Calibri" w:cs="Calibri" w:eastAsia="Calibri" w:hAnsi="Calibri"/>
                <w:sz w:val="18"/>
                <w:szCs w:val="18"/>
                <w:color w:val="auto"/>
              </w:rPr>
              <w:t>Chief Financial Ofcer (Principal Financial and Accountng</w:t>
            </w:r>
          </w:p>
        </w:tc>
        <w:tc>
          <w:tcPr>
            <w:tcW w:w="2720" w:type="dxa"/>
            <w:vAlign w:val="bottom"/>
          </w:tcPr>
          <w:p>
            <w:pPr>
              <w:spacing w:after="0"/>
              <w:rPr>
                <w:sz w:val="23"/>
                <w:szCs w:val="23"/>
                <w:color w:val="auto"/>
              </w:rPr>
            </w:pPr>
          </w:p>
        </w:tc>
      </w:tr>
      <w:tr>
        <w:trPr>
          <w:trHeight w:val="228"/>
        </w:trPr>
        <w:tc>
          <w:tcPr>
            <w:tcW w:w="3680" w:type="dxa"/>
            <w:vAlign w:val="bottom"/>
          </w:tcPr>
          <w:p>
            <w:pPr>
              <w:ind w:left="20"/>
              <w:spacing w:after="0"/>
              <w:rPr>
                <w:sz w:val="20"/>
                <w:szCs w:val="20"/>
                <w:color w:val="auto"/>
              </w:rPr>
            </w:pPr>
            <w:r>
              <w:rPr>
                <w:rFonts w:ascii="Calibri" w:cs="Calibri" w:eastAsia="Calibri" w:hAnsi="Calibri"/>
                <w:sz w:val="18"/>
                <w:szCs w:val="18"/>
                <w:color w:val="auto"/>
              </w:rPr>
              <w:t>/s/ Christan Mulvihill</w:t>
            </w:r>
          </w:p>
        </w:tc>
        <w:tc>
          <w:tcPr>
            <w:tcW w:w="100" w:type="dxa"/>
            <w:vAlign w:val="bottom"/>
          </w:tcPr>
          <w:p>
            <w:pPr>
              <w:spacing w:after="0"/>
              <w:rPr>
                <w:sz w:val="19"/>
                <w:szCs w:val="19"/>
                <w:color w:val="auto"/>
              </w:rPr>
            </w:pPr>
          </w:p>
        </w:tc>
        <w:tc>
          <w:tcPr>
            <w:tcW w:w="474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Ofcer)</w:t>
            </w:r>
          </w:p>
        </w:tc>
        <w:tc>
          <w:tcPr>
            <w:tcW w:w="2720" w:type="dxa"/>
            <w:vAlign w:val="bottom"/>
          </w:tcPr>
          <w:p>
            <w:pPr>
              <w:ind w:left="20"/>
              <w:spacing w:after="0"/>
              <w:rPr>
                <w:sz w:val="20"/>
                <w:szCs w:val="20"/>
                <w:color w:val="auto"/>
              </w:rPr>
            </w:pPr>
            <w:r>
              <w:rPr>
                <w:rFonts w:ascii="Calibri" w:cs="Calibri" w:eastAsia="Calibri" w:hAnsi="Calibri"/>
                <w:sz w:val="18"/>
                <w:szCs w:val="18"/>
                <w:color w:val="auto"/>
              </w:rPr>
              <w:t>March 31, 2025</w:t>
            </w:r>
          </w:p>
        </w:tc>
      </w:tr>
      <w:tr>
        <w:trPr>
          <w:trHeight w:val="23"/>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08"/>
        </w:trPr>
        <w:tc>
          <w:tcPr>
            <w:tcW w:w="3680" w:type="dxa"/>
            <w:vAlign w:val="bottom"/>
          </w:tcPr>
          <w:p>
            <w:pPr>
              <w:ind w:left="20"/>
              <w:spacing w:after="0" w:line="208" w:lineRule="exact"/>
              <w:rPr>
                <w:sz w:val="20"/>
                <w:szCs w:val="20"/>
                <w:color w:val="auto"/>
              </w:rPr>
            </w:pPr>
            <w:r>
              <w:rPr>
                <w:rFonts w:ascii="Calibri" w:cs="Calibri" w:eastAsia="Calibri" w:hAnsi="Calibri"/>
                <w:sz w:val="18"/>
                <w:szCs w:val="18"/>
                <w:color w:val="auto"/>
              </w:rPr>
              <w:t>Christan Mulvihill</w:t>
            </w: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315"/>
        </w:trPr>
        <w:tc>
          <w:tcPr>
            <w:tcW w:w="3680" w:type="dxa"/>
            <w:vAlign w:val="bottom"/>
          </w:tcPr>
          <w:p>
            <w:pPr>
              <w:ind w:left="20"/>
              <w:spacing w:after="0"/>
              <w:rPr>
                <w:sz w:val="20"/>
                <w:szCs w:val="20"/>
                <w:color w:val="auto"/>
              </w:rPr>
            </w:pPr>
            <w:r>
              <w:rPr>
                <w:rFonts w:ascii="Calibri" w:cs="Calibri" w:eastAsia="Calibri" w:hAnsi="Calibri"/>
                <w:sz w:val="18"/>
                <w:szCs w:val="18"/>
                <w:color w:val="auto"/>
              </w:rPr>
              <w:t>/s/ David Anderson</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Calibri" w:cs="Calibri" w:eastAsia="Calibri" w:hAnsi="Calibri"/>
                <w:sz w:val="18"/>
                <w:szCs w:val="18"/>
                <w:color w:val="auto"/>
              </w:rPr>
              <w:t>Chairman of the Board of Directors</w:t>
            </w:r>
          </w:p>
        </w:tc>
        <w:tc>
          <w:tcPr>
            <w:tcW w:w="2720" w:type="dxa"/>
            <w:vAlign w:val="bottom"/>
          </w:tcPr>
          <w:p>
            <w:pPr>
              <w:ind w:left="20"/>
              <w:spacing w:after="0"/>
              <w:rPr>
                <w:sz w:val="20"/>
                <w:szCs w:val="20"/>
                <w:color w:val="auto"/>
              </w:rPr>
            </w:pPr>
            <w:r>
              <w:rPr>
                <w:rFonts w:ascii="Calibri" w:cs="Calibri" w:eastAsia="Calibri" w:hAnsi="Calibri"/>
                <w:sz w:val="18"/>
                <w:szCs w:val="18"/>
                <w:color w:val="auto"/>
              </w:rPr>
              <w:t>March 31, 2025</w:t>
            </w:r>
          </w:p>
        </w:tc>
      </w:tr>
      <w:tr>
        <w:trPr>
          <w:trHeight w:val="23"/>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08"/>
        </w:trPr>
        <w:tc>
          <w:tcPr>
            <w:tcW w:w="3680" w:type="dxa"/>
            <w:vAlign w:val="bottom"/>
          </w:tcPr>
          <w:p>
            <w:pPr>
              <w:ind w:left="20"/>
              <w:spacing w:after="0" w:line="208" w:lineRule="exact"/>
              <w:rPr>
                <w:sz w:val="20"/>
                <w:szCs w:val="20"/>
                <w:color w:val="auto"/>
              </w:rPr>
            </w:pPr>
            <w:r>
              <w:rPr>
                <w:rFonts w:ascii="Calibri" w:cs="Calibri" w:eastAsia="Calibri" w:hAnsi="Calibri"/>
                <w:sz w:val="18"/>
                <w:szCs w:val="18"/>
                <w:color w:val="auto"/>
              </w:rPr>
              <w:t>David Anderson</w:t>
            </w: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315"/>
        </w:trPr>
        <w:tc>
          <w:tcPr>
            <w:tcW w:w="3680" w:type="dxa"/>
            <w:vAlign w:val="bottom"/>
          </w:tcPr>
          <w:p>
            <w:pPr>
              <w:ind w:left="20"/>
              <w:spacing w:after="0"/>
              <w:rPr>
                <w:sz w:val="20"/>
                <w:szCs w:val="20"/>
                <w:color w:val="auto"/>
              </w:rPr>
            </w:pPr>
            <w:r>
              <w:rPr>
                <w:rFonts w:ascii="Calibri" w:cs="Calibri" w:eastAsia="Calibri" w:hAnsi="Calibri"/>
                <w:sz w:val="18"/>
                <w:szCs w:val="18"/>
                <w:color w:val="auto"/>
              </w:rPr>
              <w:t>/s/ Andrew M. Bursky</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2720" w:type="dxa"/>
            <w:vAlign w:val="bottom"/>
          </w:tcPr>
          <w:p>
            <w:pPr>
              <w:ind w:left="20"/>
              <w:spacing w:after="0"/>
              <w:rPr>
                <w:sz w:val="20"/>
                <w:szCs w:val="20"/>
                <w:color w:val="auto"/>
              </w:rPr>
            </w:pPr>
            <w:r>
              <w:rPr>
                <w:rFonts w:ascii="Calibri" w:cs="Calibri" w:eastAsia="Calibri" w:hAnsi="Calibri"/>
                <w:sz w:val="18"/>
                <w:szCs w:val="18"/>
                <w:color w:val="auto"/>
              </w:rPr>
              <w:t>March 31, 2025</w:t>
            </w:r>
          </w:p>
        </w:tc>
      </w:tr>
      <w:tr>
        <w:trPr>
          <w:trHeight w:val="23"/>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08"/>
        </w:trPr>
        <w:tc>
          <w:tcPr>
            <w:tcW w:w="3680" w:type="dxa"/>
            <w:vAlign w:val="bottom"/>
          </w:tcPr>
          <w:p>
            <w:pPr>
              <w:ind w:left="20"/>
              <w:spacing w:after="0" w:line="208" w:lineRule="exact"/>
              <w:rPr>
                <w:sz w:val="20"/>
                <w:szCs w:val="20"/>
                <w:color w:val="auto"/>
              </w:rPr>
            </w:pPr>
            <w:r>
              <w:rPr>
                <w:rFonts w:ascii="Calibri" w:cs="Calibri" w:eastAsia="Calibri" w:hAnsi="Calibri"/>
                <w:sz w:val="18"/>
                <w:szCs w:val="18"/>
                <w:color w:val="auto"/>
              </w:rPr>
              <w:t>Andrew M. Bursky</w:t>
            </w: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75"/>
        </w:trPr>
        <w:tc>
          <w:tcPr>
            <w:tcW w:w="3680" w:type="dxa"/>
            <w:vAlign w:val="bottom"/>
          </w:tcPr>
          <w:p>
            <w:pPr>
              <w:ind w:left="20"/>
              <w:spacing w:after="0"/>
              <w:rPr>
                <w:sz w:val="20"/>
                <w:szCs w:val="20"/>
                <w:color w:val="auto"/>
              </w:rPr>
            </w:pPr>
            <w:r>
              <w:rPr>
                <w:rFonts w:ascii="Calibri" w:cs="Calibri" w:eastAsia="Calibri" w:hAnsi="Calibri"/>
                <w:sz w:val="18"/>
                <w:szCs w:val="18"/>
                <w:color w:val="auto"/>
              </w:rPr>
              <w:t>/s/ Timothy Fazio</w:t>
            </w:r>
          </w:p>
        </w:tc>
        <w:tc>
          <w:tcPr>
            <w:tcW w:w="100" w:type="dxa"/>
            <w:vAlign w:val="bottom"/>
          </w:tcPr>
          <w:p>
            <w:pPr>
              <w:spacing w:after="0"/>
              <w:rPr>
                <w:sz w:val="23"/>
                <w:szCs w:val="23"/>
                <w:color w:val="auto"/>
              </w:rPr>
            </w:pPr>
          </w:p>
        </w:tc>
        <w:tc>
          <w:tcPr>
            <w:tcW w:w="474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2720" w:type="dxa"/>
            <w:vAlign w:val="bottom"/>
          </w:tcPr>
          <w:p>
            <w:pPr>
              <w:ind w:left="20"/>
              <w:spacing w:after="0"/>
              <w:rPr>
                <w:sz w:val="20"/>
                <w:szCs w:val="20"/>
                <w:color w:val="auto"/>
              </w:rPr>
            </w:pPr>
            <w:r>
              <w:rPr>
                <w:rFonts w:ascii="Calibri" w:cs="Calibri" w:eastAsia="Calibri" w:hAnsi="Calibri"/>
                <w:sz w:val="18"/>
                <w:szCs w:val="18"/>
                <w:color w:val="auto"/>
              </w:rPr>
              <w:t>March 31, 2025</w:t>
            </w:r>
          </w:p>
        </w:tc>
      </w:tr>
      <w:tr>
        <w:trPr>
          <w:trHeight w:val="23"/>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08"/>
        </w:trPr>
        <w:tc>
          <w:tcPr>
            <w:tcW w:w="3680" w:type="dxa"/>
            <w:vAlign w:val="bottom"/>
          </w:tcPr>
          <w:p>
            <w:pPr>
              <w:ind w:left="20"/>
              <w:spacing w:after="0" w:line="208" w:lineRule="exact"/>
              <w:rPr>
                <w:sz w:val="20"/>
                <w:szCs w:val="20"/>
                <w:color w:val="auto"/>
              </w:rPr>
            </w:pPr>
            <w:r>
              <w:rPr>
                <w:rFonts w:ascii="Calibri" w:cs="Calibri" w:eastAsia="Calibri" w:hAnsi="Calibri"/>
                <w:sz w:val="18"/>
                <w:szCs w:val="18"/>
                <w:color w:val="auto"/>
              </w:rPr>
              <w:t>Timothy Fazio</w:t>
            </w: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75"/>
        </w:trPr>
        <w:tc>
          <w:tcPr>
            <w:tcW w:w="3680" w:type="dxa"/>
            <w:vAlign w:val="bottom"/>
          </w:tcPr>
          <w:p>
            <w:pPr>
              <w:ind w:left="20"/>
              <w:spacing w:after="0"/>
              <w:rPr>
                <w:sz w:val="20"/>
                <w:szCs w:val="20"/>
                <w:color w:val="auto"/>
              </w:rPr>
            </w:pPr>
            <w:r>
              <w:rPr>
                <w:rFonts w:ascii="Calibri" w:cs="Calibri" w:eastAsia="Calibri" w:hAnsi="Calibri"/>
                <w:sz w:val="18"/>
                <w:szCs w:val="18"/>
                <w:color w:val="auto"/>
              </w:rPr>
              <w:t>/s/ David Filippelli</w:t>
            </w:r>
          </w:p>
        </w:tc>
        <w:tc>
          <w:tcPr>
            <w:tcW w:w="100" w:type="dxa"/>
            <w:vAlign w:val="bottom"/>
          </w:tcPr>
          <w:p>
            <w:pPr>
              <w:spacing w:after="0"/>
              <w:rPr>
                <w:sz w:val="23"/>
                <w:szCs w:val="23"/>
                <w:color w:val="auto"/>
              </w:rPr>
            </w:pPr>
          </w:p>
        </w:tc>
        <w:tc>
          <w:tcPr>
            <w:tcW w:w="474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2720" w:type="dxa"/>
            <w:vAlign w:val="bottom"/>
          </w:tcPr>
          <w:p>
            <w:pPr>
              <w:ind w:left="20"/>
              <w:spacing w:after="0"/>
              <w:rPr>
                <w:sz w:val="20"/>
                <w:szCs w:val="20"/>
                <w:color w:val="auto"/>
              </w:rPr>
            </w:pPr>
            <w:r>
              <w:rPr>
                <w:rFonts w:ascii="Calibri" w:cs="Calibri" w:eastAsia="Calibri" w:hAnsi="Calibri"/>
                <w:sz w:val="18"/>
                <w:szCs w:val="18"/>
                <w:color w:val="auto"/>
              </w:rPr>
              <w:t>March 31, 2025</w:t>
            </w:r>
          </w:p>
        </w:tc>
      </w:tr>
      <w:tr>
        <w:trPr>
          <w:trHeight w:val="23"/>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08"/>
        </w:trPr>
        <w:tc>
          <w:tcPr>
            <w:tcW w:w="3680" w:type="dxa"/>
            <w:vAlign w:val="bottom"/>
          </w:tcPr>
          <w:p>
            <w:pPr>
              <w:ind w:left="20"/>
              <w:spacing w:after="0" w:line="208" w:lineRule="exact"/>
              <w:rPr>
                <w:sz w:val="20"/>
                <w:szCs w:val="20"/>
                <w:color w:val="auto"/>
              </w:rPr>
            </w:pPr>
            <w:r>
              <w:rPr>
                <w:rFonts w:ascii="Calibri" w:cs="Calibri" w:eastAsia="Calibri" w:hAnsi="Calibri"/>
                <w:sz w:val="18"/>
                <w:szCs w:val="18"/>
                <w:color w:val="auto"/>
              </w:rPr>
              <w:t>David Filippelli</w:t>
            </w: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75"/>
        </w:trPr>
        <w:tc>
          <w:tcPr>
            <w:tcW w:w="3680" w:type="dxa"/>
            <w:vAlign w:val="bottom"/>
          </w:tcPr>
          <w:p>
            <w:pPr>
              <w:ind w:left="20"/>
              <w:spacing w:after="0"/>
              <w:rPr>
                <w:sz w:val="20"/>
                <w:szCs w:val="20"/>
                <w:color w:val="auto"/>
              </w:rPr>
            </w:pPr>
            <w:r>
              <w:rPr>
                <w:rFonts w:ascii="Calibri" w:cs="Calibri" w:eastAsia="Calibri" w:hAnsi="Calibri"/>
                <w:sz w:val="18"/>
                <w:szCs w:val="18"/>
                <w:color w:val="auto"/>
              </w:rPr>
              <w:t>/s/ Jerome Lay</w:t>
            </w:r>
          </w:p>
        </w:tc>
        <w:tc>
          <w:tcPr>
            <w:tcW w:w="100" w:type="dxa"/>
            <w:vAlign w:val="bottom"/>
          </w:tcPr>
          <w:p>
            <w:pPr>
              <w:spacing w:after="0"/>
              <w:rPr>
                <w:sz w:val="23"/>
                <w:szCs w:val="23"/>
                <w:color w:val="auto"/>
              </w:rPr>
            </w:pPr>
          </w:p>
        </w:tc>
        <w:tc>
          <w:tcPr>
            <w:tcW w:w="474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2720" w:type="dxa"/>
            <w:vAlign w:val="bottom"/>
          </w:tcPr>
          <w:p>
            <w:pPr>
              <w:ind w:left="20"/>
              <w:spacing w:after="0"/>
              <w:rPr>
                <w:sz w:val="20"/>
                <w:szCs w:val="20"/>
                <w:color w:val="auto"/>
              </w:rPr>
            </w:pPr>
            <w:r>
              <w:rPr>
                <w:rFonts w:ascii="Calibri" w:cs="Calibri" w:eastAsia="Calibri" w:hAnsi="Calibri"/>
                <w:sz w:val="18"/>
                <w:szCs w:val="18"/>
                <w:color w:val="auto"/>
              </w:rPr>
              <w:t>March 31, 2025</w:t>
            </w:r>
          </w:p>
        </w:tc>
      </w:tr>
      <w:tr>
        <w:trPr>
          <w:trHeight w:val="23"/>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08"/>
        </w:trPr>
        <w:tc>
          <w:tcPr>
            <w:tcW w:w="3680" w:type="dxa"/>
            <w:vAlign w:val="bottom"/>
          </w:tcPr>
          <w:p>
            <w:pPr>
              <w:ind w:left="20"/>
              <w:spacing w:after="0" w:line="208" w:lineRule="exact"/>
              <w:rPr>
                <w:sz w:val="20"/>
                <w:szCs w:val="20"/>
                <w:color w:val="auto"/>
              </w:rPr>
            </w:pPr>
            <w:r>
              <w:rPr>
                <w:rFonts w:ascii="Calibri" w:cs="Calibri" w:eastAsia="Calibri" w:hAnsi="Calibri"/>
                <w:sz w:val="18"/>
                <w:szCs w:val="18"/>
                <w:color w:val="auto"/>
              </w:rPr>
              <w:t>Jerome Lay</w:t>
            </w: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315"/>
        </w:trPr>
        <w:tc>
          <w:tcPr>
            <w:tcW w:w="3680" w:type="dxa"/>
            <w:vAlign w:val="bottom"/>
          </w:tcPr>
          <w:p>
            <w:pPr>
              <w:ind w:left="20"/>
              <w:spacing w:after="0"/>
              <w:rPr>
                <w:sz w:val="20"/>
                <w:szCs w:val="20"/>
                <w:color w:val="auto"/>
              </w:rPr>
            </w:pPr>
            <w:r>
              <w:rPr>
                <w:rFonts w:ascii="Calibri" w:cs="Calibri" w:eastAsia="Calibri" w:hAnsi="Calibri"/>
                <w:sz w:val="18"/>
                <w:szCs w:val="18"/>
                <w:color w:val="auto"/>
              </w:rPr>
              <w:t>/s/ Timothy Lowe</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2720" w:type="dxa"/>
            <w:vAlign w:val="bottom"/>
          </w:tcPr>
          <w:p>
            <w:pPr>
              <w:ind w:left="20"/>
              <w:spacing w:after="0"/>
              <w:rPr>
                <w:sz w:val="20"/>
                <w:szCs w:val="20"/>
                <w:color w:val="auto"/>
              </w:rPr>
            </w:pPr>
            <w:r>
              <w:rPr>
                <w:rFonts w:ascii="Calibri" w:cs="Calibri" w:eastAsia="Calibri" w:hAnsi="Calibri"/>
                <w:sz w:val="18"/>
                <w:szCs w:val="18"/>
                <w:color w:val="auto"/>
              </w:rPr>
              <w:t>March 31, 2025</w:t>
            </w:r>
          </w:p>
        </w:tc>
      </w:tr>
      <w:tr>
        <w:trPr>
          <w:trHeight w:val="23"/>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08"/>
        </w:trPr>
        <w:tc>
          <w:tcPr>
            <w:tcW w:w="3680" w:type="dxa"/>
            <w:vAlign w:val="bottom"/>
          </w:tcPr>
          <w:p>
            <w:pPr>
              <w:ind w:left="20"/>
              <w:spacing w:after="0" w:line="208" w:lineRule="exact"/>
              <w:rPr>
                <w:sz w:val="20"/>
                <w:szCs w:val="20"/>
                <w:color w:val="auto"/>
              </w:rPr>
            </w:pPr>
            <w:r>
              <w:rPr>
                <w:rFonts w:ascii="Calibri" w:cs="Calibri" w:eastAsia="Calibri" w:hAnsi="Calibri"/>
                <w:sz w:val="18"/>
                <w:szCs w:val="18"/>
                <w:color w:val="auto"/>
              </w:rPr>
              <w:t>Timothy Lowe</w:t>
            </w: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315"/>
        </w:trPr>
        <w:tc>
          <w:tcPr>
            <w:tcW w:w="3680" w:type="dxa"/>
            <w:vAlign w:val="bottom"/>
          </w:tcPr>
          <w:p>
            <w:pPr>
              <w:ind w:left="20"/>
              <w:spacing w:after="0"/>
              <w:rPr>
                <w:sz w:val="20"/>
                <w:szCs w:val="20"/>
                <w:color w:val="auto"/>
              </w:rPr>
            </w:pPr>
            <w:r>
              <w:rPr>
                <w:rFonts w:ascii="Calibri" w:cs="Calibri" w:eastAsia="Calibri" w:hAnsi="Calibri"/>
                <w:sz w:val="18"/>
                <w:szCs w:val="18"/>
                <w:color w:val="auto"/>
              </w:rPr>
              <w:t>/s/ Michael Neuscheler</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2720" w:type="dxa"/>
            <w:vAlign w:val="bottom"/>
          </w:tcPr>
          <w:p>
            <w:pPr>
              <w:ind w:left="20"/>
              <w:spacing w:after="0"/>
              <w:rPr>
                <w:sz w:val="20"/>
                <w:szCs w:val="20"/>
                <w:color w:val="auto"/>
              </w:rPr>
            </w:pPr>
            <w:r>
              <w:rPr>
                <w:rFonts w:ascii="Calibri" w:cs="Calibri" w:eastAsia="Calibri" w:hAnsi="Calibri"/>
                <w:sz w:val="18"/>
                <w:szCs w:val="18"/>
                <w:color w:val="auto"/>
              </w:rPr>
              <w:t>March 31, 2025</w:t>
            </w:r>
          </w:p>
        </w:tc>
      </w:tr>
      <w:tr>
        <w:trPr>
          <w:trHeight w:val="23"/>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08"/>
        </w:trPr>
        <w:tc>
          <w:tcPr>
            <w:tcW w:w="3680" w:type="dxa"/>
            <w:vAlign w:val="bottom"/>
          </w:tcPr>
          <w:p>
            <w:pPr>
              <w:ind w:left="20"/>
              <w:spacing w:after="0" w:line="208" w:lineRule="exact"/>
              <w:rPr>
                <w:sz w:val="20"/>
                <w:szCs w:val="20"/>
                <w:color w:val="auto"/>
              </w:rPr>
            </w:pPr>
            <w:r>
              <w:rPr>
                <w:rFonts w:ascii="Calibri" w:cs="Calibri" w:eastAsia="Calibri" w:hAnsi="Calibri"/>
                <w:sz w:val="18"/>
                <w:szCs w:val="18"/>
                <w:color w:val="auto"/>
              </w:rPr>
              <w:t>Michael Neuscheler</w:t>
            </w: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75"/>
        </w:trPr>
        <w:tc>
          <w:tcPr>
            <w:tcW w:w="3680" w:type="dxa"/>
            <w:vAlign w:val="bottom"/>
          </w:tcPr>
          <w:p>
            <w:pPr>
              <w:ind w:left="20"/>
              <w:spacing w:after="0"/>
              <w:rPr>
                <w:sz w:val="20"/>
                <w:szCs w:val="20"/>
                <w:color w:val="auto"/>
              </w:rPr>
            </w:pPr>
            <w:r>
              <w:rPr>
                <w:rFonts w:ascii="Calibri" w:cs="Calibri" w:eastAsia="Calibri" w:hAnsi="Calibri"/>
                <w:sz w:val="18"/>
                <w:szCs w:val="18"/>
                <w:color w:val="auto"/>
              </w:rPr>
              <w:t>/s/ George (Ted) Rogers</w:t>
            </w:r>
          </w:p>
        </w:tc>
        <w:tc>
          <w:tcPr>
            <w:tcW w:w="100" w:type="dxa"/>
            <w:vAlign w:val="bottom"/>
          </w:tcPr>
          <w:p>
            <w:pPr>
              <w:spacing w:after="0"/>
              <w:rPr>
                <w:sz w:val="23"/>
                <w:szCs w:val="23"/>
                <w:color w:val="auto"/>
              </w:rPr>
            </w:pPr>
          </w:p>
        </w:tc>
        <w:tc>
          <w:tcPr>
            <w:tcW w:w="4740" w:type="dxa"/>
            <w:vAlign w:val="bottom"/>
            <w:gridSpan w:val="2"/>
          </w:tcPr>
          <w:p>
            <w:pPr>
              <w:ind w:left="20"/>
              <w:spacing w:after="0"/>
              <w:rPr>
                <w:sz w:val="20"/>
                <w:szCs w:val="20"/>
                <w:color w:val="auto"/>
              </w:rPr>
            </w:pPr>
            <w:r>
              <w:rPr>
                <w:rFonts w:ascii="Calibri" w:cs="Calibri" w:eastAsia="Calibri" w:hAnsi="Calibri"/>
                <w:sz w:val="18"/>
                <w:szCs w:val="18"/>
                <w:color w:val="auto"/>
              </w:rPr>
              <w:t>Vice Chairman of the Board of Directors</w:t>
            </w:r>
          </w:p>
        </w:tc>
        <w:tc>
          <w:tcPr>
            <w:tcW w:w="2720" w:type="dxa"/>
            <w:vAlign w:val="bottom"/>
          </w:tcPr>
          <w:p>
            <w:pPr>
              <w:ind w:left="20"/>
              <w:spacing w:after="0"/>
              <w:rPr>
                <w:sz w:val="20"/>
                <w:szCs w:val="20"/>
                <w:color w:val="auto"/>
              </w:rPr>
            </w:pPr>
            <w:r>
              <w:rPr>
                <w:rFonts w:ascii="Calibri" w:cs="Calibri" w:eastAsia="Calibri" w:hAnsi="Calibri"/>
                <w:sz w:val="18"/>
                <w:szCs w:val="18"/>
                <w:color w:val="auto"/>
              </w:rPr>
              <w:t>March 31, 2025</w:t>
            </w:r>
          </w:p>
        </w:tc>
      </w:tr>
      <w:tr>
        <w:trPr>
          <w:trHeight w:val="23"/>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08"/>
        </w:trPr>
        <w:tc>
          <w:tcPr>
            <w:tcW w:w="3680" w:type="dxa"/>
            <w:vAlign w:val="bottom"/>
          </w:tcPr>
          <w:p>
            <w:pPr>
              <w:ind w:left="20"/>
              <w:spacing w:after="0" w:line="208" w:lineRule="exact"/>
              <w:rPr>
                <w:sz w:val="20"/>
                <w:szCs w:val="20"/>
                <w:color w:val="auto"/>
              </w:rPr>
            </w:pPr>
            <w:r>
              <w:rPr>
                <w:rFonts w:ascii="Calibri" w:cs="Calibri" w:eastAsia="Calibri" w:hAnsi="Calibri"/>
                <w:sz w:val="18"/>
                <w:szCs w:val="18"/>
                <w:color w:val="auto"/>
              </w:rPr>
              <w:t>George (Ted) Rogers</w:t>
            </w: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75"/>
        </w:trPr>
        <w:tc>
          <w:tcPr>
            <w:tcW w:w="3680" w:type="dxa"/>
            <w:vAlign w:val="bottom"/>
          </w:tcPr>
          <w:p>
            <w:pPr>
              <w:ind w:left="20"/>
              <w:spacing w:after="0"/>
              <w:rPr>
                <w:sz w:val="20"/>
                <w:szCs w:val="20"/>
                <w:color w:val="auto"/>
              </w:rPr>
            </w:pPr>
            <w:r>
              <w:rPr>
                <w:rFonts w:ascii="Calibri" w:cs="Calibri" w:eastAsia="Calibri" w:hAnsi="Calibri"/>
                <w:sz w:val="18"/>
                <w:szCs w:val="18"/>
                <w:color w:val="auto"/>
              </w:rPr>
              <w:t>/s/ Daniel Rothaupt</w:t>
            </w:r>
          </w:p>
        </w:tc>
        <w:tc>
          <w:tcPr>
            <w:tcW w:w="100" w:type="dxa"/>
            <w:vAlign w:val="bottom"/>
          </w:tcPr>
          <w:p>
            <w:pPr>
              <w:spacing w:after="0"/>
              <w:rPr>
                <w:sz w:val="23"/>
                <w:szCs w:val="23"/>
                <w:color w:val="auto"/>
              </w:rPr>
            </w:pPr>
          </w:p>
        </w:tc>
        <w:tc>
          <w:tcPr>
            <w:tcW w:w="4740" w:type="dxa"/>
            <w:vAlign w:val="bottom"/>
            <w:gridSpan w:val="2"/>
          </w:tcPr>
          <w:p>
            <w:pPr>
              <w:ind w:left="20"/>
              <w:spacing w:after="0"/>
              <w:rPr>
                <w:sz w:val="20"/>
                <w:szCs w:val="20"/>
                <w:color w:val="auto"/>
              </w:rPr>
            </w:pPr>
            <w:r>
              <w:rPr>
                <w:rFonts w:ascii="Calibri" w:cs="Calibri" w:eastAsia="Calibri" w:hAnsi="Calibri"/>
                <w:sz w:val="18"/>
                <w:szCs w:val="18"/>
                <w:color w:val="auto"/>
              </w:rPr>
              <w:t>Director</w:t>
            </w:r>
          </w:p>
        </w:tc>
        <w:tc>
          <w:tcPr>
            <w:tcW w:w="2720" w:type="dxa"/>
            <w:vAlign w:val="bottom"/>
          </w:tcPr>
          <w:p>
            <w:pPr>
              <w:ind w:left="20"/>
              <w:spacing w:after="0"/>
              <w:rPr>
                <w:sz w:val="20"/>
                <w:szCs w:val="20"/>
                <w:color w:val="auto"/>
              </w:rPr>
            </w:pPr>
            <w:r>
              <w:rPr>
                <w:rFonts w:ascii="Calibri" w:cs="Calibri" w:eastAsia="Calibri" w:hAnsi="Calibri"/>
                <w:sz w:val="18"/>
                <w:szCs w:val="18"/>
                <w:color w:val="auto"/>
              </w:rPr>
              <w:t>March 31, 2025</w:t>
            </w:r>
          </w:p>
        </w:tc>
      </w:tr>
      <w:tr>
        <w:trPr>
          <w:trHeight w:val="23"/>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08"/>
        </w:trPr>
        <w:tc>
          <w:tcPr>
            <w:tcW w:w="3680" w:type="dxa"/>
            <w:vAlign w:val="bottom"/>
          </w:tcPr>
          <w:p>
            <w:pPr>
              <w:ind w:left="20"/>
              <w:spacing w:after="0" w:line="208" w:lineRule="exact"/>
              <w:rPr>
                <w:sz w:val="20"/>
                <w:szCs w:val="20"/>
                <w:color w:val="auto"/>
              </w:rPr>
            </w:pPr>
            <w:r>
              <w:rPr>
                <w:rFonts w:ascii="Calibri" w:cs="Calibri" w:eastAsia="Calibri" w:hAnsi="Calibri"/>
                <w:sz w:val="18"/>
                <w:szCs w:val="18"/>
                <w:color w:val="auto"/>
              </w:rPr>
              <w:t>Daniel Rothaupt</w:t>
            </w: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771"/>
        </w:trPr>
        <w:tc>
          <w:tcPr>
            <w:tcW w:w="3680" w:type="dxa"/>
            <w:vAlign w:val="bottom"/>
          </w:tcPr>
          <w:p>
            <w:pPr>
              <w:spacing w:after="0"/>
              <w:rPr>
                <w:sz w:val="24"/>
                <w:szCs w:val="24"/>
                <w:color w:val="auto"/>
              </w:rPr>
            </w:pPr>
          </w:p>
        </w:tc>
        <w:tc>
          <w:tcPr>
            <w:tcW w:w="4760" w:type="dxa"/>
            <w:vAlign w:val="bottom"/>
            <w:gridSpan w:val="2"/>
          </w:tcPr>
          <w:p>
            <w:pPr>
              <w:jc w:val="right"/>
              <w:ind w:right="2631"/>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58"/>
        </w:trPr>
        <w:tc>
          <w:tcPr>
            <w:tcW w:w="3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6480" w:type="dxa"/>
            <w:vAlign w:val="bottom"/>
            <w:gridSpan w:val="6"/>
          </w:tcPr>
          <w:p>
            <w:pPr>
              <w:jc w:val="center"/>
              <w:ind w:right="1480"/>
              <w:spacing w:after="0"/>
              <w:rPr>
                <w:sz w:val="20"/>
                <w:szCs w:val="20"/>
                <w:color w:val="auto"/>
              </w:rPr>
            </w:pPr>
            <w:r>
              <w:rPr>
                <w:rFonts w:ascii="Calibri" w:cs="Calibri" w:eastAsia="Calibri" w:hAnsi="Calibri"/>
                <w:sz w:val="18"/>
                <w:szCs w:val="18"/>
                <w:b w:val="1"/>
                <w:bCs w:val="1"/>
                <w:color w:val="auto"/>
                <w:w w:val="96"/>
              </w:rPr>
              <w:t>INDEX TO CONSOLIDATED FINANCIAL STATEMENTS</w:t>
            </w:r>
          </w:p>
        </w:tc>
        <w:tc>
          <w:tcPr>
            <w:tcW w:w="1640" w:type="dxa"/>
            <w:vAlign w:val="bottom"/>
          </w:tcPr>
          <w:p>
            <w:pPr>
              <w:spacing w:after="0"/>
              <w:rPr>
                <w:sz w:val="19"/>
                <w:szCs w:val="19"/>
                <w:color w:val="auto"/>
              </w:rPr>
            </w:pPr>
          </w:p>
        </w:tc>
      </w:tr>
      <w:tr>
        <w:trPr>
          <w:trHeight w:val="901"/>
        </w:trPr>
        <w:tc>
          <w:tcPr>
            <w:tcW w:w="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Calibri" w:cs="Calibri" w:eastAsia="Calibri" w:hAnsi="Calibri"/>
                <w:sz w:val="18"/>
                <w:szCs w:val="18"/>
                <w:color w:val="0000FF"/>
              </w:rPr>
              <w:t xml:space="preserve">Report of Independent Registered Public Accountng Firm (PCAOB ID: </w:t>
            </w:r>
            <w:r>
              <w:rPr>
                <w:rFonts w:ascii="Calibri" w:cs="Calibri" w:eastAsia="Calibri" w:hAnsi="Calibri"/>
                <w:sz w:val="18"/>
                <w:szCs w:val="18"/>
                <w:color w:val="000000"/>
              </w:rPr>
              <w:t>206</w:t>
            </w:r>
            <w:r>
              <w:rPr>
                <w:rFonts w:ascii="Calibri" w:cs="Calibri" w:eastAsia="Calibri" w:hAnsi="Calibri"/>
                <w:sz w:val="18"/>
                <w:szCs w:val="18"/>
                <w:u w:val="single" w:color="auto"/>
                <w:color w:val="0000FF"/>
              </w:rPr>
              <w:t>)</w:t>
            </w:r>
          </w:p>
        </w:tc>
        <w:tc>
          <w:tcPr>
            <w:tcW w:w="1640" w:type="dxa"/>
            <w:vAlign w:val="bottom"/>
          </w:tcPr>
          <w:p>
            <w:pPr>
              <w:ind w:left="1400"/>
              <w:spacing w:after="0"/>
              <w:rPr>
                <w:sz w:val="20"/>
                <w:szCs w:val="20"/>
                <w:color w:val="auto"/>
              </w:rPr>
            </w:pPr>
            <w:r>
              <w:rPr>
                <w:rFonts w:ascii="Calibri" w:cs="Calibri" w:eastAsia="Calibri" w:hAnsi="Calibri"/>
                <w:sz w:val="18"/>
                <w:szCs w:val="18"/>
                <w:color w:val="auto"/>
                <w:w w:val="95"/>
              </w:rPr>
              <w:t>F-2</w:t>
            </w:r>
          </w:p>
        </w:tc>
      </w:tr>
      <w:tr>
        <w:trPr>
          <w:trHeight w:val="210"/>
        </w:trPr>
        <w:tc>
          <w:tcPr>
            <w:tcW w:w="20" w:type="dxa"/>
            <w:vAlign w:val="bottom"/>
          </w:tcPr>
          <w:p>
            <w:pPr>
              <w:spacing w:after="0"/>
              <w:rPr>
                <w:sz w:val="18"/>
                <w:szCs w:val="18"/>
                <w:color w:val="auto"/>
              </w:rPr>
            </w:pPr>
          </w:p>
        </w:tc>
        <w:tc>
          <w:tcPr>
            <w:tcW w:w="4960" w:type="dxa"/>
            <w:vAlign w:val="bottom"/>
            <w:tcBorders>
              <w:top w:val="single" w:sz="8" w:color="0000FF"/>
            </w:tcBorders>
            <w:gridSpan w:val="3"/>
          </w:tcPr>
          <w:p>
            <w:pPr>
              <w:spacing w:after="0" w:line="209" w:lineRule="exact"/>
              <w:rPr>
                <w:sz w:val="20"/>
                <w:szCs w:val="20"/>
                <w:color w:val="auto"/>
              </w:rPr>
            </w:pPr>
            <w:r>
              <w:rPr>
                <w:rFonts w:ascii="Calibri" w:cs="Calibri" w:eastAsia="Calibri" w:hAnsi="Calibri"/>
                <w:sz w:val="18"/>
                <w:szCs w:val="18"/>
                <w:color w:val="0000FF"/>
              </w:rPr>
              <w:t>Consolidated Balance Sheets as of December 31, 2024 and 2023</w:t>
            </w:r>
          </w:p>
        </w:tc>
        <w:tc>
          <w:tcPr>
            <w:tcW w:w="4620" w:type="dxa"/>
            <w:vAlign w:val="bottom"/>
            <w:gridSpan w:val="4"/>
          </w:tcPr>
          <w:p>
            <w:pPr>
              <w:spacing w:after="0"/>
              <w:rPr>
                <w:sz w:val="18"/>
                <w:szCs w:val="18"/>
                <w:color w:val="auto"/>
              </w:rPr>
            </w:pPr>
          </w:p>
        </w:tc>
        <w:tc>
          <w:tcPr>
            <w:tcW w:w="1640" w:type="dxa"/>
            <w:vAlign w:val="bottom"/>
          </w:tcPr>
          <w:p>
            <w:pPr>
              <w:ind w:left="1400"/>
              <w:spacing w:after="0" w:line="209" w:lineRule="exact"/>
              <w:rPr>
                <w:sz w:val="20"/>
                <w:szCs w:val="20"/>
                <w:color w:val="auto"/>
              </w:rPr>
            </w:pPr>
            <w:r>
              <w:rPr>
                <w:rFonts w:ascii="Calibri" w:cs="Calibri" w:eastAsia="Calibri" w:hAnsi="Calibri"/>
                <w:sz w:val="18"/>
                <w:szCs w:val="18"/>
                <w:color w:val="auto"/>
                <w:w w:val="95"/>
              </w:rPr>
              <w:t>F-3</w:t>
            </w: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gridSpan w:val="7"/>
          </w:tcPr>
          <w:p>
            <w:pPr>
              <w:spacing w:after="0" w:line="209" w:lineRule="exact"/>
              <w:rPr>
                <w:sz w:val="20"/>
                <w:szCs w:val="20"/>
                <w:color w:val="auto"/>
              </w:rPr>
            </w:pPr>
            <w:r>
              <w:rPr>
                <w:rFonts w:ascii="Calibri" w:cs="Calibri" w:eastAsia="Calibri" w:hAnsi="Calibri"/>
                <w:sz w:val="18"/>
                <w:szCs w:val="18"/>
                <w:color w:val="0000FF"/>
              </w:rPr>
              <w:t>Consolidated Statements of Operatons and Comprehensive Loss for the Years ended December 31, 2024 and 2023</w:t>
            </w:r>
          </w:p>
        </w:tc>
        <w:tc>
          <w:tcPr>
            <w:tcW w:w="1640" w:type="dxa"/>
            <w:vAlign w:val="bottom"/>
          </w:tcPr>
          <w:p>
            <w:pPr>
              <w:ind w:left="1400"/>
              <w:spacing w:after="0" w:line="209" w:lineRule="exact"/>
              <w:rPr>
                <w:sz w:val="20"/>
                <w:szCs w:val="20"/>
                <w:color w:val="auto"/>
              </w:rPr>
            </w:pPr>
            <w:r>
              <w:rPr>
                <w:rFonts w:ascii="Calibri" w:cs="Calibri" w:eastAsia="Calibri" w:hAnsi="Calibri"/>
                <w:sz w:val="18"/>
                <w:szCs w:val="18"/>
                <w:color w:val="auto"/>
                <w:w w:val="95"/>
              </w:rPr>
              <w:t>F-4</w:t>
            </w:r>
          </w:p>
        </w:tc>
      </w:tr>
      <w:tr>
        <w:trPr>
          <w:trHeight w:val="209"/>
        </w:trPr>
        <w:tc>
          <w:tcPr>
            <w:tcW w:w="20" w:type="dxa"/>
            <w:vAlign w:val="bottom"/>
          </w:tcPr>
          <w:p>
            <w:pPr>
              <w:spacing w:after="0"/>
              <w:rPr>
                <w:sz w:val="18"/>
                <w:szCs w:val="18"/>
                <w:color w:val="auto"/>
              </w:rPr>
            </w:pPr>
          </w:p>
        </w:tc>
        <w:tc>
          <w:tcPr>
            <w:tcW w:w="7040" w:type="dxa"/>
            <w:vAlign w:val="bottom"/>
            <w:tcBorders>
              <w:top w:val="single" w:sz="8" w:color="0000FF"/>
              <w:bottom w:val="single" w:sz="8" w:color="0000FF"/>
            </w:tcBorders>
            <w:gridSpan w:val="5"/>
          </w:tcPr>
          <w:p>
            <w:pPr>
              <w:spacing w:after="0" w:line="209" w:lineRule="exact"/>
              <w:rPr>
                <w:sz w:val="20"/>
                <w:szCs w:val="20"/>
                <w:color w:val="auto"/>
              </w:rPr>
            </w:pPr>
            <w:r>
              <w:rPr>
                <w:rFonts w:ascii="Calibri" w:cs="Calibri" w:eastAsia="Calibri" w:hAnsi="Calibri"/>
                <w:sz w:val="18"/>
                <w:szCs w:val="18"/>
                <w:color w:val="0000FF"/>
                <w:w w:val="97"/>
              </w:rPr>
              <w:t>Consolidated Statements of Stockholders’ Defcit for the Years ended December 31, 2024 and 2023</w:t>
            </w:r>
          </w:p>
        </w:tc>
        <w:tc>
          <w:tcPr>
            <w:tcW w:w="1120" w:type="dxa"/>
            <w:vAlign w:val="bottom"/>
            <w:tcBorders>
              <w:top w:val="single" w:sz="8" w:color="0000FF"/>
            </w:tcBorders>
          </w:tcPr>
          <w:p>
            <w:pPr>
              <w:spacing w:after="0"/>
              <w:rPr>
                <w:sz w:val="18"/>
                <w:szCs w:val="18"/>
                <w:color w:val="auto"/>
              </w:rPr>
            </w:pPr>
          </w:p>
        </w:tc>
        <w:tc>
          <w:tcPr>
            <w:tcW w:w="1420" w:type="dxa"/>
            <w:vAlign w:val="bottom"/>
          </w:tcPr>
          <w:p>
            <w:pPr>
              <w:spacing w:after="0"/>
              <w:rPr>
                <w:sz w:val="18"/>
                <w:szCs w:val="18"/>
                <w:color w:val="auto"/>
              </w:rPr>
            </w:pPr>
          </w:p>
        </w:tc>
        <w:tc>
          <w:tcPr>
            <w:tcW w:w="1640" w:type="dxa"/>
            <w:vAlign w:val="bottom"/>
          </w:tcPr>
          <w:p>
            <w:pPr>
              <w:ind w:left="1400"/>
              <w:spacing w:after="0" w:line="209" w:lineRule="exact"/>
              <w:rPr>
                <w:sz w:val="20"/>
                <w:szCs w:val="20"/>
                <w:color w:val="auto"/>
              </w:rPr>
            </w:pPr>
            <w:r>
              <w:rPr>
                <w:rFonts w:ascii="Calibri" w:cs="Calibri" w:eastAsia="Calibri" w:hAnsi="Calibri"/>
                <w:sz w:val="18"/>
                <w:szCs w:val="18"/>
                <w:color w:val="auto"/>
                <w:w w:val="95"/>
              </w:rPr>
              <w:t>F-5</w:t>
            </w:r>
          </w:p>
        </w:tc>
      </w:tr>
      <w:tr>
        <w:trPr>
          <w:trHeight w:val="209"/>
        </w:trPr>
        <w:tc>
          <w:tcPr>
            <w:tcW w:w="20" w:type="dxa"/>
            <w:vAlign w:val="bottom"/>
          </w:tcPr>
          <w:p>
            <w:pPr>
              <w:spacing w:after="0"/>
              <w:rPr>
                <w:sz w:val="18"/>
                <w:szCs w:val="18"/>
                <w:color w:val="auto"/>
              </w:rPr>
            </w:pPr>
          </w:p>
        </w:tc>
        <w:tc>
          <w:tcPr>
            <w:tcW w:w="6360" w:type="dxa"/>
            <w:vAlign w:val="bottom"/>
            <w:tcBorders>
              <w:bottom w:val="single" w:sz="8" w:color="0000FF"/>
            </w:tcBorders>
            <w:gridSpan w:val="4"/>
          </w:tcPr>
          <w:p>
            <w:pPr>
              <w:spacing w:after="0" w:line="209" w:lineRule="exact"/>
              <w:rPr>
                <w:sz w:val="20"/>
                <w:szCs w:val="20"/>
                <w:color w:val="auto"/>
              </w:rPr>
            </w:pPr>
            <w:r>
              <w:rPr>
                <w:rFonts w:ascii="Calibri" w:cs="Calibri" w:eastAsia="Calibri" w:hAnsi="Calibri"/>
                <w:sz w:val="18"/>
                <w:szCs w:val="18"/>
                <w:color w:val="0000FF"/>
                <w:w w:val="96"/>
              </w:rPr>
              <w:t>Consolidated Statements of Cash Flows for the Years ended December 31, 2024 and 2023</w:t>
            </w:r>
          </w:p>
        </w:tc>
        <w:tc>
          <w:tcPr>
            <w:tcW w:w="3220" w:type="dxa"/>
            <w:vAlign w:val="bottom"/>
            <w:gridSpan w:val="3"/>
          </w:tcPr>
          <w:p>
            <w:pPr>
              <w:spacing w:after="0"/>
              <w:rPr>
                <w:sz w:val="18"/>
                <w:szCs w:val="18"/>
                <w:color w:val="auto"/>
              </w:rPr>
            </w:pPr>
          </w:p>
        </w:tc>
        <w:tc>
          <w:tcPr>
            <w:tcW w:w="1640" w:type="dxa"/>
            <w:vAlign w:val="bottom"/>
          </w:tcPr>
          <w:p>
            <w:pPr>
              <w:ind w:left="1400"/>
              <w:spacing w:after="0" w:line="209" w:lineRule="exact"/>
              <w:rPr>
                <w:sz w:val="20"/>
                <w:szCs w:val="20"/>
                <w:color w:val="auto"/>
              </w:rPr>
            </w:pPr>
            <w:r>
              <w:rPr>
                <w:rFonts w:ascii="Calibri" w:cs="Calibri" w:eastAsia="Calibri" w:hAnsi="Calibri"/>
                <w:sz w:val="18"/>
                <w:szCs w:val="18"/>
                <w:color w:val="auto"/>
                <w:w w:val="95"/>
              </w:rPr>
              <w:t>F-6</w:t>
            </w:r>
          </w:p>
        </w:tc>
      </w:tr>
      <w:tr>
        <w:trPr>
          <w:trHeight w:val="210"/>
        </w:trPr>
        <w:tc>
          <w:tcPr>
            <w:tcW w:w="20" w:type="dxa"/>
            <w:vAlign w:val="bottom"/>
          </w:tcPr>
          <w:p>
            <w:pPr>
              <w:spacing w:after="0"/>
              <w:rPr>
                <w:sz w:val="18"/>
                <w:szCs w:val="18"/>
                <w:color w:val="auto"/>
              </w:rPr>
            </w:pPr>
          </w:p>
        </w:tc>
        <w:tc>
          <w:tcPr>
            <w:tcW w:w="9580" w:type="dxa"/>
            <w:vAlign w:val="bottom"/>
            <w:gridSpan w:val="7"/>
          </w:tcPr>
          <w:p>
            <w:pPr>
              <w:spacing w:after="0" w:line="209" w:lineRule="exact"/>
              <w:rPr>
                <w:sz w:val="20"/>
                <w:szCs w:val="20"/>
                <w:color w:val="auto"/>
              </w:rPr>
            </w:pPr>
            <w:r>
              <w:rPr>
                <w:rFonts w:ascii="Calibri" w:cs="Calibri" w:eastAsia="Calibri" w:hAnsi="Calibri"/>
                <w:sz w:val="18"/>
                <w:szCs w:val="18"/>
                <w:color w:val="0000FF"/>
              </w:rPr>
              <w:t>Notes to Consolidated Financial Statements</w:t>
            </w:r>
          </w:p>
        </w:tc>
        <w:tc>
          <w:tcPr>
            <w:tcW w:w="1640" w:type="dxa"/>
            <w:vAlign w:val="bottom"/>
          </w:tcPr>
          <w:p>
            <w:pPr>
              <w:ind w:left="1400"/>
              <w:spacing w:after="0" w:line="209" w:lineRule="exact"/>
              <w:rPr>
                <w:sz w:val="20"/>
                <w:szCs w:val="20"/>
                <w:color w:val="auto"/>
              </w:rPr>
            </w:pPr>
            <w:r>
              <w:rPr>
                <w:rFonts w:ascii="Calibri" w:cs="Calibri" w:eastAsia="Calibri" w:hAnsi="Calibri"/>
                <w:sz w:val="18"/>
                <w:szCs w:val="18"/>
                <w:color w:val="auto"/>
                <w:w w:val="95"/>
              </w:rPr>
              <w:t>F-7</w:t>
            </w:r>
          </w:p>
        </w:tc>
      </w:tr>
      <w:tr>
        <w:trPr>
          <w:trHeight w:val="938"/>
        </w:trPr>
        <w:tc>
          <w:tcPr>
            <w:tcW w:w="20" w:type="dxa"/>
            <w:vAlign w:val="bottom"/>
          </w:tcPr>
          <w:p>
            <w:pPr>
              <w:spacing w:after="0"/>
              <w:rPr>
                <w:sz w:val="24"/>
                <w:szCs w:val="24"/>
                <w:color w:val="auto"/>
              </w:rPr>
            </w:pPr>
          </w:p>
        </w:tc>
        <w:tc>
          <w:tcPr>
            <w:tcW w:w="3100" w:type="dxa"/>
            <w:vAlign w:val="bottom"/>
            <w:tcBorders>
              <w:top w:val="single" w:sz="8" w:color="0000FF"/>
            </w:tcBorders>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20" w:type="dxa"/>
            <w:vAlign w:val="bottom"/>
            <w:gridSpan w:val="4"/>
          </w:tcPr>
          <w:p>
            <w:pPr>
              <w:jc w:val="center"/>
              <w:ind w:right="3340"/>
              <w:spacing w:after="0"/>
              <w:rPr>
                <w:sz w:val="20"/>
                <w:szCs w:val="20"/>
                <w:color w:val="auto"/>
              </w:rPr>
            </w:pPr>
            <w:r>
              <w:rPr>
                <w:rFonts w:ascii="Times New Roman" w:cs="Times New Roman" w:eastAsia="Times New Roman" w:hAnsi="Times New Roman"/>
                <w:sz w:val="18"/>
                <w:szCs w:val="18"/>
                <w:color w:val="auto"/>
                <w:w w:val="95"/>
              </w:rPr>
              <w:t>F-1</w:t>
            </w:r>
          </w:p>
        </w:tc>
        <w:tc>
          <w:tcPr>
            <w:tcW w:w="16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73" w:name="page74"/>
    <w:bookmarkEnd w:id="73"/>
    <w:p>
      <w:pPr>
        <w:jc w:val="center"/>
        <w:ind w:right="-19"/>
        <w:spacing w:after="0"/>
        <w:rPr>
          <w:sz w:val="20"/>
          <w:szCs w:val="20"/>
          <w:color w:val="auto"/>
        </w:rPr>
      </w:pPr>
      <w:r>
        <w:rPr>
          <w:rFonts w:ascii="Calibri" w:cs="Calibri" w:eastAsia="Calibri" w:hAnsi="Calibri"/>
          <w:sz w:val="18"/>
          <w:szCs w:val="18"/>
          <w:b w:val="1"/>
          <w:bCs w:val="1"/>
          <w:color w:val="auto"/>
        </w:rPr>
        <w:t>REPORT OF INDEPENDENT REGISTERED PUBLIC ACCOUNTING FIRM</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Shareholders and Board of Directors of</w:t>
      </w:r>
    </w:p>
    <w:p>
      <w:pPr>
        <w:spacing w:after="0" w:line="221" w:lineRule="auto"/>
        <w:rPr>
          <w:sz w:val="20"/>
          <w:szCs w:val="20"/>
          <w:color w:val="auto"/>
        </w:rPr>
      </w:pPr>
      <w:r>
        <w:rPr>
          <w:rFonts w:ascii="Calibri" w:cs="Calibri" w:eastAsia="Calibri" w:hAnsi="Calibri"/>
          <w:sz w:val="18"/>
          <w:szCs w:val="18"/>
          <w:color w:val="auto"/>
        </w:rPr>
        <w:t>Greenidge Generaton Holdings Inc.</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Opinion on the Financial Statements</w:t>
      </w:r>
    </w:p>
    <w:p>
      <w:pPr>
        <w:spacing w:after="0" w:line="204" w:lineRule="exact"/>
        <w:rPr>
          <w:sz w:val="20"/>
          <w:szCs w:val="20"/>
          <w:color w:val="auto"/>
        </w:rPr>
      </w:pPr>
    </w:p>
    <w:p>
      <w:pPr>
        <w:jc w:val="both"/>
        <w:spacing w:after="0" w:line="220" w:lineRule="auto"/>
        <w:rPr>
          <w:sz w:val="20"/>
          <w:szCs w:val="20"/>
          <w:color w:val="auto"/>
        </w:rPr>
      </w:pPr>
      <w:r>
        <w:rPr>
          <w:rFonts w:ascii="Calibri" w:cs="Calibri" w:eastAsia="Calibri" w:hAnsi="Calibri"/>
          <w:sz w:val="18"/>
          <w:szCs w:val="18"/>
          <w:color w:val="auto"/>
        </w:rPr>
        <w:t>We have audited the accompanying consolidated balance sheets of Greenidge Generaton Holdings Inc. and its subsidiaries (collectvely, the “Company”) as of December 31, 2024 and 2023, and the related consolidated statements of operatons and comprehensive loss, stockholders’ defcit, and cash fows for the years then ended, and the related notes (collectvely referred to as the “fnancial statements”). In our opinion, the fnancial statements present fairly, in all material respects, the fnancial positon of the Company as of December 31, 2024 and 2023, and the results of their operatons and their cash fows for the years then ended, in conformity with accountng principles generally accepted in the United States of America.</w:t>
      </w:r>
    </w:p>
    <w:p>
      <w:pPr>
        <w:spacing w:after="0" w:line="20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Basis for Opinion</w:t>
      </w:r>
    </w:p>
    <w:p>
      <w:pPr>
        <w:spacing w:after="0" w:line="204" w:lineRule="exact"/>
        <w:rPr>
          <w:sz w:val="20"/>
          <w:szCs w:val="20"/>
          <w:color w:val="auto"/>
        </w:rPr>
      </w:pPr>
    </w:p>
    <w:p>
      <w:pPr>
        <w:jc w:val="both"/>
        <w:spacing w:after="0" w:line="224" w:lineRule="auto"/>
        <w:rPr>
          <w:sz w:val="20"/>
          <w:szCs w:val="20"/>
          <w:color w:val="auto"/>
        </w:rPr>
      </w:pPr>
      <w:r>
        <w:rPr>
          <w:rFonts w:ascii="Calibri" w:cs="Calibri" w:eastAsia="Calibri" w:hAnsi="Calibri"/>
          <w:sz w:val="18"/>
          <w:szCs w:val="18"/>
          <w:color w:val="auto"/>
        </w:rPr>
        <w:t>These fnancial statements are the responsibility of the Company’s management. Our responsibility is to express an opinion on the Company’s fnancial statements based on our audits. We are a public accountng frm registered with the Public Company Accountng Oversight Board (United States) ("PCAOB") and are required to be independent with respect to the Company in accordance with the U.S. federal securites laws and the applicable rules and regulatons of the Securites and Exchange Commission and the PCAOB.</w:t>
      </w:r>
    </w:p>
    <w:p>
      <w:pPr>
        <w:spacing w:after="0" w:line="206" w:lineRule="exact"/>
        <w:rPr>
          <w:sz w:val="20"/>
          <w:szCs w:val="20"/>
          <w:color w:val="auto"/>
        </w:rPr>
      </w:pPr>
    </w:p>
    <w:p>
      <w:pPr>
        <w:jc w:val="both"/>
        <w:spacing w:after="0" w:line="223"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The Company is not required to have, nor were we engaged to perform, an audit of its internal control over fnancial reportng. As part of our audits we are required to obtain an understanding of internal control over fnancial reportng but not for the purpose of expressing an opinion on the efectveness of the Company's internal control over fnancial reportng. Accordingly, we express no such opinion.</w:t>
      </w:r>
    </w:p>
    <w:p>
      <w:pPr>
        <w:spacing w:after="0" w:line="208" w:lineRule="exact"/>
        <w:rPr>
          <w:sz w:val="20"/>
          <w:szCs w:val="20"/>
          <w:color w:val="auto"/>
        </w:rPr>
      </w:pPr>
    </w:p>
    <w:p>
      <w:pPr>
        <w:jc w:val="both"/>
        <w:spacing w:after="0" w:line="220" w:lineRule="auto"/>
        <w:rPr>
          <w:sz w:val="20"/>
          <w:szCs w:val="20"/>
          <w:color w:val="auto"/>
        </w:rPr>
      </w:pPr>
      <w:r>
        <w:rPr>
          <w:rFonts w:ascii="Calibri" w:cs="Calibri" w:eastAsia="Calibri" w:hAnsi="Calibri"/>
          <w:sz w:val="18"/>
          <w:szCs w:val="18"/>
          <w:color w:val="auto"/>
        </w:rPr>
        <w:t>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 MaloneBailey, LLP</w:t>
      </w:r>
    </w:p>
    <w:p>
      <w:pPr>
        <w:spacing w:after="0" w:line="221" w:lineRule="auto"/>
        <w:rPr>
          <w:sz w:val="20"/>
          <w:szCs w:val="20"/>
          <w:color w:val="auto"/>
        </w:rPr>
      </w:pPr>
      <w:r>
        <w:rPr>
          <w:rFonts w:ascii="Calibri" w:cs="Calibri" w:eastAsia="Calibri" w:hAnsi="Calibri"/>
          <w:sz w:val="18"/>
          <w:szCs w:val="18"/>
          <w:color w:val="auto"/>
        </w:rPr>
        <w:t>www.malonebailey.com</w:t>
      </w:r>
    </w:p>
    <w:p>
      <w:pPr>
        <w:spacing w:after="0" w:line="221" w:lineRule="auto"/>
        <w:rPr>
          <w:sz w:val="20"/>
          <w:szCs w:val="20"/>
          <w:color w:val="auto"/>
        </w:rPr>
      </w:pPr>
      <w:r>
        <w:rPr>
          <w:rFonts w:ascii="Calibri" w:cs="Calibri" w:eastAsia="Calibri" w:hAnsi="Calibri"/>
          <w:sz w:val="18"/>
          <w:szCs w:val="18"/>
          <w:color w:val="auto"/>
        </w:rPr>
        <w:t>We have served as the Company's auditor since 2023.</w:t>
      </w:r>
    </w:p>
    <w:p>
      <w:pPr>
        <w:spacing w:after="0" w:line="221" w:lineRule="auto"/>
        <w:rPr>
          <w:sz w:val="20"/>
          <w:szCs w:val="20"/>
          <w:color w:val="auto"/>
        </w:rPr>
      </w:pPr>
      <w:r>
        <w:rPr>
          <w:rFonts w:ascii="Calibri" w:cs="Calibri" w:eastAsia="Calibri" w:hAnsi="Calibri"/>
          <w:sz w:val="18"/>
          <w:szCs w:val="18"/>
          <w:color w:val="auto"/>
        </w:rPr>
        <w:t>Houston, Texas</w:t>
      </w:r>
    </w:p>
    <w:p>
      <w:pPr>
        <w:spacing w:after="0" w:line="221" w:lineRule="auto"/>
        <w:rPr>
          <w:sz w:val="20"/>
          <w:szCs w:val="20"/>
          <w:color w:val="auto"/>
        </w:rPr>
      </w:pPr>
      <w:r>
        <w:rPr>
          <w:rFonts w:ascii="Calibri" w:cs="Calibri" w:eastAsia="Calibri" w:hAnsi="Calibri"/>
          <w:sz w:val="18"/>
          <w:szCs w:val="18"/>
          <w:color w:val="auto"/>
        </w:rPr>
        <w:t>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74" w:name="page75"/>
    <w:bookmarkEnd w:id="74"/>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GREENIDGE GENERATION HOLDINGS INC.</w:t>
      </w:r>
    </w:p>
    <w:p>
      <w:pPr>
        <w:ind w:left="20"/>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ind w:left="20"/>
        <w:spacing w:after="0" w:line="236" w:lineRule="auto"/>
        <w:rPr>
          <w:sz w:val="20"/>
          <w:szCs w:val="20"/>
          <w:color w:val="auto"/>
        </w:rPr>
      </w:pPr>
      <w:r>
        <w:rPr>
          <w:rFonts w:ascii="Calibri" w:cs="Calibri" w:eastAsia="Calibri" w:hAnsi="Calibri"/>
          <w:sz w:val="18"/>
          <w:szCs w:val="18"/>
          <w:b w:val="1"/>
          <w:bCs w:val="1"/>
          <w:color w:val="auto"/>
        </w:rPr>
        <w:t>(Dollars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Calibri" w:cs="Calibri" w:eastAsia="Calibri" w:hAnsi="Calibri"/>
                <w:sz w:val="14"/>
                <w:szCs w:val="14"/>
                <w:b w:val="1"/>
                <w:bCs w:val="1"/>
                <w:color w:val="auto"/>
              </w:rPr>
              <w:t>December 31, 2024</w:t>
            </w:r>
          </w:p>
        </w:tc>
        <w:tc>
          <w:tcPr>
            <w:tcW w:w="120" w:type="dxa"/>
            <w:vAlign w:val="bottom"/>
          </w:tcPr>
          <w:p>
            <w:pPr>
              <w:spacing w:after="0"/>
              <w:rPr>
                <w:sz w:val="14"/>
                <w:szCs w:val="14"/>
                <w:color w:val="auto"/>
              </w:rPr>
            </w:pPr>
          </w:p>
        </w:tc>
        <w:tc>
          <w:tcPr>
            <w:tcW w:w="1360" w:type="dxa"/>
            <w:vAlign w:val="bottom"/>
          </w:tcPr>
          <w:p>
            <w:pPr>
              <w:jc w:val="right"/>
              <w:ind w:right="79"/>
              <w:spacing w:after="0"/>
              <w:rPr>
                <w:sz w:val="20"/>
                <w:szCs w:val="20"/>
                <w:color w:val="auto"/>
              </w:rPr>
            </w:pPr>
            <w:r>
              <w:rPr>
                <w:rFonts w:ascii="Calibri" w:cs="Calibri" w:eastAsia="Calibri" w:hAnsi="Calibri"/>
                <w:sz w:val="14"/>
                <w:szCs w:val="14"/>
                <w:b w:val="1"/>
                <w:bCs w:val="1"/>
                <w:color w:val="auto"/>
              </w:rPr>
              <w:t>December 31, 2023</w:t>
            </w:r>
          </w:p>
        </w:tc>
      </w:tr>
      <w:tr>
        <w:trPr>
          <w:trHeight w:val="47"/>
        </w:trPr>
        <w:tc>
          <w:tcPr>
            <w:tcW w:w="81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176"/>
        </w:trPr>
        <w:tc>
          <w:tcPr>
            <w:tcW w:w="81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b w:val="1"/>
                <w:bCs w:val="1"/>
                <w:color w:val="auto"/>
              </w:rPr>
              <w:t>ASSETS</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r>
      <w:tr>
        <w:trPr>
          <w:trHeight w:val="193"/>
        </w:trPr>
        <w:tc>
          <w:tcPr>
            <w:tcW w:w="818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ASSETS: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40"/>
              <w:spacing w:after="0" w:line="193" w:lineRule="exact"/>
              <w:rPr>
                <w:sz w:val="20"/>
                <w:szCs w:val="20"/>
                <w:color w:val="auto"/>
              </w:rPr>
            </w:pPr>
            <w:r>
              <w:rPr>
                <w:rFonts w:ascii="Calibri" w:cs="Calibri" w:eastAsia="Calibri" w:hAnsi="Calibri"/>
                <w:sz w:val="16"/>
                <w:szCs w:val="16"/>
                <w:color w:val="auto"/>
              </w:rPr>
              <w:t>Cash and cash equivalents, including restricted cash</w:t>
            </w:r>
          </w:p>
        </w:tc>
        <w:tc>
          <w:tcPr>
            <w:tcW w:w="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8,619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13,312</w:t>
            </w:r>
          </w:p>
        </w:tc>
      </w:tr>
      <w:tr>
        <w:trPr>
          <w:trHeight w:val="193"/>
        </w:trPr>
        <w:tc>
          <w:tcPr>
            <w:tcW w:w="8180" w:type="dxa"/>
            <w:vAlign w:val="bottom"/>
          </w:tcPr>
          <w:p>
            <w:pPr>
              <w:ind w:left="240"/>
              <w:spacing w:after="0" w:line="193" w:lineRule="exact"/>
              <w:rPr>
                <w:sz w:val="20"/>
                <w:szCs w:val="20"/>
                <w:color w:val="auto"/>
              </w:rPr>
            </w:pPr>
            <w:r>
              <w:rPr>
                <w:rFonts w:ascii="Calibri" w:cs="Calibri" w:eastAsia="Calibri" w:hAnsi="Calibri"/>
                <w:sz w:val="16"/>
                <w:szCs w:val="16"/>
                <w:color w:val="auto"/>
              </w:rPr>
              <w:t>Digital assets</w:t>
            </w:r>
          </w:p>
        </w:tc>
        <w:tc>
          <w:tcPr>
            <w:tcW w:w="1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6,950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347</w:t>
            </w:r>
          </w:p>
        </w:tc>
      </w:tr>
      <w:tr>
        <w:trPr>
          <w:trHeight w:val="23"/>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40"/>
              <w:spacing w:after="0" w:line="193" w:lineRule="exact"/>
              <w:rPr>
                <w:sz w:val="20"/>
                <w:szCs w:val="20"/>
                <w:color w:val="auto"/>
              </w:rPr>
            </w:pPr>
            <w:r>
              <w:rPr>
                <w:rFonts w:ascii="Calibri" w:cs="Calibri" w:eastAsia="Calibri" w:hAnsi="Calibri"/>
                <w:sz w:val="16"/>
                <w:szCs w:val="16"/>
                <w:color w:val="auto"/>
              </w:rPr>
              <w:t>Accounts receivable</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1,493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358</w:t>
            </w:r>
          </w:p>
        </w:tc>
      </w:tr>
      <w:tr>
        <w:trPr>
          <w:trHeight w:val="193"/>
        </w:trPr>
        <w:tc>
          <w:tcPr>
            <w:tcW w:w="8180" w:type="dxa"/>
            <w:vAlign w:val="bottom"/>
          </w:tcPr>
          <w:p>
            <w:pPr>
              <w:ind w:left="240"/>
              <w:spacing w:after="0" w:line="193" w:lineRule="exact"/>
              <w:rPr>
                <w:sz w:val="20"/>
                <w:szCs w:val="20"/>
                <w:color w:val="auto"/>
              </w:rPr>
            </w:pPr>
            <w:r>
              <w:rPr>
                <w:rFonts w:ascii="Calibri" w:cs="Calibri" w:eastAsia="Calibri" w:hAnsi="Calibri"/>
                <w:sz w:val="16"/>
                <w:szCs w:val="16"/>
                <w:color w:val="auto"/>
              </w:rPr>
              <w:t>Prepaid expenses and current other assets</w:t>
            </w:r>
          </w:p>
        </w:tc>
        <w:tc>
          <w:tcPr>
            <w:tcW w:w="1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2,617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3,864</w:t>
            </w:r>
          </w:p>
        </w:tc>
      </w:tr>
      <w:tr>
        <w:trPr>
          <w:trHeight w:val="23"/>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40"/>
              <w:spacing w:after="0" w:line="193" w:lineRule="exact"/>
              <w:rPr>
                <w:sz w:val="20"/>
                <w:szCs w:val="20"/>
                <w:color w:val="auto"/>
              </w:rPr>
            </w:pPr>
            <w:r>
              <w:rPr>
                <w:rFonts w:ascii="Calibri" w:cs="Calibri" w:eastAsia="Calibri" w:hAnsi="Calibri"/>
                <w:sz w:val="16"/>
                <w:szCs w:val="16"/>
                <w:color w:val="auto"/>
              </w:rPr>
              <w:t>Emissions and carbon ofset credits</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5,694</w:t>
            </w:r>
          </w:p>
        </w:tc>
      </w:tr>
      <w:tr>
        <w:trPr>
          <w:trHeight w:val="193"/>
        </w:trPr>
        <w:tc>
          <w:tcPr>
            <w:tcW w:w="8180" w:type="dxa"/>
            <w:vAlign w:val="bottom"/>
          </w:tcPr>
          <w:p>
            <w:pPr>
              <w:ind w:left="240"/>
              <w:spacing w:after="0" w:line="193" w:lineRule="exact"/>
              <w:rPr>
                <w:sz w:val="20"/>
                <w:szCs w:val="20"/>
                <w:color w:val="auto"/>
              </w:rPr>
            </w:pPr>
            <w:r>
              <w:rPr>
                <w:rFonts w:ascii="Calibri" w:cs="Calibri" w:eastAsia="Calibri" w:hAnsi="Calibri"/>
                <w:sz w:val="16"/>
                <w:szCs w:val="16"/>
                <w:color w:val="auto"/>
              </w:rPr>
              <w:t>Income tax receivable</w:t>
            </w:r>
          </w:p>
        </w:tc>
        <w:tc>
          <w:tcPr>
            <w:tcW w:w="120" w:type="dxa"/>
            <w:vAlign w:val="bottom"/>
          </w:tcPr>
          <w:p>
            <w:pPr>
              <w:spacing w:after="0"/>
              <w:rPr>
                <w:sz w:val="16"/>
                <w:szCs w:val="16"/>
                <w:color w:val="auto"/>
              </w:rPr>
            </w:pPr>
          </w:p>
        </w:tc>
        <w:tc>
          <w:tcPr>
            <w:tcW w:w="146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857</w:t>
            </w:r>
          </w:p>
        </w:tc>
      </w:tr>
      <w:tr>
        <w:trPr>
          <w:trHeight w:val="23"/>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0"/>
        </w:trPr>
        <w:tc>
          <w:tcPr>
            <w:tcW w:w="8180" w:type="dxa"/>
            <w:vAlign w:val="bottom"/>
            <w:tcBorders>
              <w:bottom w:val="single" w:sz="8" w:color="CCEEFF"/>
            </w:tcBorders>
            <w:shd w:val="clear" w:color="auto" w:fill="CCEEFF"/>
          </w:tcPr>
          <w:p>
            <w:pPr>
              <w:ind w:left="460"/>
              <w:spacing w:after="0" w:line="182" w:lineRule="exact"/>
              <w:rPr>
                <w:sz w:val="20"/>
                <w:szCs w:val="20"/>
                <w:color w:val="auto"/>
              </w:rPr>
            </w:pPr>
            <w:r>
              <w:rPr>
                <w:rFonts w:ascii="Calibri" w:cs="Calibri" w:eastAsia="Calibri" w:hAnsi="Calibri"/>
                <w:sz w:val="16"/>
                <w:szCs w:val="16"/>
                <w:color w:val="auto"/>
              </w:rPr>
              <w:t>Total current assets</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26,803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24,432</w:t>
            </w:r>
          </w:p>
        </w:tc>
      </w:tr>
      <w:tr>
        <w:trPr>
          <w:trHeight w:val="193"/>
        </w:trPr>
        <w:tc>
          <w:tcPr>
            <w:tcW w:w="8180" w:type="dxa"/>
            <w:vAlign w:val="bottom"/>
          </w:tcPr>
          <w:p>
            <w:pPr>
              <w:ind w:left="20"/>
              <w:spacing w:after="0" w:line="193" w:lineRule="exact"/>
              <w:rPr>
                <w:sz w:val="20"/>
                <w:szCs w:val="20"/>
                <w:color w:val="auto"/>
              </w:rPr>
            </w:pPr>
            <w:r>
              <w:rPr>
                <w:rFonts w:ascii="Calibri" w:cs="Calibri" w:eastAsia="Calibri" w:hAnsi="Calibri"/>
                <w:sz w:val="16"/>
                <w:szCs w:val="16"/>
                <w:color w:val="auto"/>
              </w:rPr>
              <w:t>LONG-TERM ASSETS: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40"/>
              <w:spacing w:after="0" w:line="193" w:lineRule="exact"/>
              <w:rPr>
                <w:sz w:val="20"/>
                <w:szCs w:val="20"/>
                <w:color w:val="auto"/>
              </w:rPr>
            </w:pPr>
            <w:r>
              <w:rPr>
                <w:rFonts w:ascii="Calibri" w:cs="Calibri" w:eastAsia="Calibri" w:hAnsi="Calibri"/>
                <w:sz w:val="16"/>
                <w:szCs w:val="16"/>
                <w:color w:val="auto"/>
              </w:rPr>
              <w:t>Property and equipment, net</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30,299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45,095</w:t>
            </w:r>
          </w:p>
        </w:tc>
      </w:tr>
      <w:tr>
        <w:trPr>
          <w:trHeight w:val="193"/>
        </w:trPr>
        <w:tc>
          <w:tcPr>
            <w:tcW w:w="8180" w:type="dxa"/>
            <w:vAlign w:val="bottom"/>
          </w:tcPr>
          <w:p>
            <w:pPr>
              <w:ind w:left="240"/>
              <w:spacing w:after="0" w:line="193" w:lineRule="exact"/>
              <w:rPr>
                <w:sz w:val="20"/>
                <w:szCs w:val="20"/>
                <w:color w:val="auto"/>
              </w:rPr>
            </w:pPr>
            <w:r>
              <w:rPr>
                <w:rFonts w:ascii="Calibri" w:cs="Calibri" w:eastAsia="Calibri" w:hAnsi="Calibri"/>
                <w:sz w:val="16"/>
                <w:szCs w:val="16"/>
                <w:color w:val="auto"/>
              </w:rPr>
              <w:t>Other long-term assets</w:t>
            </w:r>
          </w:p>
        </w:tc>
        <w:tc>
          <w:tcPr>
            <w:tcW w:w="1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569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1,652</w:t>
            </w:r>
          </w:p>
        </w:tc>
      </w:tr>
      <w:tr>
        <w:trPr>
          <w:trHeight w:val="23"/>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8180" w:type="dxa"/>
            <w:vAlign w:val="bottom"/>
            <w:tcBorders>
              <w:bottom w:val="single" w:sz="8" w:color="CCEEFF"/>
            </w:tcBorders>
            <w:shd w:val="clear" w:color="auto" w:fill="CCEEFF"/>
          </w:tcPr>
          <w:p>
            <w:pPr>
              <w:ind w:left="240"/>
              <w:spacing w:after="0" w:line="193" w:lineRule="exact"/>
              <w:rPr>
                <w:sz w:val="20"/>
                <w:szCs w:val="20"/>
                <w:color w:val="auto"/>
              </w:rPr>
            </w:pPr>
            <w:r>
              <w:rPr>
                <w:rFonts w:ascii="Calibri" w:cs="Calibri" w:eastAsia="Calibri" w:hAnsi="Calibri"/>
                <w:sz w:val="16"/>
                <w:szCs w:val="16"/>
                <w:color w:val="auto"/>
              </w:rPr>
              <w:t>Long-term assets held for sale</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7,184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09"/>
        </w:trPr>
        <w:tc>
          <w:tcPr>
            <w:tcW w:w="8180" w:type="dxa"/>
            <w:vAlign w:val="bottom"/>
          </w:tcPr>
          <w:p>
            <w:pPr>
              <w:ind w:left="460"/>
              <w:spacing w:after="0"/>
              <w:rPr>
                <w:sz w:val="20"/>
                <w:szCs w:val="20"/>
                <w:color w:val="auto"/>
              </w:rPr>
            </w:pPr>
            <w:r>
              <w:rPr>
                <w:rFonts w:ascii="Calibri" w:cs="Calibri" w:eastAsia="Calibri" w:hAnsi="Calibri"/>
                <w:sz w:val="16"/>
                <w:szCs w:val="16"/>
                <w:color w:val="auto"/>
              </w:rPr>
              <w:t>Total assets</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64,855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71,179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3"/>
        </w:trPr>
        <w:tc>
          <w:tcPr>
            <w:tcW w:w="8180" w:type="dxa"/>
            <w:vAlign w:val="bottom"/>
            <w:tcBorders>
              <w:bottom w:val="single" w:sz="8" w:color="CCEEFF"/>
            </w:tcBorders>
            <w:shd w:val="clear" w:color="auto" w:fill="CCEEFF"/>
          </w:tcPr>
          <w:p>
            <w:pPr>
              <w:ind w:left="20"/>
              <w:spacing w:after="0" w:line="161" w:lineRule="exact"/>
              <w:rPr>
                <w:sz w:val="20"/>
                <w:szCs w:val="20"/>
                <w:color w:val="auto"/>
              </w:rPr>
            </w:pPr>
            <w:r>
              <w:rPr>
                <w:rFonts w:ascii="Calibri" w:cs="Calibri" w:eastAsia="Calibri" w:hAnsi="Calibri"/>
                <w:sz w:val="16"/>
                <w:szCs w:val="16"/>
                <w:b w:val="1"/>
                <w:bCs w:val="1"/>
                <w:color w:val="auto"/>
              </w:rPr>
              <w:t>LIABILITIES AND STOCKHOLDERS' DEFICIT</w:t>
            </w: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r>
      <w:tr>
        <w:trPr>
          <w:trHeight w:val="193"/>
        </w:trPr>
        <w:tc>
          <w:tcPr>
            <w:tcW w:w="818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LIABILITIES: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40"/>
              <w:spacing w:after="0" w:line="193" w:lineRule="exact"/>
              <w:rPr>
                <w:sz w:val="20"/>
                <w:szCs w:val="20"/>
                <w:color w:val="auto"/>
              </w:rPr>
            </w:pPr>
            <w:r>
              <w:rPr>
                <w:rFonts w:ascii="Calibri" w:cs="Calibri" w:eastAsia="Calibri" w:hAnsi="Calibri"/>
                <w:sz w:val="16"/>
                <w:szCs w:val="16"/>
                <w:color w:val="auto"/>
              </w:rPr>
              <w:t>Accounts payable</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3,850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3,495</w:t>
            </w:r>
          </w:p>
        </w:tc>
      </w:tr>
      <w:tr>
        <w:trPr>
          <w:trHeight w:val="193"/>
        </w:trPr>
        <w:tc>
          <w:tcPr>
            <w:tcW w:w="8180" w:type="dxa"/>
            <w:vAlign w:val="bottom"/>
          </w:tcPr>
          <w:p>
            <w:pPr>
              <w:ind w:left="240"/>
              <w:spacing w:after="0" w:line="193" w:lineRule="exact"/>
              <w:rPr>
                <w:sz w:val="20"/>
                <w:szCs w:val="20"/>
                <w:color w:val="auto"/>
              </w:rPr>
            </w:pPr>
            <w:r>
              <w:rPr>
                <w:rFonts w:ascii="Calibri" w:cs="Calibri" w:eastAsia="Calibri" w:hAnsi="Calibri"/>
                <w:sz w:val="16"/>
                <w:szCs w:val="16"/>
                <w:color w:val="auto"/>
              </w:rPr>
              <w:t>Accrued emissions expense</w:t>
            </w:r>
          </w:p>
        </w:tc>
        <w:tc>
          <w:tcPr>
            <w:tcW w:w="1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8,668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10,520</w:t>
            </w:r>
          </w:p>
        </w:tc>
      </w:tr>
      <w:tr>
        <w:trPr>
          <w:trHeight w:val="23"/>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40"/>
              <w:spacing w:after="0" w:line="193" w:lineRule="exact"/>
              <w:rPr>
                <w:sz w:val="20"/>
                <w:szCs w:val="20"/>
                <w:color w:val="auto"/>
              </w:rPr>
            </w:pPr>
            <w:r>
              <w:rPr>
                <w:rFonts w:ascii="Calibri" w:cs="Calibri" w:eastAsia="Calibri" w:hAnsi="Calibri"/>
                <w:sz w:val="16"/>
                <w:szCs w:val="16"/>
                <w:color w:val="auto"/>
              </w:rPr>
              <w:t>Accrued expenses</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4,232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6,116</w:t>
            </w:r>
          </w:p>
        </w:tc>
      </w:tr>
      <w:tr>
        <w:trPr>
          <w:trHeight w:val="194"/>
        </w:trPr>
        <w:tc>
          <w:tcPr>
            <w:tcW w:w="8180" w:type="dxa"/>
            <w:vAlign w:val="bottom"/>
          </w:tcPr>
          <w:p>
            <w:pPr>
              <w:ind w:left="240"/>
              <w:spacing w:after="0" w:line="193" w:lineRule="exact"/>
              <w:rPr>
                <w:sz w:val="20"/>
                <w:szCs w:val="20"/>
                <w:color w:val="auto"/>
              </w:rPr>
            </w:pPr>
            <w:r>
              <w:rPr>
                <w:rFonts w:ascii="Calibri" w:cs="Calibri" w:eastAsia="Calibri" w:hAnsi="Calibri"/>
                <w:sz w:val="16"/>
                <w:szCs w:val="16"/>
                <w:color w:val="auto"/>
              </w:rPr>
              <w:t>Short-term environmental liability</w:t>
            </w:r>
          </w:p>
        </w:tc>
        <w:tc>
          <w:tcPr>
            <w:tcW w:w="1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250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363</w:t>
            </w:r>
          </w:p>
        </w:tc>
      </w:tr>
      <w:tr>
        <w:trPr>
          <w:trHeight w:val="23"/>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40"/>
              <w:spacing w:after="0" w:line="193" w:lineRule="exact"/>
              <w:rPr>
                <w:sz w:val="20"/>
                <w:szCs w:val="20"/>
                <w:color w:val="auto"/>
              </w:rPr>
            </w:pPr>
            <w:r>
              <w:rPr>
                <w:rFonts w:ascii="Calibri" w:cs="Calibri" w:eastAsia="Calibri" w:hAnsi="Calibri"/>
                <w:sz w:val="16"/>
                <w:szCs w:val="16"/>
                <w:color w:val="auto"/>
              </w:rPr>
              <w:t>Contract liability</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2,339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8180" w:type="dxa"/>
            <w:vAlign w:val="bottom"/>
          </w:tcPr>
          <w:p>
            <w:pPr>
              <w:ind w:left="240"/>
              <w:spacing w:after="0" w:line="193" w:lineRule="exact"/>
              <w:rPr>
                <w:sz w:val="20"/>
                <w:szCs w:val="20"/>
                <w:color w:val="auto"/>
              </w:rPr>
            </w:pPr>
            <w:r>
              <w:rPr>
                <w:rFonts w:ascii="Calibri" w:cs="Calibri" w:eastAsia="Calibri" w:hAnsi="Calibri"/>
                <w:sz w:val="16"/>
                <w:szCs w:val="16"/>
                <w:color w:val="auto"/>
              </w:rPr>
              <w:t>Current liabilites held for sale</w:t>
            </w:r>
          </w:p>
        </w:tc>
        <w:tc>
          <w:tcPr>
            <w:tcW w:w="120" w:type="dxa"/>
            <w:vAlign w:val="bottom"/>
          </w:tcPr>
          <w:p>
            <w:pPr>
              <w:spacing w:after="0"/>
              <w:rPr>
                <w:sz w:val="16"/>
                <w:szCs w:val="16"/>
                <w:color w:val="auto"/>
              </w:rPr>
            </w:pPr>
          </w:p>
        </w:tc>
        <w:tc>
          <w:tcPr>
            <w:tcW w:w="146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483</w:t>
            </w:r>
          </w:p>
        </w:tc>
      </w:tr>
      <w:tr>
        <w:trPr>
          <w:trHeight w:val="23"/>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0"/>
        </w:trPr>
        <w:tc>
          <w:tcPr>
            <w:tcW w:w="8180" w:type="dxa"/>
            <w:vAlign w:val="bottom"/>
            <w:tcBorders>
              <w:bottom w:val="single" w:sz="8" w:color="CCEEFF"/>
            </w:tcBorders>
            <w:shd w:val="clear" w:color="auto" w:fill="CCEEFF"/>
          </w:tcPr>
          <w:p>
            <w:pPr>
              <w:ind w:left="460"/>
              <w:spacing w:after="0" w:line="182" w:lineRule="exact"/>
              <w:rPr>
                <w:sz w:val="20"/>
                <w:szCs w:val="20"/>
                <w:color w:val="auto"/>
              </w:rPr>
            </w:pPr>
            <w:r>
              <w:rPr>
                <w:rFonts w:ascii="Calibri" w:cs="Calibri" w:eastAsia="Calibri" w:hAnsi="Calibri"/>
                <w:sz w:val="16"/>
                <w:szCs w:val="16"/>
                <w:color w:val="auto"/>
              </w:rPr>
              <w:t>Total current liabilites</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19,339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20,977</w:t>
            </w:r>
          </w:p>
        </w:tc>
      </w:tr>
      <w:tr>
        <w:trPr>
          <w:trHeight w:val="193"/>
        </w:trPr>
        <w:tc>
          <w:tcPr>
            <w:tcW w:w="8180" w:type="dxa"/>
            <w:vAlign w:val="bottom"/>
          </w:tcPr>
          <w:p>
            <w:pPr>
              <w:ind w:left="20"/>
              <w:spacing w:after="0" w:line="193" w:lineRule="exact"/>
              <w:rPr>
                <w:sz w:val="20"/>
                <w:szCs w:val="20"/>
                <w:color w:val="auto"/>
              </w:rPr>
            </w:pPr>
            <w:r>
              <w:rPr>
                <w:rFonts w:ascii="Calibri" w:cs="Calibri" w:eastAsia="Calibri" w:hAnsi="Calibri"/>
                <w:sz w:val="16"/>
                <w:szCs w:val="16"/>
                <w:color w:val="auto"/>
              </w:rPr>
              <w:t>LONG-TERM LIABILITIES: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40"/>
              <w:spacing w:after="0" w:line="193" w:lineRule="exact"/>
              <w:rPr>
                <w:sz w:val="20"/>
                <w:szCs w:val="20"/>
                <w:color w:val="auto"/>
              </w:rPr>
            </w:pPr>
            <w:r>
              <w:rPr>
                <w:rFonts w:ascii="Calibri" w:cs="Calibri" w:eastAsia="Calibri" w:hAnsi="Calibri"/>
                <w:sz w:val="16"/>
                <w:szCs w:val="16"/>
                <w:color w:val="auto"/>
              </w:rPr>
              <w:t>Long-term debt, net of deferred fnancing fees</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68,068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68,710</w:t>
            </w:r>
          </w:p>
        </w:tc>
      </w:tr>
      <w:tr>
        <w:trPr>
          <w:trHeight w:val="193"/>
        </w:trPr>
        <w:tc>
          <w:tcPr>
            <w:tcW w:w="8180" w:type="dxa"/>
            <w:vAlign w:val="bottom"/>
          </w:tcPr>
          <w:p>
            <w:pPr>
              <w:ind w:left="240"/>
              <w:spacing w:after="0" w:line="193" w:lineRule="exact"/>
              <w:rPr>
                <w:sz w:val="20"/>
                <w:szCs w:val="20"/>
                <w:color w:val="auto"/>
              </w:rPr>
            </w:pPr>
            <w:r>
              <w:rPr>
                <w:rFonts w:ascii="Calibri" w:cs="Calibri" w:eastAsia="Calibri" w:hAnsi="Calibri"/>
                <w:sz w:val="16"/>
                <w:szCs w:val="16"/>
                <w:color w:val="auto"/>
              </w:rPr>
              <w:t>Environmental liabilites</w:t>
            </w:r>
          </w:p>
        </w:tc>
        <w:tc>
          <w:tcPr>
            <w:tcW w:w="1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30,432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29,866</w:t>
            </w:r>
          </w:p>
        </w:tc>
      </w:tr>
      <w:tr>
        <w:trPr>
          <w:trHeight w:val="23"/>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8180" w:type="dxa"/>
            <w:vAlign w:val="bottom"/>
            <w:tcBorders>
              <w:bottom w:val="single" w:sz="8" w:color="CCEEFF"/>
            </w:tcBorders>
            <w:shd w:val="clear" w:color="auto" w:fill="CCEEFF"/>
          </w:tcPr>
          <w:p>
            <w:pPr>
              <w:ind w:left="240"/>
              <w:spacing w:after="0" w:line="193" w:lineRule="exact"/>
              <w:rPr>
                <w:sz w:val="20"/>
                <w:szCs w:val="20"/>
                <w:color w:val="auto"/>
              </w:rPr>
            </w:pPr>
            <w:r>
              <w:rPr>
                <w:rFonts w:ascii="Calibri" w:cs="Calibri" w:eastAsia="Calibri" w:hAnsi="Calibri"/>
                <w:sz w:val="16"/>
                <w:szCs w:val="16"/>
                <w:color w:val="auto"/>
              </w:rPr>
              <w:t>Other long-term liabilites</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2,770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2,650</w:t>
            </w:r>
          </w:p>
        </w:tc>
      </w:tr>
      <w:tr>
        <w:trPr>
          <w:trHeight w:val="187"/>
        </w:trPr>
        <w:tc>
          <w:tcPr>
            <w:tcW w:w="8180" w:type="dxa"/>
            <w:vAlign w:val="bottom"/>
          </w:tcPr>
          <w:p>
            <w:pPr>
              <w:ind w:left="460"/>
              <w:spacing w:after="0" w:line="182" w:lineRule="exact"/>
              <w:rPr>
                <w:sz w:val="20"/>
                <w:szCs w:val="20"/>
                <w:color w:val="auto"/>
              </w:rPr>
            </w:pPr>
            <w:r>
              <w:rPr>
                <w:rFonts w:ascii="Calibri" w:cs="Calibri" w:eastAsia="Calibri" w:hAnsi="Calibri"/>
                <w:sz w:val="16"/>
                <w:szCs w:val="16"/>
                <w:color w:val="auto"/>
              </w:rPr>
              <w:t>Total liabilites</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120,609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122,203</w:t>
            </w:r>
          </w:p>
        </w:tc>
      </w:tr>
      <w:tr>
        <w:trPr>
          <w:trHeight w:val="23"/>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6"/>
        </w:trPr>
        <w:tc>
          <w:tcPr>
            <w:tcW w:w="81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COMMITMENTS AND CONTINGENCIES (NOTE 10)</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r>
      <w:tr>
        <w:trPr>
          <w:trHeight w:val="194"/>
        </w:trPr>
        <w:tc>
          <w:tcPr>
            <w:tcW w:w="8180" w:type="dxa"/>
            <w:vAlign w:val="bottom"/>
          </w:tcPr>
          <w:p>
            <w:pPr>
              <w:ind w:left="20"/>
              <w:spacing w:after="0" w:line="193" w:lineRule="exact"/>
              <w:rPr>
                <w:sz w:val="20"/>
                <w:szCs w:val="20"/>
                <w:color w:val="auto"/>
              </w:rPr>
            </w:pPr>
            <w:r>
              <w:rPr>
                <w:rFonts w:ascii="Calibri" w:cs="Calibri" w:eastAsia="Calibri" w:hAnsi="Calibri"/>
                <w:sz w:val="16"/>
                <w:szCs w:val="16"/>
                <w:color w:val="auto"/>
              </w:rPr>
              <w:t>STOCKHOLDERS' DEFICIT:</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40"/>
              <w:spacing w:after="0" w:line="193" w:lineRule="exact"/>
              <w:rPr>
                <w:sz w:val="20"/>
                <w:szCs w:val="20"/>
                <w:color w:val="auto"/>
              </w:rPr>
            </w:pPr>
            <w:r>
              <w:rPr>
                <w:rFonts w:ascii="Calibri" w:cs="Calibri" w:eastAsia="Calibri" w:hAnsi="Calibri"/>
                <w:sz w:val="16"/>
                <w:szCs w:val="16"/>
                <w:color w:val="auto"/>
              </w:rPr>
              <w:t>Preferred stock, par value $0.0001, 20,000,000 shares authorized, none outstanding</w:t>
            </w: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8"/>
        </w:trPr>
        <w:tc>
          <w:tcPr>
            <w:tcW w:w="8180" w:type="dxa"/>
            <w:vAlign w:val="bottom"/>
          </w:tcPr>
          <w:p>
            <w:pPr>
              <w:ind w:left="240"/>
              <w:spacing w:after="0"/>
              <w:rPr>
                <w:sz w:val="20"/>
                <w:szCs w:val="20"/>
                <w:color w:val="auto"/>
              </w:rPr>
            </w:pPr>
            <w:r>
              <w:rPr>
                <w:rFonts w:ascii="Calibri" w:cs="Calibri" w:eastAsia="Calibri" w:hAnsi="Calibri"/>
                <w:sz w:val="16"/>
                <w:szCs w:val="16"/>
                <w:color w:val="auto"/>
              </w:rPr>
              <w:t>Common stock, par value $0.0001, 500,000,000 shares authorized, 13,025,627 and 9,131,252 shares issued and</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0"/>
        </w:trPr>
        <w:tc>
          <w:tcPr>
            <w:tcW w:w="8180" w:type="dxa"/>
            <w:vAlign w:val="bottom"/>
          </w:tcPr>
          <w:p>
            <w:pPr>
              <w:ind w:left="240"/>
              <w:spacing w:after="0" w:line="193" w:lineRule="exact"/>
              <w:rPr>
                <w:sz w:val="20"/>
                <w:szCs w:val="20"/>
                <w:color w:val="auto"/>
              </w:rPr>
            </w:pPr>
            <w:r>
              <w:rPr>
                <w:rFonts w:ascii="Calibri" w:cs="Calibri" w:eastAsia="Calibri" w:hAnsi="Calibri"/>
                <w:sz w:val="16"/>
                <w:szCs w:val="16"/>
                <w:color w:val="auto"/>
              </w:rPr>
              <w:t>outstanding as of December 31, 2024 and 2023, respectvely</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Calibri" w:cs="Calibri" w:eastAsia="Calibri" w:hAnsi="Calibri"/>
                <w:sz w:val="16"/>
                <w:szCs w:val="16"/>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Calibri" w:cs="Calibri" w:eastAsia="Calibri" w:hAnsi="Calibri"/>
                <w:sz w:val="16"/>
                <w:szCs w:val="16"/>
                <w:color w:val="auto"/>
              </w:rPr>
              <w:t>1</w:t>
            </w:r>
          </w:p>
        </w:tc>
      </w:tr>
      <w:tr>
        <w:trPr>
          <w:trHeight w:val="28"/>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40"/>
              <w:spacing w:after="0" w:line="193" w:lineRule="exact"/>
              <w:rPr>
                <w:sz w:val="20"/>
                <w:szCs w:val="20"/>
                <w:color w:val="auto"/>
              </w:rPr>
            </w:pPr>
            <w:r>
              <w:rPr>
                <w:rFonts w:ascii="Calibri" w:cs="Calibri" w:eastAsia="Calibri" w:hAnsi="Calibri"/>
                <w:sz w:val="16"/>
                <w:szCs w:val="16"/>
                <w:color w:val="auto"/>
              </w:rPr>
              <w:t>Cumulatve translaton adjustment</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(345)</w:t>
            </w:r>
          </w:p>
        </w:tc>
      </w:tr>
      <w:tr>
        <w:trPr>
          <w:trHeight w:val="193"/>
        </w:trPr>
        <w:tc>
          <w:tcPr>
            <w:tcW w:w="8180" w:type="dxa"/>
            <w:vAlign w:val="bottom"/>
          </w:tcPr>
          <w:p>
            <w:pPr>
              <w:ind w:left="240"/>
              <w:spacing w:after="0" w:line="193" w:lineRule="exact"/>
              <w:rPr>
                <w:sz w:val="20"/>
                <w:szCs w:val="20"/>
                <w:color w:val="auto"/>
              </w:rPr>
            </w:pPr>
            <w:r>
              <w:rPr>
                <w:rFonts w:ascii="Calibri" w:cs="Calibri" w:eastAsia="Calibri" w:hAnsi="Calibri"/>
                <w:sz w:val="16"/>
                <w:szCs w:val="16"/>
                <w:color w:val="auto"/>
              </w:rPr>
              <w:t>Additonal paid-in capital</w:t>
            </w:r>
          </w:p>
        </w:tc>
        <w:tc>
          <w:tcPr>
            <w:tcW w:w="1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334,330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319,992</w:t>
            </w:r>
          </w:p>
        </w:tc>
      </w:tr>
      <w:tr>
        <w:trPr>
          <w:trHeight w:val="23"/>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40"/>
              <w:spacing w:after="0" w:line="193" w:lineRule="exact"/>
              <w:rPr>
                <w:sz w:val="20"/>
                <w:szCs w:val="20"/>
                <w:color w:val="auto"/>
              </w:rPr>
            </w:pPr>
            <w:r>
              <w:rPr>
                <w:rFonts w:ascii="Calibri" w:cs="Calibri" w:eastAsia="Calibri" w:hAnsi="Calibri"/>
                <w:sz w:val="16"/>
                <w:szCs w:val="16"/>
                <w:color w:val="auto"/>
              </w:rPr>
              <w:t>Common stock subscripton receivable</w:t>
            </w: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(698)</w:t>
            </w:r>
          </w:p>
        </w:tc>
      </w:tr>
      <w:tr>
        <w:trPr>
          <w:trHeight w:val="194"/>
        </w:trPr>
        <w:tc>
          <w:tcPr>
            <w:tcW w:w="8180" w:type="dxa"/>
            <w:vAlign w:val="bottom"/>
          </w:tcPr>
          <w:p>
            <w:pPr>
              <w:ind w:left="240"/>
              <w:spacing w:after="0" w:line="193" w:lineRule="exact"/>
              <w:rPr>
                <w:sz w:val="20"/>
                <w:szCs w:val="20"/>
                <w:color w:val="auto"/>
              </w:rPr>
            </w:pPr>
            <w:r>
              <w:rPr>
                <w:rFonts w:ascii="Calibri" w:cs="Calibri" w:eastAsia="Calibri" w:hAnsi="Calibri"/>
                <w:sz w:val="16"/>
                <w:szCs w:val="16"/>
                <w:color w:val="auto"/>
              </w:rPr>
              <w:t>Accumulated defcit</w:t>
            </w:r>
          </w:p>
        </w:tc>
        <w:tc>
          <w:tcPr>
            <w:tcW w:w="1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(389,737)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(369,974)</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460"/>
              <w:spacing w:after="0" w:line="182" w:lineRule="exact"/>
              <w:rPr>
                <w:sz w:val="20"/>
                <w:szCs w:val="20"/>
                <w:color w:val="auto"/>
              </w:rPr>
            </w:pPr>
            <w:r>
              <w:rPr>
                <w:rFonts w:ascii="Calibri" w:cs="Calibri" w:eastAsia="Calibri" w:hAnsi="Calibri"/>
                <w:sz w:val="16"/>
                <w:szCs w:val="16"/>
                <w:color w:val="auto"/>
              </w:rPr>
              <w:t>Total stockholders' defcit</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(55,754)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(51,024)</w:t>
            </w:r>
          </w:p>
        </w:tc>
      </w:tr>
      <w:tr>
        <w:trPr>
          <w:trHeight w:val="209"/>
        </w:trPr>
        <w:tc>
          <w:tcPr>
            <w:tcW w:w="8180" w:type="dxa"/>
            <w:vAlign w:val="bottom"/>
          </w:tcPr>
          <w:p>
            <w:pPr>
              <w:ind w:left="460"/>
              <w:spacing w:after="0"/>
              <w:rPr>
                <w:sz w:val="20"/>
                <w:szCs w:val="20"/>
                <w:color w:val="auto"/>
              </w:rPr>
            </w:pPr>
            <w:r>
              <w:rPr>
                <w:rFonts w:ascii="Calibri" w:cs="Calibri" w:eastAsia="Calibri" w:hAnsi="Calibri"/>
                <w:sz w:val="16"/>
                <w:szCs w:val="16"/>
                <w:color w:val="auto"/>
              </w:rPr>
              <w:t>Total liabilites and stockholders' defcit</w:t>
            </w:r>
          </w:p>
        </w:tc>
        <w:tc>
          <w:tcPr>
            <w:tcW w:w="12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64,855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71,179</w:t>
            </w:r>
          </w:p>
        </w:tc>
      </w:tr>
      <w:tr>
        <w:trPr>
          <w:trHeight w:val="21"/>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rPr>
          <w:sz w:val="20"/>
          <w:szCs w:val="20"/>
          <w:color w:val="auto"/>
        </w:rPr>
      </w:pPr>
      <w:r>
        <w:rPr>
          <w:rFonts w:ascii="Calibri" w:cs="Calibri" w:eastAsia="Calibri" w:hAnsi="Calibri"/>
          <w:sz w:val="18"/>
          <w:szCs w:val="18"/>
          <w:b w:val="1"/>
          <w:bCs w:val="1"/>
          <w:color w:val="auto"/>
        </w:rPr>
        <w:t>GREENIDGE GENERATION HOLDINGS INC.</w:t>
      </w:r>
    </w:p>
    <w:p>
      <w:pPr>
        <w:spacing w:after="0" w:line="235" w:lineRule="auto"/>
        <w:rPr>
          <w:sz w:val="20"/>
          <w:szCs w:val="20"/>
          <w:color w:val="auto"/>
        </w:rPr>
      </w:pPr>
      <w:r>
        <w:rPr>
          <w:rFonts w:ascii="Calibri" w:cs="Calibri" w:eastAsia="Calibri" w:hAnsi="Calibri"/>
          <w:sz w:val="18"/>
          <w:szCs w:val="18"/>
          <w:b w:val="1"/>
          <w:bCs w:val="1"/>
          <w:color w:val="auto"/>
        </w:rPr>
        <w:t>CONSOLIDATED STATEMENTS OF OPERATIONS AND COMPREHENSIVE LOSS</w:t>
      </w:r>
    </w:p>
    <w:p>
      <w:pPr>
        <w:spacing w:after="0" w:line="236" w:lineRule="auto"/>
        <w:rPr>
          <w:sz w:val="20"/>
          <w:szCs w:val="20"/>
          <w:color w:val="auto"/>
        </w:rPr>
      </w:pPr>
      <w:r>
        <w:rPr>
          <w:rFonts w:ascii="Calibri" w:cs="Calibri" w:eastAsia="Calibri" w:hAnsi="Calibri"/>
          <w:sz w:val="18"/>
          <w:szCs w:val="18"/>
          <w:b w:val="1"/>
          <w:bCs w:val="1"/>
          <w:color w:val="auto"/>
        </w:rPr>
        <w:t>(in thousands, except per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20" w:type="dxa"/>
            <w:vAlign w:val="bottom"/>
            <w:gridSpan w:val="4"/>
            <w:shd w:val="clear" w:color="auto" w:fill="CCEEFF"/>
          </w:tcPr>
          <w:p>
            <w:pPr>
              <w:jc w:val="right"/>
              <w:ind w:right="591"/>
              <w:spacing w:after="0"/>
              <w:rPr>
                <w:sz w:val="20"/>
                <w:szCs w:val="20"/>
                <w:color w:val="auto"/>
              </w:rPr>
            </w:pPr>
            <w:r>
              <w:rPr>
                <w:rFonts w:ascii="Calibri" w:cs="Calibri" w:eastAsia="Calibri" w:hAnsi="Calibri"/>
                <w:sz w:val="14"/>
                <w:szCs w:val="14"/>
                <w:b w:val="1"/>
                <w:bCs w:val="1"/>
                <w:color w:val="auto"/>
              </w:rPr>
              <w:t>Years Ended December 31,</w:t>
            </w:r>
          </w:p>
        </w:tc>
      </w:tr>
      <w:tr>
        <w:trPr>
          <w:trHeight w:val="170"/>
        </w:trPr>
        <w:tc>
          <w:tcPr>
            <w:tcW w:w="8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91"/>
              <w:spacing w:after="0"/>
              <w:rPr>
                <w:sz w:val="20"/>
                <w:szCs w:val="20"/>
                <w:color w:val="auto"/>
              </w:rPr>
            </w:pPr>
            <w:r>
              <w:rPr>
                <w:rFonts w:ascii="Calibri" w:cs="Calibri" w:eastAsia="Calibri" w:hAnsi="Calibri"/>
                <w:sz w:val="14"/>
                <w:szCs w:val="14"/>
                <w:b w:val="1"/>
                <w:bCs w:val="1"/>
                <w:color w:val="auto"/>
              </w:rPr>
              <w:t>2024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1"/>
              <w:spacing w:after="0"/>
              <w:rPr>
                <w:sz w:val="20"/>
                <w:szCs w:val="20"/>
                <w:color w:val="auto"/>
              </w:rPr>
            </w:pPr>
            <w:r>
              <w:rPr>
                <w:rFonts w:ascii="Calibri" w:cs="Calibri" w:eastAsia="Calibri" w:hAnsi="Calibri"/>
                <w:sz w:val="14"/>
                <w:szCs w:val="14"/>
                <w:b w:val="1"/>
                <w:bCs w:val="1"/>
                <w:color w:val="auto"/>
              </w:rPr>
              <w:t>2023</w:t>
            </w:r>
          </w:p>
        </w:tc>
      </w:tr>
      <w:tr>
        <w:trPr>
          <w:trHeight w:val="33"/>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80" w:type="dxa"/>
            <w:vAlign w:val="bottom"/>
            <w:tcBorders>
              <w:bottom w:val="single" w:sz="8" w:color="CCEEFF"/>
            </w:tcBorders>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2"/>
        </w:trPr>
        <w:tc>
          <w:tcPr>
            <w:tcW w:w="8280" w:type="dxa"/>
            <w:vAlign w:val="bottom"/>
          </w:tcPr>
          <w:p>
            <w:pPr>
              <w:ind w:left="260"/>
              <w:spacing w:after="0" w:line="215" w:lineRule="exact"/>
              <w:rPr>
                <w:sz w:val="20"/>
                <w:szCs w:val="20"/>
                <w:color w:val="auto"/>
              </w:rPr>
            </w:pPr>
            <w:r>
              <w:rPr>
                <w:rFonts w:ascii="Calibri" w:cs="Calibri" w:eastAsia="Calibri" w:hAnsi="Calibri"/>
                <w:sz w:val="18"/>
                <w:szCs w:val="18"/>
                <w:color w:val="auto"/>
              </w:rPr>
              <w:t>Cryptocurrency mining</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19,061</w:t>
            </w:r>
          </w:p>
        </w:tc>
        <w:tc>
          <w:tcPr>
            <w:tcW w:w="80" w:type="dxa"/>
            <w:vAlign w:val="bottom"/>
          </w:tcPr>
          <w:p>
            <w:pPr>
              <w:spacing w:after="0"/>
              <w:rPr>
                <w:sz w:val="19"/>
                <w:szCs w:val="19"/>
                <w:color w:val="auto"/>
              </w:rPr>
            </w:pP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24,238</w:t>
            </w:r>
          </w:p>
        </w:tc>
      </w:tr>
      <w:tr>
        <w:trPr>
          <w:trHeight w:val="237"/>
        </w:trPr>
        <w:tc>
          <w:tcPr>
            <w:tcW w:w="8280" w:type="dxa"/>
            <w:vAlign w:val="bottom"/>
            <w:shd w:val="clear" w:color="auto" w:fill="CCEEFF"/>
          </w:tcPr>
          <w:p>
            <w:pPr>
              <w:ind w:left="260"/>
              <w:spacing w:after="0"/>
              <w:rPr>
                <w:sz w:val="20"/>
                <w:szCs w:val="20"/>
                <w:color w:val="auto"/>
              </w:rPr>
            </w:pPr>
            <w:r>
              <w:rPr>
                <w:rFonts w:ascii="Calibri" w:cs="Calibri" w:eastAsia="Calibri" w:hAnsi="Calibri"/>
                <w:sz w:val="18"/>
                <w:szCs w:val="18"/>
                <w:color w:val="auto"/>
              </w:rPr>
              <w:t>Datacenter hostng</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29,838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39,478</w:t>
            </w:r>
          </w:p>
        </w:tc>
      </w:tr>
      <w:tr>
        <w:trPr>
          <w:trHeight w:val="223"/>
        </w:trPr>
        <w:tc>
          <w:tcPr>
            <w:tcW w:w="8280" w:type="dxa"/>
            <w:vAlign w:val="bottom"/>
            <w:tcBorders>
              <w:bottom w:val="single" w:sz="8" w:color="CCEEFF"/>
            </w:tcBorders>
          </w:tcPr>
          <w:p>
            <w:pPr>
              <w:ind w:left="260"/>
              <w:spacing w:after="0" w:line="215" w:lineRule="exact"/>
              <w:rPr>
                <w:sz w:val="20"/>
                <w:szCs w:val="20"/>
                <w:color w:val="auto"/>
              </w:rPr>
            </w:pPr>
            <w:r>
              <w:rPr>
                <w:rFonts w:ascii="Calibri" w:cs="Calibri" w:eastAsia="Calibri" w:hAnsi="Calibri"/>
                <w:sz w:val="18"/>
                <w:szCs w:val="18"/>
                <w:color w:val="auto"/>
              </w:rPr>
              <w:t>Power and capacity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10,634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6,672</w:t>
            </w:r>
          </w:p>
        </w:tc>
      </w:tr>
      <w:tr>
        <w:trPr>
          <w:trHeight w:val="229"/>
        </w:trPr>
        <w:tc>
          <w:tcPr>
            <w:tcW w:w="828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Total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59,533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70,388</w:t>
            </w:r>
          </w:p>
        </w:tc>
      </w:tr>
      <w:tr>
        <w:trPr>
          <w:trHeight w:val="222"/>
        </w:trPr>
        <w:tc>
          <w:tcPr>
            <w:tcW w:w="8280" w:type="dxa"/>
            <w:vAlign w:val="bottom"/>
          </w:tcPr>
          <w:p>
            <w:pPr>
              <w:ind w:left="20"/>
              <w:spacing w:after="0" w:line="215" w:lineRule="exact"/>
              <w:rPr>
                <w:sz w:val="20"/>
                <w:szCs w:val="20"/>
                <w:color w:val="auto"/>
              </w:rPr>
            </w:pPr>
            <w:r>
              <w:rPr>
                <w:rFonts w:ascii="Calibri" w:cs="Calibri" w:eastAsia="Calibri" w:hAnsi="Calibri"/>
                <w:sz w:val="18"/>
                <w:szCs w:val="18"/>
                <w:color w:val="auto"/>
              </w:rPr>
              <w:t>OPERATING COSTS AND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7"/>
        </w:trPr>
        <w:tc>
          <w:tcPr>
            <w:tcW w:w="82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Cost of revenue - cryptocurrency mining (exclusive of depreciaton)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12,080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15,051</w:t>
            </w:r>
          </w:p>
        </w:tc>
      </w:tr>
      <w:tr>
        <w:trPr>
          <w:trHeight w:val="222"/>
        </w:trPr>
        <w:tc>
          <w:tcPr>
            <w:tcW w:w="8280" w:type="dxa"/>
            <w:vAlign w:val="bottom"/>
          </w:tcPr>
          <w:p>
            <w:pPr>
              <w:ind w:left="180"/>
              <w:spacing w:after="0" w:line="215" w:lineRule="exact"/>
              <w:rPr>
                <w:sz w:val="20"/>
                <w:szCs w:val="20"/>
                <w:color w:val="auto"/>
              </w:rPr>
            </w:pPr>
            <w:r>
              <w:rPr>
                <w:rFonts w:ascii="Calibri" w:cs="Calibri" w:eastAsia="Calibri" w:hAnsi="Calibri"/>
                <w:sz w:val="18"/>
                <w:szCs w:val="18"/>
                <w:color w:val="auto"/>
              </w:rPr>
              <w:t>Cost of revenue - datacenter hostng (exclusive of depreciaton)</w:t>
            </w: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22,237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29,695</w:t>
            </w:r>
          </w:p>
        </w:tc>
      </w:tr>
      <w:tr>
        <w:trPr>
          <w:trHeight w:val="237"/>
        </w:trPr>
        <w:tc>
          <w:tcPr>
            <w:tcW w:w="82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Cost of revenue - power and capacity (exclusive of depreciaton)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6,791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6,259</w:t>
            </w:r>
          </w:p>
        </w:tc>
      </w:tr>
      <w:tr>
        <w:trPr>
          <w:trHeight w:val="222"/>
        </w:trPr>
        <w:tc>
          <w:tcPr>
            <w:tcW w:w="8280" w:type="dxa"/>
            <w:vAlign w:val="bottom"/>
          </w:tcPr>
          <w:p>
            <w:pPr>
              <w:ind w:left="180"/>
              <w:spacing w:after="0" w:line="215" w:lineRule="exact"/>
              <w:rPr>
                <w:sz w:val="20"/>
                <w:szCs w:val="20"/>
                <w:color w:val="auto"/>
              </w:rPr>
            </w:pPr>
            <w:r>
              <w:rPr>
                <w:rFonts w:ascii="Calibri" w:cs="Calibri" w:eastAsia="Calibri" w:hAnsi="Calibri"/>
                <w:sz w:val="18"/>
                <w:szCs w:val="18"/>
                <w:color w:val="auto"/>
              </w:rPr>
              <w:t>Depreciaton</w:t>
            </w: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13,471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13,602</w:t>
            </w:r>
          </w:p>
        </w:tc>
      </w:tr>
      <w:tr>
        <w:trPr>
          <w:trHeight w:val="237"/>
        </w:trPr>
        <w:tc>
          <w:tcPr>
            <w:tcW w:w="82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Selling, general and administratve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17,294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26,167</w:t>
            </w:r>
          </w:p>
        </w:tc>
      </w:tr>
      <w:tr>
        <w:trPr>
          <w:trHeight w:val="222"/>
        </w:trPr>
        <w:tc>
          <w:tcPr>
            <w:tcW w:w="8280" w:type="dxa"/>
            <w:vAlign w:val="bottom"/>
          </w:tcPr>
          <w:p>
            <w:pPr>
              <w:ind w:left="180"/>
              <w:spacing w:after="0" w:line="215" w:lineRule="exact"/>
              <w:rPr>
                <w:sz w:val="20"/>
                <w:szCs w:val="20"/>
                <w:color w:val="auto"/>
              </w:rPr>
            </w:pPr>
            <w:r>
              <w:rPr>
                <w:rFonts w:ascii="Calibri" w:cs="Calibri" w:eastAsia="Calibri" w:hAnsi="Calibri"/>
                <w:sz w:val="18"/>
                <w:szCs w:val="18"/>
                <w:color w:val="auto"/>
              </w:rPr>
              <w:t>Gain on digital assets</w:t>
            </w: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(2,154)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82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Loss (gain) on sale of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641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(9,903)</w:t>
            </w:r>
          </w:p>
        </w:tc>
      </w:tr>
      <w:tr>
        <w:trPr>
          <w:trHeight w:val="222"/>
        </w:trPr>
        <w:tc>
          <w:tcPr>
            <w:tcW w:w="8280" w:type="dxa"/>
            <w:vAlign w:val="bottom"/>
          </w:tcPr>
          <w:p>
            <w:pPr>
              <w:ind w:left="240"/>
              <w:spacing w:after="0" w:line="215" w:lineRule="exact"/>
              <w:rPr>
                <w:sz w:val="20"/>
                <w:szCs w:val="20"/>
                <w:color w:val="auto"/>
              </w:rPr>
            </w:pPr>
            <w:r>
              <w:rPr>
                <w:rFonts w:ascii="Calibri" w:cs="Calibri" w:eastAsia="Calibri" w:hAnsi="Calibri"/>
                <w:sz w:val="18"/>
                <w:szCs w:val="18"/>
                <w:color w:val="auto"/>
              </w:rPr>
              <w:t>Impairment of long-lived assets</w:t>
            </w: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4,000</w:t>
            </w:r>
          </w:p>
        </w:tc>
      </w:tr>
      <w:tr>
        <w:trPr>
          <w:trHeight w:val="237"/>
        </w:trPr>
        <w:tc>
          <w:tcPr>
            <w:tcW w:w="828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Remeasurement of environmental liability</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453</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2,409</w:t>
            </w:r>
          </w:p>
        </w:tc>
      </w:tr>
      <w:tr>
        <w:trPr>
          <w:trHeight w:val="217"/>
        </w:trPr>
        <w:tc>
          <w:tcPr>
            <w:tcW w:w="8280" w:type="dxa"/>
            <w:vAlign w:val="bottom"/>
            <w:tcBorders>
              <w:bottom w:val="single" w:sz="8" w:color="CCEEFF"/>
            </w:tcBorders>
          </w:tcPr>
          <w:p>
            <w:pPr>
              <w:ind w:left="360"/>
              <w:spacing w:after="0" w:line="199" w:lineRule="exact"/>
              <w:rPr>
                <w:sz w:val="20"/>
                <w:szCs w:val="20"/>
                <w:color w:val="auto"/>
              </w:rPr>
            </w:pPr>
            <w:r>
              <w:rPr>
                <w:rFonts w:ascii="Calibri" w:cs="Calibri" w:eastAsia="Calibri" w:hAnsi="Calibri"/>
                <w:sz w:val="18"/>
                <w:szCs w:val="18"/>
                <w:color w:val="auto"/>
              </w:rPr>
              <w:t>Total operatng costs and expenses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70,982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87,280</w:t>
            </w:r>
          </w:p>
        </w:tc>
      </w:tr>
      <w:tr>
        <w:trPr>
          <w:trHeight w:val="229"/>
        </w:trPr>
        <w:tc>
          <w:tcPr>
            <w:tcW w:w="828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Operatng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(11,449)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(16,892)</w:t>
            </w:r>
          </w:p>
        </w:tc>
      </w:tr>
      <w:tr>
        <w:trPr>
          <w:trHeight w:val="222"/>
        </w:trPr>
        <w:tc>
          <w:tcPr>
            <w:tcW w:w="8280" w:type="dxa"/>
            <w:vAlign w:val="bottom"/>
          </w:tcPr>
          <w:p>
            <w:pPr>
              <w:ind w:left="20"/>
              <w:spacing w:after="0" w:line="215" w:lineRule="exact"/>
              <w:rPr>
                <w:sz w:val="20"/>
                <w:szCs w:val="20"/>
                <w:color w:val="auto"/>
              </w:rPr>
            </w:pPr>
            <w:r>
              <w:rPr>
                <w:rFonts w:ascii="Calibri" w:cs="Calibri" w:eastAsia="Calibri" w:hAnsi="Calibri"/>
                <w:sz w:val="18"/>
                <w:szCs w:val="18"/>
                <w:color w:val="auto"/>
              </w:rPr>
              <w:t>OTHER INCOME (EXPENSE), NET: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7"/>
        </w:trPr>
        <w:tc>
          <w:tcPr>
            <w:tcW w:w="82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Interest expense, net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(7,082)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(12,659)</w:t>
            </w:r>
          </w:p>
        </w:tc>
      </w:tr>
      <w:tr>
        <w:trPr>
          <w:trHeight w:val="222"/>
        </w:trPr>
        <w:tc>
          <w:tcPr>
            <w:tcW w:w="8280" w:type="dxa"/>
            <w:vAlign w:val="bottom"/>
          </w:tcPr>
          <w:p>
            <w:pPr>
              <w:ind w:left="20"/>
              <w:spacing w:after="0" w:line="215" w:lineRule="exact"/>
              <w:rPr>
                <w:sz w:val="20"/>
                <w:szCs w:val="20"/>
                <w:color w:val="auto"/>
              </w:rPr>
            </w:pPr>
            <w:r>
              <w:rPr>
                <w:rFonts w:ascii="Calibri" w:cs="Calibri" w:eastAsia="Calibri" w:hAnsi="Calibri"/>
                <w:sz w:val="18"/>
                <w:szCs w:val="18"/>
                <w:color w:val="auto"/>
              </w:rPr>
              <w:t>Gain on sale of digital assets</w:t>
            </w:r>
          </w:p>
        </w:tc>
        <w:tc>
          <w:tcPr>
            <w:tcW w:w="340" w:type="dxa"/>
            <w:vAlign w:val="bottom"/>
          </w:tcPr>
          <w:p>
            <w:pPr>
              <w:spacing w:after="0"/>
              <w:rPr>
                <w:sz w:val="19"/>
                <w:szCs w:val="19"/>
                <w:color w:val="auto"/>
              </w:rPr>
            </w:pPr>
          </w:p>
        </w:tc>
        <w:tc>
          <w:tcPr>
            <w:tcW w:w="11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512</w:t>
            </w:r>
          </w:p>
        </w:tc>
      </w:tr>
      <w:tr>
        <w:trPr>
          <w:trHeight w:val="237"/>
        </w:trPr>
        <w:tc>
          <w:tcPr>
            <w:tcW w:w="82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Change in fair value of warrant asset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(477)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2"/>
        </w:trPr>
        <w:tc>
          <w:tcPr>
            <w:tcW w:w="8280" w:type="dxa"/>
            <w:vAlign w:val="bottom"/>
          </w:tcPr>
          <w:p>
            <w:pPr>
              <w:ind w:left="20"/>
              <w:spacing w:after="0" w:line="215" w:lineRule="exact"/>
              <w:rPr>
                <w:sz w:val="20"/>
                <w:szCs w:val="20"/>
                <w:color w:val="auto"/>
              </w:rPr>
            </w:pPr>
            <w:r>
              <w:rPr>
                <w:rFonts w:ascii="Calibri" w:cs="Calibri" w:eastAsia="Calibri" w:hAnsi="Calibri"/>
                <w:sz w:val="18"/>
                <w:szCs w:val="18"/>
                <w:color w:val="auto"/>
              </w:rPr>
              <w:t>Impairment of equity securites</w:t>
            </w: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(869)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82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income, net</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23</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16"/>
        </w:trPr>
        <w:tc>
          <w:tcPr>
            <w:tcW w:w="8280" w:type="dxa"/>
            <w:vAlign w:val="bottom"/>
            <w:tcBorders>
              <w:bottom w:val="single" w:sz="8" w:color="CCEEFF"/>
            </w:tcBorders>
          </w:tcPr>
          <w:p>
            <w:pPr>
              <w:ind w:left="20"/>
              <w:spacing w:after="0" w:line="199" w:lineRule="exact"/>
              <w:rPr>
                <w:sz w:val="20"/>
                <w:szCs w:val="20"/>
                <w:color w:val="auto"/>
              </w:rPr>
            </w:pPr>
            <w:r>
              <w:rPr>
                <w:rFonts w:ascii="Calibri" w:cs="Calibri" w:eastAsia="Calibri" w:hAnsi="Calibri"/>
                <w:sz w:val="18"/>
                <w:szCs w:val="18"/>
                <w:color w:val="auto"/>
              </w:rPr>
              <w:t>Total other expense,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(8,405)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(12,147)</w:t>
            </w:r>
          </w:p>
        </w:tc>
      </w:tr>
      <w:tr>
        <w:trPr>
          <w:trHeight w:val="230"/>
        </w:trPr>
        <w:tc>
          <w:tcPr>
            <w:tcW w:w="828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Loss from contnuing operatons before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(19,854)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(29,039)</w:t>
            </w:r>
          </w:p>
        </w:tc>
      </w:tr>
      <w:tr>
        <w:trPr>
          <w:trHeight w:val="223"/>
        </w:trPr>
        <w:tc>
          <w:tcPr>
            <w:tcW w:w="82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Beneft from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0"/>
        </w:trPr>
        <w:tc>
          <w:tcPr>
            <w:tcW w:w="828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Net loss from contnuing operatons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(19,785)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(29,039)</w:t>
            </w:r>
          </w:p>
        </w:tc>
      </w:tr>
      <w:tr>
        <w:trPr>
          <w:trHeight w:val="223"/>
        </w:trPr>
        <w:tc>
          <w:tcPr>
            <w:tcW w:w="8280" w:type="dxa"/>
            <w:vAlign w:val="bottom"/>
          </w:tcPr>
          <w:p>
            <w:pPr>
              <w:ind w:left="20"/>
              <w:spacing w:after="0" w:line="215" w:lineRule="exact"/>
              <w:rPr>
                <w:sz w:val="20"/>
                <w:szCs w:val="20"/>
                <w:color w:val="auto"/>
              </w:rPr>
            </w:pPr>
            <w:r>
              <w:rPr>
                <w:rFonts w:ascii="Calibri" w:cs="Calibri" w:eastAsia="Calibri" w:hAnsi="Calibri"/>
                <w:sz w:val="18"/>
                <w:szCs w:val="18"/>
                <w:color w:val="auto"/>
              </w:rPr>
              <w:t>Loss from discontnued operatons, net of tax</w:t>
            </w:r>
          </w:p>
        </w:tc>
        <w:tc>
          <w:tcPr>
            <w:tcW w:w="340" w:type="dxa"/>
            <w:vAlign w:val="bottom"/>
          </w:tcPr>
          <w:p>
            <w:pPr>
              <w:spacing w:after="0"/>
              <w:rPr>
                <w:sz w:val="19"/>
                <w:szCs w:val="19"/>
                <w:color w:val="auto"/>
              </w:rPr>
            </w:pPr>
          </w:p>
        </w:tc>
        <w:tc>
          <w:tcPr>
            <w:tcW w:w="11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(471)</w:t>
            </w:r>
          </w:p>
        </w:tc>
      </w:tr>
      <w:tr>
        <w:trPr>
          <w:trHeight w:val="255"/>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Net loss</w:t>
            </w:r>
          </w:p>
        </w:tc>
        <w:tc>
          <w:tcPr>
            <w:tcW w:w="340" w:type="dxa"/>
            <w:vAlign w:val="bottom"/>
            <w:tcBorders>
              <w:top w:val="single" w:sz="8" w:color="auto"/>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(19,785)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(29,510)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82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Comprehensive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2"/>
        </w:trPr>
        <w:tc>
          <w:tcPr>
            <w:tcW w:w="8280" w:type="dxa"/>
            <w:vAlign w:val="bottom"/>
          </w:tcPr>
          <w:p>
            <w:pPr>
              <w:ind w:left="20"/>
              <w:spacing w:after="0" w:line="215" w:lineRule="exact"/>
              <w:rPr>
                <w:sz w:val="20"/>
                <w:szCs w:val="20"/>
                <w:color w:val="auto"/>
              </w:rPr>
            </w:pPr>
            <w:r>
              <w:rPr>
                <w:rFonts w:ascii="Calibri" w:cs="Calibri" w:eastAsia="Calibri" w:hAnsi="Calibri"/>
                <w:sz w:val="18"/>
                <w:szCs w:val="18"/>
                <w:color w:val="auto"/>
              </w:rPr>
              <w:t>Net Loss</w:t>
            </w: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(19,785)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(29,510)</w:t>
            </w:r>
          </w:p>
        </w:tc>
      </w:tr>
      <w:tr>
        <w:trPr>
          <w:trHeight w:val="230"/>
        </w:trPr>
        <w:tc>
          <w:tcPr>
            <w:tcW w:w="82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Foreign currency translaton adjustment</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w:t>
            </w:r>
          </w:p>
        </w:tc>
      </w:tr>
      <w:tr>
        <w:trPr>
          <w:trHeight w:val="229"/>
        </w:trPr>
        <w:tc>
          <w:tcPr>
            <w:tcW w:w="8280" w:type="dxa"/>
            <w:vAlign w:val="bottom"/>
          </w:tcPr>
          <w:p>
            <w:pPr>
              <w:ind w:left="20"/>
              <w:spacing w:after="0"/>
              <w:rPr>
                <w:sz w:val="20"/>
                <w:szCs w:val="20"/>
                <w:color w:val="auto"/>
              </w:rPr>
            </w:pPr>
            <w:r>
              <w:rPr>
                <w:rFonts w:ascii="Calibri" w:cs="Calibri" w:eastAsia="Calibri" w:hAnsi="Calibri"/>
                <w:sz w:val="18"/>
                <w:szCs w:val="18"/>
                <w:color w:val="auto"/>
              </w:rPr>
              <w:t>Comprehensive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(19,788)</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(29,498)</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8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2"/>
        </w:trPr>
        <w:tc>
          <w:tcPr>
            <w:tcW w:w="8280" w:type="dxa"/>
            <w:vAlign w:val="bottom"/>
          </w:tcPr>
          <w:p>
            <w:pPr>
              <w:ind w:left="20"/>
              <w:spacing w:after="0" w:line="215" w:lineRule="exact"/>
              <w:rPr>
                <w:sz w:val="20"/>
                <w:szCs w:val="20"/>
                <w:color w:val="auto"/>
              </w:rPr>
            </w:pPr>
            <w:r>
              <w:rPr>
                <w:rFonts w:ascii="Calibri" w:cs="Calibri" w:eastAsia="Calibri" w:hAnsi="Calibri"/>
                <w:sz w:val="18"/>
                <w:szCs w:val="18"/>
                <w:color w:val="auto"/>
              </w:rPr>
              <w:t>Net loss per share, basic and diluted: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7"/>
        </w:trPr>
        <w:tc>
          <w:tcPr>
            <w:tcW w:w="828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Net loss per share from contnuing operatons, basic and diluted</w:t>
            </w: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(4.36)</w:t>
            </w:r>
          </w:p>
        </w:tc>
      </w:tr>
      <w:tr>
        <w:trPr>
          <w:trHeight w:val="223"/>
        </w:trPr>
        <w:tc>
          <w:tcPr>
            <w:tcW w:w="8280" w:type="dxa"/>
            <w:vAlign w:val="bottom"/>
          </w:tcPr>
          <w:p>
            <w:pPr>
              <w:ind w:left="240"/>
              <w:spacing w:after="0" w:line="215" w:lineRule="exact"/>
              <w:rPr>
                <w:sz w:val="20"/>
                <w:szCs w:val="20"/>
                <w:color w:val="auto"/>
              </w:rPr>
            </w:pPr>
            <w:r>
              <w:rPr>
                <w:rFonts w:ascii="Calibri" w:cs="Calibri" w:eastAsia="Calibri" w:hAnsi="Calibri"/>
                <w:sz w:val="18"/>
                <w:szCs w:val="18"/>
                <w:color w:val="auto"/>
              </w:rPr>
              <w:t>Loss per share from discontnued operatons, basic and diluted</w:t>
            </w:r>
          </w:p>
        </w:tc>
        <w:tc>
          <w:tcPr>
            <w:tcW w:w="340" w:type="dxa"/>
            <w:vAlign w:val="bottom"/>
          </w:tcPr>
          <w:p>
            <w:pPr>
              <w:spacing w:after="0"/>
              <w:rPr>
                <w:sz w:val="19"/>
                <w:szCs w:val="19"/>
                <w:color w:val="auto"/>
              </w:rPr>
            </w:pPr>
          </w:p>
        </w:tc>
        <w:tc>
          <w:tcPr>
            <w:tcW w:w="11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(0.07)</w:t>
            </w:r>
          </w:p>
        </w:tc>
      </w:tr>
      <w:tr>
        <w:trPr>
          <w:trHeight w:val="254"/>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Net loss per share, basic and diluted</w:t>
            </w:r>
          </w:p>
        </w:tc>
        <w:tc>
          <w:tcPr>
            <w:tcW w:w="340" w:type="dxa"/>
            <w:vAlign w:val="bottom"/>
            <w:tcBorders>
              <w:top w:val="single" w:sz="8" w:color="auto"/>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(4.43)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82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Weighted Average Shares Outstanding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5"/>
        </w:trPr>
        <w:tc>
          <w:tcPr>
            <w:tcW w:w="828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 average shares outstanding, basic and diluted</w:t>
            </w:r>
          </w:p>
        </w:tc>
        <w:tc>
          <w:tcPr>
            <w:tcW w:w="34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10,504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6,660</w:t>
            </w:r>
          </w:p>
        </w:tc>
      </w:tr>
    </w:tbl>
    <w:p>
      <w:pPr>
        <w:spacing w:after="0" w:line="3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w:t>
      </w:r>
      <w:r>
        <w:rPr>
          <w:rFonts w:ascii="Times New Roman" w:cs="Times New Roman" w:eastAsia="Times New Roman" w:hAnsi="Times New Roman"/>
          <w:sz w:val="18"/>
          <w:szCs w:val="18"/>
          <w:color w:val="auto"/>
        </w:rPr>
        <w:t>ents.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6" w:name="page77"/>
    <w:bookmarkEnd w:id="76"/>
    <w:p>
      <w:pPr>
        <w:spacing w:after="0"/>
        <w:rPr>
          <w:sz w:val="20"/>
          <w:szCs w:val="20"/>
          <w:color w:val="auto"/>
        </w:rPr>
      </w:pPr>
      <w:r>
        <w:rPr>
          <w:rFonts w:ascii="Calibri" w:cs="Calibri" w:eastAsia="Calibri" w:hAnsi="Calibri"/>
          <w:sz w:val="18"/>
          <w:szCs w:val="18"/>
          <w:b w:val="1"/>
          <w:bCs w:val="1"/>
          <w:color w:val="auto"/>
        </w:rPr>
        <w:t>GREENIDGE GENERATION HOLDINGS INC</w:t>
      </w:r>
    </w:p>
    <w:p>
      <w:pPr>
        <w:spacing w:after="0" w:line="235" w:lineRule="auto"/>
        <w:rPr>
          <w:sz w:val="20"/>
          <w:szCs w:val="20"/>
          <w:color w:val="auto"/>
        </w:rPr>
      </w:pPr>
      <w:r>
        <w:rPr>
          <w:rFonts w:ascii="Calibri" w:cs="Calibri" w:eastAsia="Calibri" w:hAnsi="Calibri"/>
          <w:sz w:val="18"/>
          <w:szCs w:val="18"/>
          <w:b w:val="1"/>
          <w:bCs w:val="1"/>
          <w:color w:val="auto"/>
        </w:rPr>
        <w:t>CONSOLIDATED STATEMENTS OF STOCKHOLDERS’ DEFICIT</w:t>
      </w:r>
    </w:p>
    <w:p>
      <w:pPr>
        <w:spacing w:after="0" w:line="236" w:lineRule="auto"/>
        <w:rPr>
          <w:sz w:val="20"/>
          <w:szCs w:val="20"/>
          <w:color w:val="auto"/>
        </w:rPr>
      </w:pPr>
      <w:r>
        <w:rPr>
          <w:rFonts w:ascii="Calibri" w:cs="Calibri" w:eastAsia="Calibri" w:hAnsi="Calibri"/>
          <w:sz w:val="18"/>
          <w:szCs w:val="18"/>
          <w:b w:val="1"/>
          <w:bCs w:val="1"/>
          <w:color w:val="auto"/>
        </w:rPr>
        <w:t>(in thousands, except share data)</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780" w:type="dxa"/>
            <w:vAlign w:val="bottom"/>
            <w:gridSpan w:val="3"/>
          </w:tcPr>
          <w:p>
            <w:pPr>
              <w:jc w:val="right"/>
              <w:ind w:right="268"/>
              <w:spacing w:after="0"/>
              <w:rPr>
                <w:sz w:val="20"/>
                <w:szCs w:val="20"/>
                <w:color w:val="auto"/>
              </w:rPr>
            </w:pPr>
            <w:r>
              <w:rPr>
                <w:rFonts w:ascii="Calibri" w:cs="Calibri" w:eastAsia="Calibri" w:hAnsi="Calibri"/>
                <w:sz w:val="14"/>
                <w:szCs w:val="14"/>
                <w:b w:val="1"/>
                <w:bCs w:val="1"/>
                <w:color w:val="auto"/>
              </w:rPr>
              <w:t>Common 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Cumulatve</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86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center"/>
              <w:ind w:right="200"/>
              <w:spacing w:after="0" w:line="122" w:lineRule="exact"/>
              <w:rPr>
                <w:sz w:val="20"/>
                <w:szCs w:val="20"/>
                <w:color w:val="auto"/>
              </w:rPr>
            </w:pPr>
            <w:r>
              <w:rPr>
                <w:rFonts w:ascii="Calibri" w:cs="Calibri" w:eastAsia="Calibri" w:hAnsi="Calibri"/>
                <w:sz w:val="13"/>
                <w:szCs w:val="13"/>
                <w:b w:val="1"/>
                <w:bCs w:val="1"/>
                <w:color w:val="auto"/>
              </w:rPr>
              <w:t>Additonal</w:t>
            </w:r>
          </w:p>
        </w:tc>
        <w:tc>
          <w:tcPr>
            <w:tcW w:w="100" w:type="dxa"/>
            <w:vAlign w:val="bottom"/>
          </w:tcPr>
          <w:p>
            <w:pPr>
              <w:spacing w:after="0"/>
              <w:rPr>
                <w:sz w:val="7"/>
                <w:szCs w:val="7"/>
                <w:color w:val="auto"/>
              </w:rPr>
            </w:pPr>
          </w:p>
        </w:tc>
        <w:tc>
          <w:tcPr>
            <w:tcW w:w="940" w:type="dxa"/>
            <w:vAlign w:val="bottom"/>
            <w:gridSpan w:val="2"/>
            <w:vMerge w:val="restart"/>
          </w:tcPr>
          <w:p>
            <w:pPr>
              <w:jc w:val="center"/>
              <w:ind w:right="160"/>
              <w:spacing w:after="0" w:line="122" w:lineRule="exact"/>
              <w:rPr>
                <w:sz w:val="20"/>
                <w:szCs w:val="20"/>
                <w:color w:val="auto"/>
              </w:rPr>
            </w:pPr>
            <w:r>
              <w:rPr>
                <w:rFonts w:ascii="Calibri" w:cs="Calibri" w:eastAsia="Calibri" w:hAnsi="Calibri"/>
                <w:sz w:val="13"/>
                <w:szCs w:val="13"/>
                <w:b w:val="1"/>
                <w:bCs w:val="1"/>
                <w:color w:val="auto"/>
              </w:rPr>
              <w:t>Subscripton</w:t>
            </w:r>
          </w:p>
        </w:tc>
        <w:tc>
          <w:tcPr>
            <w:tcW w:w="120" w:type="dxa"/>
            <w:vAlign w:val="bottom"/>
          </w:tcPr>
          <w:p>
            <w:pPr>
              <w:spacing w:after="0"/>
              <w:rPr>
                <w:sz w:val="7"/>
                <w:szCs w:val="7"/>
                <w:color w:val="auto"/>
              </w:rPr>
            </w:pPr>
          </w:p>
        </w:tc>
        <w:tc>
          <w:tcPr>
            <w:tcW w:w="920" w:type="dxa"/>
            <w:vAlign w:val="bottom"/>
            <w:gridSpan w:val="2"/>
            <w:vMerge w:val="restart"/>
          </w:tcPr>
          <w:p>
            <w:pPr>
              <w:ind w:left="40"/>
              <w:spacing w:after="0" w:line="122" w:lineRule="exact"/>
              <w:rPr>
                <w:sz w:val="20"/>
                <w:szCs w:val="20"/>
                <w:color w:val="auto"/>
              </w:rPr>
            </w:pPr>
            <w:r>
              <w:rPr>
                <w:rFonts w:ascii="Calibri" w:cs="Calibri" w:eastAsia="Calibri" w:hAnsi="Calibri"/>
                <w:sz w:val="13"/>
                <w:szCs w:val="13"/>
                <w:b w:val="1"/>
                <w:bCs w:val="1"/>
                <w:color w:val="auto"/>
              </w:rPr>
              <w:t>Translaton</w:t>
            </w:r>
          </w:p>
        </w:tc>
        <w:tc>
          <w:tcPr>
            <w:tcW w:w="1040" w:type="dxa"/>
            <w:vAlign w:val="bottom"/>
            <w:gridSpan w:val="3"/>
            <w:vMerge w:val="restart"/>
          </w:tcPr>
          <w:p>
            <w:pPr>
              <w:jc w:val="center"/>
              <w:ind w:right="60"/>
              <w:spacing w:after="0" w:line="122" w:lineRule="exact"/>
              <w:rPr>
                <w:sz w:val="20"/>
                <w:szCs w:val="20"/>
                <w:color w:val="auto"/>
              </w:rPr>
            </w:pPr>
            <w:r>
              <w:rPr>
                <w:rFonts w:ascii="Calibri" w:cs="Calibri" w:eastAsia="Calibri" w:hAnsi="Calibri"/>
                <w:sz w:val="13"/>
                <w:szCs w:val="13"/>
                <w:b w:val="1"/>
                <w:bCs w:val="1"/>
                <w:color w:val="auto"/>
              </w:rPr>
              <w:t>Accumulated</w:t>
            </w: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Calibri" w:cs="Calibri" w:eastAsia="Calibri" w:hAnsi="Calibri"/>
                <w:sz w:val="14"/>
                <w:szCs w:val="14"/>
                <w:b w:val="1"/>
                <w:bCs w:val="1"/>
                <w:color w:val="auto"/>
              </w:rPr>
              <w:t>Shares</w:t>
            </w:r>
          </w:p>
        </w:tc>
        <w:tc>
          <w:tcPr>
            <w:tcW w:w="740" w:type="dxa"/>
            <w:vAlign w:val="bottom"/>
          </w:tcPr>
          <w:p>
            <w:pPr>
              <w:jc w:val="right"/>
              <w:spacing w:after="0"/>
              <w:rPr>
                <w:sz w:val="20"/>
                <w:szCs w:val="20"/>
                <w:color w:val="auto"/>
              </w:rPr>
            </w:pPr>
            <w:r>
              <w:rPr>
                <w:rFonts w:ascii="Calibri" w:cs="Calibri" w:eastAsia="Calibri" w:hAnsi="Calibri"/>
                <w:sz w:val="14"/>
                <w:szCs w:val="14"/>
                <w:b w:val="1"/>
                <w:bCs w:val="1"/>
                <w:color w:val="auto"/>
              </w:rPr>
              <w:t>Amount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center"/>
              <w:ind w:right="80"/>
              <w:spacing w:after="0"/>
              <w:rPr>
                <w:sz w:val="20"/>
                <w:szCs w:val="20"/>
                <w:color w:val="auto"/>
              </w:rPr>
            </w:pPr>
            <w:r>
              <w:rPr>
                <w:rFonts w:ascii="Calibri" w:cs="Calibri" w:eastAsia="Calibri" w:hAnsi="Calibri"/>
                <w:sz w:val="14"/>
                <w:szCs w:val="14"/>
                <w:b w:val="1"/>
                <w:bCs w:val="1"/>
                <w:color w:val="auto"/>
              </w:rPr>
              <w:t>Paid-In Capital</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Calibri" w:cs="Calibri" w:eastAsia="Calibri" w:hAnsi="Calibri"/>
                <w:sz w:val="14"/>
                <w:szCs w:val="14"/>
                <w:b w:val="1"/>
                <w:bCs w:val="1"/>
                <w:color w:val="auto"/>
              </w:rPr>
              <w:t>Receivable</w:t>
            </w: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Adjustment</w:t>
            </w:r>
          </w:p>
        </w:tc>
        <w:tc>
          <w:tcPr>
            <w:tcW w:w="20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Defcit</w:t>
            </w:r>
          </w:p>
        </w:tc>
        <w:tc>
          <w:tcPr>
            <w:tcW w:w="220" w:type="dxa"/>
            <w:vAlign w:val="bottom"/>
          </w:tcPr>
          <w:p>
            <w:pPr>
              <w:spacing w:after="0"/>
              <w:rPr>
                <w:sz w:val="15"/>
                <w:szCs w:val="15"/>
                <w:color w:val="auto"/>
              </w:rPr>
            </w:pPr>
          </w:p>
        </w:tc>
        <w:tc>
          <w:tcPr>
            <w:tcW w:w="740" w:type="dxa"/>
            <w:vAlign w:val="bottom"/>
          </w:tcPr>
          <w:p>
            <w:pPr>
              <w:jc w:val="right"/>
              <w:ind w:right="268"/>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60" w:type="dxa"/>
            <w:vAlign w:val="bottom"/>
            <w:tcBorders>
              <w:bottom w:val="single" w:sz="8" w:color="CCEEFF"/>
            </w:tcBorders>
            <w:shd w:val="clear" w:color="auto" w:fill="CCEEFF"/>
          </w:tcPr>
          <w:p>
            <w:pPr>
              <w:ind w:left="20"/>
              <w:spacing w:after="0" w:line="150" w:lineRule="exact"/>
              <w:rPr>
                <w:sz w:val="20"/>
                <w:szCs w:val="20"/>
                <w:color w:val="auto"/>
              </w:rPr>
            </w:pPr>
            <w:r>
              <w:rPr>
                <w:rFonts w:ascii="Calibri" w:cs="Calibri" w:eastAsia="Calibri" w:hAnsi="Calibri"/>
                <w:sz w:val="14"/>
                <w:szCs w:val="14"/>
                <w:b w:val="1"/>
                <w:bCs w:val="1"/>
                <w:color w:val="auto"/>
              </w:rPr>
              <w:t>Balance at January 1, 2023</w:t>
            </w:r>
          </w:p>
        </w:tc>
        <w:tc>
          <w:tcPr>
            <w:tcW w:w="9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4,625,278</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88"/>
              <w:spacing w:after="0" w:line="164" w:lineRule="exact"/>
              <w:rPr>
                <w:sz w:val="20"/>
                <w:szCs w:val="20"/>
                <w:color w:val="auto"/>
              </w:rPr>
            </w:pPr>
            <w:r>
              <w:rPr>
                <w:rFonts w:ascii="Calibri" w:cs="Calibri" w:eastAsia="Calibri" w:hAnsi="Calibri"/>
                <w:sz w:val="14"/>
                <w:szCs w:val="14"/>
                <w:color w:val="auto"/>
                <w:w w:val="83"/>
              </w:rPr>
              <w:t>$</w:t>
            </w:r>
          </w:p>
        </w:tc>
        <w:tc>
          <w:tcPr>
            <w:tcW w:w="2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w w:val="94"/>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293,774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line="163" w:lineRule="exact"/>
              <w:rPr>
                <w:sz w:val="20"/>
                <w:szCs w:val="20"/>
                <w:color w:val="auto"/>
              </w:rPr>
            </w:pPr>
            <w:r>
              <w:rPr>
                <w:rFonts w:ascii="Calibri" w:cs="Calibri" w:eastAsia="Calibri" w:hAnsi="Calibri"/>
                <w:sz w:val="14"/>
                <w:szCs w:val="14"/>
                <w:color w:val="auto"/>
              </w:rPr>
              <w:t>$</w:t>
            </w:r>
          </w:p>
        </w:tc>
        <w:tc>
          <w:tcPr>
            <w:tcW w:w="940" w:type="dxa"/>
            <w:vAlign w:val="bottom"/>
            <w:tcBorders>
              <w:bottom w:val="single" w:sz="8" w:color="CCEEFF"/>
            </w:tcBorders>
            <w:gridSpan w:val="2"/>
            <w:shd w:val="clear" w:color="auto" w:fill="CCEEFF"/>
          </w:tcPr>
          <w:p>
            <w:pPr>
              <w:jc w:val="right"/>
              <w:ind w:right="140"/>
              <w:spacing w:after="0" w:line="163" w:lineRule="exact"/>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8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(357)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0"/>
              <w:spacing w:after="0" w:line="164" w:lineRule="exact"/>
              <w:rPr>
                <w:sz w:val="20"/>
                <w:szCs w:val="20"/>
                <w:color w:val="auto"/>
              </w:rPr>
            </w:pPr>
            <w:r>
              <w:rPr>
                <w:rFonts w:ascii="Calibri" w:cs="Calibri" w:eastAsia="Calibri" w:hAnsi="Calibri"/>
                <w:sz w:val="14"/>
                <w:szCs w:val="14"/>
                <w:color w:val="auto"/>
              </w:rPr>
              <w:t>$</w:t>
            </w:r>
          </w:p>
        </w:tc>
        <w:tc>
          <w:tcPr>
            <w:tcW w:w="7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(340,464)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(47,047)</w:t>
            </w:r>
          </w:p>
        </w:tc>
        <w:tc>
          <w:tcPr>
            <w:tcW w:w="0" w:type="dxa"/>
            <w:vAlign w:val="bottom"/>
          </w:tcPr>
          <w:p>
            <w:pPr>
              <w:spacing w:after="0"/>
              <w:rPr>
                <w:sz w:val="1"/>
                <w:szCs w:val="1"/>
                <w:color w:val="auto"/>
              </w:rPr>
            </w:pPr>
          </w:p>
        </w:tc>
      </w:tr>
      <w:tr>
        <w:trPr>
          <w:trHeight w:val="183"/>
        </w:trPr>
        <w:tc>
          <w:tcPr>
            <w:tcW w:w="3860" w:type="dxa"/>
            <w:vAlign w:val="bottom"/>
          </w:tcPr>
          <w:p>
            <w:pPr>
              <w:ind w:left="180"/>
              <w:spacing w:after="0"/>
              <w:rPr>
                <w:sz w:val="20"/>
                <w:szCs w:val="20"/>
                <w:color w:val="auto"/>
              </w:rPr>
            </w:pPr>
            <w:r>
              <w:rPr>
                <w:rFonts w:ascii="Calibri" w:cs="Calibri" w:eastAsia="Calibri" w:hAnsi="Calibri"/>
                <w:sz w:val="14"/>
                <w:szCs w:val="14"/>
                <w:color w:val="auto"/>
              </w:rPr>
              <w:t>Stock-based compensaton expense</w:t>
            </w:r>
          </w:p>
        </w:tc>
        <w:tc>
          <w:tcPr>
            <w:tcW w:w="104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w:t>
            </w:r>
          </w:p>
        </w:tc>
        <w:tc>
          <w:tcPr>
            <w:tcW w:w="74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Calibri" w:cs="Calibri" w:eastAsia="Calibri" w:hAnsi="Calibri"/>
                <w:sz w:val="14"/>
                <w:szCs w:val="14"/>
                <w:color w:val="auto"/>
                <w:w w:val="94"/>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alibri" w:cs="Calibri" w:eastAsia="Calibri" w:hAnsi="Calibri"/>
                <w:sz w:val="14"/>
                <w:szCs w:val="14"/>
                <w:color w:val="auto"/>
              </w:rPr>
              <w:t>2,344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2,344</w:t>
            </w: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860" w:type="dxa"/>
            <w:vAlign w:val="bottom"/>
            <w:tcBorders>
              <w:bottom w:val="single" w:sz="8" w:color="CCEEFF"/>
            </w:tcBorders>
            <w:shd w:val="clear" w:color="auto" w:fill="CCEEFF"/>
          </w:tcPr>
          <w:p>
            <w:pPr>
              <w:ind w:left="180"/>
              <w:spacing w:after="0"/>
              <w:rPr>
                <w:sz w:val="20"/>
                <w:szCs w:val="20"/>
                <w:color w:val="auto"/>
              </w:rPr>
            </w:pPr>
            <w:r>
              <w:rPr>
                <w:rFonts w:ascii="Calibri" w:cs="Calibri" w:eastAsia="Calibri" w:hAnsi="Calibri"/>
                <w:sz w:val="14"/>
                <w:szCs w:val="14"/>
                <w:color w:val="auto"/>
              </w:rPr>
              <w:t>Issuance of shares, net of issuance costs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4,144,419</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21,528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(698)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20,831</w:t>
            </w:r>
          </w:p>
        </w:tc>
        <w:tc>
          <w:tcPr>
            <w:tcW w:w="0" w:type="dxa"/>
            <w:vAlign w:val="bottom"/>
          </w:tcPr>
          <w:p>
            <w:pPr>
              <w:spacing w:after="0"/>
              <w:rPr>
                <w:sz w:val="1"/>
                <w:szCs w:val="1"/>
                <w:color w:val="auto"/>
              </w:rPr>
            </w:pPr>
          </w:p>
        </w:tc>
      </w:tr>
      <w:tr>
        <w:trPr>
          <w:trHeight w:val="183"/>
        </w:trPr>
        <w:tc>
          <w:tcPr>
            <w:tcW w:w="3860" w:type="dxa"/>
            <w:vAlign w:val="bottom"/>
          </w:tcPr>
          <w:p>
            <w:pPr>
              <w:ind w:left="180"/>
              <w:spacing w:after="0"/>
              <w:rPr>
                <w:sz w:val="20"/>
                <w:szCs w:val="20"/>
                <w:color w:val="auto"/>
              </w:rPr>
            </w:pPr>
            <w:r>
              <w:rPr>
                <w:rFonts w:ascii="Calibri" w:cs="Calibri" w:eastAsia="Calibri" w:hAnsi="Calibri"/>
                <w:sz w:val="14"/>
                <w:szCs w:val="14"/>
                <w:color w:val="auto"/>
              </w:rPr>
              <w:t>Reverse stock split fractonal share adjustment</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34,538</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Calibri" w:cs="Calibri" w:eastAsia="Calibri" w:hAnsi="Calibri"/>
                <w:sz w:val="14"/>
                <w:szCs w:val="14"/>
                <w:color w:val="auto"/>
                <w:w w:val="94"/>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860" w:type="dxa"/>
            <w:vAlign w:val="bottom"/>
            <w:tcBorders>
              <w:bottom w:val="single" w:sz="8" w:color="CCEEFF"/>
            </w:tcBorders>
            <w:shd w:val="clear" w:color="auto" w:fill="CCEEFF"/>
          </w:tcPr>
          <w:p>
            <w:pPr>
              <w:ind w:left="180"/>
              <w:spacing w:after="0"/>
              <w:rPr>
                <w:sz w:val="20"/>
                <w:szCs w:val="20"/>
                <w:color w:val="auto"/>
              </w:rPr>
            </w:pPr>
            <w:r>
              <w:rPr>
                <w:rFonts w:ascii="Calibri" w:cs="Calibri" w:eastAsia="Calibri" w:hAnsi="Calibri"/>
                <w:sz w:val="14"/>
                <w:szCs w:val="14"/>
                <w:color w:val="auto"/>
              </w:rPr>
              <w:t>Restricted shares award issuance, net of withholdings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13,684</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w w:val="94"/>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0"/>
        </w:trPr>
        <w:tc>
          <w:tcPr>
            <w:tcW w:w="3860" w:type="dxa"/>
            <w:vAlign w:val="bottom"/>
          </w:tcPr>
          <w:p>
            <w:pPr>
              <w:ind w:left="180"/>
              <w:spacing w:after="0"/>
              <w:rPr>
                <w:sz w:val="20"/>
                <w:szCs w:val="20"/>
                <w:color w:val="auto"/>
              </w:rPr>
            </w:pPr>
            <w:r>
              <w:rPr>
                <w:rFonts w:ascii="Calibri" w:cs="Calibri" w:eastAsia="Calibri" w:hAnsi="Calibri"/>
                <w:sz w:val="14"/>
                <w:szCs w:val="14"/>
                <w:color w:val="auto"/>
              </w:rPr>
              <w:t>Issuance of shares for amendment fee associated with debt</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860" w:type="dxa"/>
            <w:vAlign w:val="bottom"/>
          </w:tcPr>
          <w:p>
            <w:pPr>
              <w:ind w:left="180"/>
              <w:spacing w:after="0"/>
              <w:rPr>
                <w:sz w:val="20"/>
                <w:szCs w:val="20"/>
                <w:color w:val="auto"/>
              </w:rPr>
            </w:pPr>
            <w:r>
              <w:rPr>
                <w:rFonts w:ascii="Calibri" w:cs="Calibri" w:eastAsia="Calibri" w:hAnsi="Calibri"/>
                <w:sz w:val="14"/>
                <w:szCs w:val="14"/>
                <w:color w:val="auto"/>
              </w:rPr>
              <w:t>modifcaton</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133,333</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Calibri" w:cs="Calibri" w:eastAsia="Calibri" w:hAnsi="Calibri"/>
                <w:sz w:val="14"/>
                <w:szCs w:val="14"/>
                <w:color w:val="auto"/>
                <w:w w:val="94"/>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alibri" w:cs="Calibri" w:eastAsia="Calibri" w:hAnsi="Calibri"/>
                <w:sz w:val="14"/>
                <w:szCs w:val="14"/>
                <w:color w:val="auto"/>
              </w:rPr>
              <w:t>1,000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1,000</w:t>
            </w: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860" w:type="dxa"/>
            <w:vAlign w:val="bottom"/>
            <w:tcBorders>
              <w:bottom w:val="single" w:sz="8" w:color="CCEEFF"/>
            </w:tcBorders>
            <w:shd w:val="clear" w:color="auto" w:fill="CCEEFF"/>
          </w:tcPr>
          <w:p>
            <w:pPr>
              <w:ind w:left="180"/>
              <w:spacing w:after="0"/>
              <w:rPr>
                <w:sz w:val="20"/>
                <w:szCs w:val="20"/>
                <w:color w:val="auto"/>
              </w:rPr>
            </w:pPr>
            <w:r>
              <w:rPr>
                <w:rFonts w:ascii="Calibri" w:cs="Calibri" w:eastAsia="Calibri" w:hAnsi="Calibri"/>
                <w:sz w:val="14"/>
                <w:szCs w:val="14"/>
                <w:color w:val="auto"/>
              </w:rPr>
              <w:t>Shares issues in connecton with equity exchange agreement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180,000</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w w:val="94"/>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869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869</w:t>
            </w:r>
          </w:p>
        </w:tc>
        <w:tc>
          <w:tcPr>
            <w:tcW w:w="0" w:type="dxa"/>
            <w:vAlign w:val="bottom"/>
          </w:tcPr>
          <w:p>
            <w:pPr>
              <w:spacing w:after="0"/>
              <w:rPr>
                <w:sz w:val="1"/>
                <w:szCs w:val="1"/>
                <w:color w:val="auto"/>
              </w:rPr>
            </w:pPr>
          </w:p>
        </w:tc>
      </w:tr>
      <w:tr>
        <w:trPr>
          <w:trHeight w:val="170"/>
        </w:trPr>
        <w:tc>
          <w:tcPr>
            <w:tcW w:w="3860" w:type="dxa"/>
            <w:vAlign w:val="bottom"/>
          </w:tcPr>
          <w:p>
            <w:pPr>
              <w:ind w:left="180"/>
              <w:spacing w:after="0"/>
              <w:rPr>
                <w:sz w:val="20"/>
                <w:szCs w:val="20"/>
                <w:color w:val="auto"/>
              </w:rPr>
            </w:pPr>
            <w:r>
              <w:rPr>
                <w:rFonts w:ascii="Calibri" w:cs="Calibri" w:eastAsia="Calibri" w:hAnsi="Calibri"/>
                <w:sz w:val="14"/>
                <w:szCs w:val="14"/>
                <w:color w:val="auto"/>
              </w:rPr>
              <w:t>Issuance of warrants in connecton with equity exchange</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860" w:type="dxa"/>
            <w:vAlign w:val="bottom"/>
          </w:tcPr>
          <w:p>
            <w:pPr>
              <w:ind w:left="180"/>
              <w:spacing w:after="0"/>
              <w:rPr>
                <w:sz w:val="20"/>
                <w:szCs w:val="20"/>
                <w:color w:val="auto"/>
              </w:rPr>
            </w:pPr>
            <w:r>
              <w:rPr>
                <w:rFonts w:ascii="Calibri" w:cs="Calibri" w:eastAsia="Calibri" w:hAnsi="Calibri"/>
                <w:sz w:val="14"/>
                <w:szCs w:val="14"/>
                <w:color w:val="auto"/>
              </w:rPr>
              <w:t>agreement</w:t>
            </w:r>
          </w:p>
        </w:tc>
        <w:tc>
          <w:tcPr>
            <w:tcW w:w="104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w:t>
            </w:r>
          </w:p>
        </w:tc>
        <w:tc>
          <w:tcPr>
            <w:tcW w:w="7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Calibri" w:cs="Calibri" w:eastAsia="Calibri" w:hAnsi="Calibri"/>
                <w:sz w:val="14"/>
                <w:szCs w:val="14"/>
                <w:color w:val="auto"/>
                <w:w w:val="94"/>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alibri" w:cs="Calibri" w:eastAsia="Calibri" w:hAnsi="Calibri"/>
                <w:sz w:val="14"/>
                <w:szCs w:val="14"/>
                <w:color w:val="auto"/>
              </w:rPr>
              <w:t>477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477</w:t>
            </w: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shd w:val="clear" w:color="auto" w:fill="CCEEFF"/>
          </w:tcPr>
          <w:p>
            <w:pPr>
              <w:ind w:left="180"/>
              <w:spacing w:after="0"/>
              <w:rPr>
                <w:sz w:val="20"/>
                <w:szCs w:val="20"/>
                <w:color w:val="auto"/>
              </w:rPr>
            </w:pPr>
            <w:r>
              <w:rPr>
                <w:rFonts w:ascii="Calibri" w:cs="Calibri" w:eastAsia="Calibri" w:hAnsi="Calibri"/>
                <w:sz w:val="14"/>
                <w:szCs w:val="14"/>
                <w:color w:val="auto"/>
              </w:rPr>
              <w:t>Foreign currency translaton adjustment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Calibri" w:cs="Calibri" w:eastAsia="Calibri" w:hAnsi="Calibri"/>
                <w:sz w:val="14"/>
                <w:szCs w:val="14"/>
                <w:color w:val="auto"/>
              </w:rPr>
              <w:t>—</w:t>
            </w:r>
          </w:p>
        </w:tc>
        <w:tc>
          <w:tcPr>
            <w:tcW w:w="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w w:val="94"/>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12</w:t>
            </w:r>
          </w:p>
        </w:tc>
        <w:tc>
          <w:tcPr>
            <w:tcW w:w="0" w:type="dxa"/>
            <w:vAlign w:val="bottom"/>
          </w:tcPr>
          <w:p>
            <w:pPr>
              <w:spacing w:after="0"/>
              <w:rPr>
                <w:sz w:val="1"/>
                <w:szCs w:val="1"/>
                <w:color w:val="auto"/>
              </w:rPr>
            </w:pPr>
          </w:p>
        </w:tc>
      </w:tr>
      <w:tr>
        <w:trPr>
          <w:trHeight w:val="183"/>
        </w:trPr>
        <w:tc>
          <w:tcPr>
            <w:tcW w:w="3860" w:type="dxa"/>
            <w:vAlign w:val="bottom"/>
          </w:tcPr>
          <w:p>
            <w:pPr>
              <w:ind w:left="180"/>
              <w:spacing w:after="0"/>
              <w:rPr>
                <w:sz w:val="20"/>
                <w:szCs w:val="20"/>
                <w:color w:val="auto"/>
              </w:rPr>
            </w:pPr>
            <w:r>
              <w:rPr>
                <w:rFonts w:ascii="Calibri" w:cs="Calibri" w:eastAsia="Calibri" w:hAnsi="Calibri"/>
                <w:sz w:val="14"/>
                <w:szCs w:val="14"/>
                <w:color w:val="auto"/>
              </w:rPr>
              <w:t>Net loss</w:t>
            </w:r>
          </w:p>
        </w:tc>
        <w:tc>
          <w:tcPr>
            <w:tcW w:w="104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w:t>
            </w:r>
          </w:p>
        </w:tc>
        <w:tc>
          <w:tcPr>
            <w:tcW w:w="74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Calibri" w:cs="Calibri" w:eastAsia="Calibri" w:hAnsi="Calibri"/>
                <w:sz w:val="14"/>
                <w:szCs w:val="14"/>
                <w:color w:val="auto"/>
                <w:w w:val="94"/>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alibri" w:cs="Calibri" w:eastAsia="Calibri" w:hAnsi="Calibri"/>
                <w:sz w:val="14"/>
                <w:szCs w:val="14"/>
                <w:color w:val="auto"/>
              </w:rPr>
              <w:t>(29,510)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(29,510)</w:t>
            </w:r>
          </w:p>
        </w:tc>
        <w:tc>
          <w:tcPr>
            <w:tcW w:w="0" w:type="dxa"/>
            <w:vAlign w:val="bottom"/>
          </w:tcPr>
          <w:p>
            <w:pPr>
              <w:spacing w:after="0"/>
              <w:rPr>
                <w:sz w:val="1"/>
                <w:szCs w:val="1"/>
                <w:color w:val="auto"/>
              </w:rPr>
            </w:pPr>
          </w:p>
        </w:tc>
      </w:tr>
      <w:tr>
        <w:trPr>
          <w:trHeight w:val="47"/>
        </w:trPr>
        <w:tc>
          <w:tcPr>
            <w:tcW w:w="386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860" w:type="dxa"/>
            <w:vAlign w:val="bottom"/>
            <w:tcBorders>
              <w:bottom w:val="single" w:sz="8" w:color="CCEEFF"/>
            </w:tcBorders>
            <w:shd w:val="clear" w:color="auto" w:fill="CCEEFF"/>
          </w:tcPr>
          <w:p>
            <w:pPr>
              <w:ind w:left="20"/>
              <w:spacing w:after="0" w:line="150" w:lineRule="exact"/>
              <w:rPr>
                <w:sz w:val="20"/>
                <w:szCs w:val="20"/>
                <w:color w:val="auto"/>
              </w:rPr>
            </w:pPr>
            <w:r>
              <w:rPr>
                <w:rFonts w:ascii="Calibri" w:cs="Calibri" w:eastAsia="Calibri" w:hAnsi="Calibri"/>
                <w:sz w:val="14"/>
                <w:szCs w:val="14"/>
                <w:b w:val="1"/>
                <w:bCs w:val="1"/>
                <w:color w:val="auto"/>
              </w:rPr>
              <w:t>Balance at December 31, 2023</w:t>
            </w:r>
          </w:p>
        </w:tc>
        <w:tc>
          <w:tcPr>
            <w:tcW w:w="9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9,131,252</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319,992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(698)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(345)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(369,974)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(51,024)</w:t>
            </w:r>
          </w:p>
        </w:tc>
        <w:tc>
          <w:tcPr>
            <w:tcW w:w="0" w:type="dxa"/>
            <w:vAlign w:val="bottom"/>
          </w:tcPr>
          <w:p>
            <w:pPr>
              <w:spacing w:after="0"/>
              <w:rPr>
                <w:sz w:val="1"/>
                <w:szCs w:val="1"/>
                <w:color w:val="auto"/>
              </w:rPr>
            </w:pPr>
          </w:p>
        </w:tc>
      </w:tr>
      <w:tr>
        <w:trPr>
          <w:trHeight w:val="170"/>
        </w:trPr>
        <w:tc>
          <w:tcPr>
            <w:tcW w:w="3860" w:type="dxa"/>
            <w:vAlign w:val="bottom"/>
          </w:tcPr>
          <w:p>
            <w:pPr>
              <w:ind w:left="180"/>
              <w:spacing w:after="0"/>
              <w:rPr>
                <w:sz w:val="20"/>
                <w:szCs w:val="20"/>
                <w:color w:val="auto"/>
              </w:rPr>
            </w:pPr>
            <w:r>
              <w:rPr>
                <w:rFonts w:ascii="Calibri" w:cs="Calibri" w:eastAsia="Calibri" w:hAnsi="Calibri"/>
                <w:sz w:val="14"/>
                <w:szCs w:val="14"/>
                <w:color w:val="auto"/>
              </w:rPr>
              <w:t>Cumulatve-efect adjustment due to the adopton of ASU</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860" w:type="dxa"/>
            <w:vAlign w:val="bottom"/>
          </w:tcPr>
          <w:p>
            <w:pPr>
              <w:ind w:left="180"/>
              <w:spacing w:after="0"/>
              <w:rPr>
                <w:sz w:val="20"/>
                <w:szCs w:val="20"/>
                <w:color w:val="auto"/>
              </w:rPr>
            </w:pPr>
            <w:r>
              <w:rPr>
                <w:rFonts w:ascii="Calibri" w:cs="Calibri" w:eastAsia="Calibri" w:hAnsi="Calibri"/>
                <w:sz w:val="14"/>
                <w:szCs w:val="14"/>
                <w:color w:val="auto"/>
              </w:rPr>
              <w:t>2023-08</w:t>
            </w:r>
          </w:p>
        </w:tc>
        <w:tc>
          <w:tcPr>
            <w:tcW w:w="104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w:t>
            </w:r>
          </w:p>
        </w:tc>
        <w:tc>
          <w:tcPr>
            <w:tcW w:w="7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Calibri" w:cs="Calibri" w:eastAsia="Calibri" w:hAnsi="Calibri"/>
                <w:sz w:val="14"/>
                <w:szCs w:val="14"/>
                <w:color w:val="auto"/>
                <w:w w:val="94"/>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alibri" w:cs="Calibri" w:eastAsia="Calibri" w:hAnsi="Calibri"/>
                <w:sz w:val="14"/>
                <w:szCs w:val="14"/>
                <w:color w:val="auto"/>
              </w:rPr>
              <w:t>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22</w:t>
            </w: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shd w:val="clear" w:color="auto" w:fill="CCEEFF"/>
          </w:tcPr>
          <w:p>
            <w:pPr>
              <w:ind w:left="180"/>
              <w:spacing w:after="0"/>
              <w:rPr>
                <w:sz w:val="20"/>
                <w:szCs w:val="20"/>
                <w:color w:val="auto"/>
              </w:rPr>
            </w:pPr>
            <w:r>
              <w:rPr>
                <w:rFonts w:ascii="Calibri" w:cs="Calibri" w:eastAsia="Calibri" w:hAnsi="Calibri"/>
                <w:sz w:val="14"/>
                <w:szCs w:val="14"/>
                <w:color w:val="auto"/>
              </w:rPr>
              <w:t>Stock-based compensaton expense</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Calibri" w:cs="Calibri" w:eastAsia="Calibri" w:hAnsi="Calibri"/>
                <w:sz w:val="14"/>
                <w:szCs w:val="14"/>
                <w:color w:val="auto"/>
              </w:rPr>
              <w:t>—</w:t>
            </w:r>
          </w:p>
        </w:tc>
        <w:tc>
          <w:tcPr>
            <w:tcW w:w="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w w:val="94"/>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2,182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2,182</w:t>
            </w:r>
          </w:p>
        </w:tc>
        <w:tc>
          <w:tcPr>
            <w:tcW w:w="0" w:type="dxa"/>
            <w:vAlign w:val="bottom"/>
          </w:tcPr>
          <w:p>
            <w:pPr>
              <w:spacing w:after="0"/>
              <w:rPr>
                <w:sz w:val="1"/>
                <w:szCs w:val="1"/>
                <w:color w:val="auto"/>
              </w:rPr>
            </w:pPr>
          </w:p>
        </w:tc>
      </w:tr>
      <w:tr>
        <w:trPr>
          <w:trHeight w:val="170"/>
        </w:trPr>
        <w:tc>
          <w:tcPr>
            <w:tcW w:w="3860" w:type="dxa"/>
            <w:vAlign w:val="bottom"/>
          </w:tcPr>
          <w:p>
            <w:pPr>
              <w:ind w:left="180"/>
              <w:spacing w:after="0"/>
              <w:rPr>
                <w:sz w:val="20"/>
                <w:szCs w:val="20"/>
                <w:color w:val="auto"/>
              </w:rPr>
            </w:pPr>
            <w:r>
              <w:rPr>
                <w:rFonts w:ascii="Calibri" w:cs="Calibri" w:eastAsia="Calibri" w:hAnsi="Calibri"/>
                <w:sz w:val="14"/>
                <w:szCs w:val="14"/>
                <w:color w:val="auto"/>
              </w:rPr>
              <w:t>Issuance of shares in connecton with Securites Purchase</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860" w:type="dxa"/>
            <w:vAlign w:val="bottom"/>
          </w:tcPr>
          <w:p>
            <w:pPr>
              <w:ind w:left="180"/>
              <w:spacing w:after="0"/>
              <w:rPr>
                <w:sz w:val="20"/>
                <w:szCs w:val="20"/>
                <w:color w:val="auto"/>
              </w:rPr>
            </w:pPr>
            <w:r>
              <w:rPr>
                <w:rFonts w:ascii="Calibri" w:cs="Calibri" w:eastAsia="Calibri" w:hAnsi="Calibri"/>
                <w:sz w:val="14"/>
                <w:szCs w:val="14"/>
                <w:color w:val="auto"/>
              </w:rPr>
              <w:t>Agreement</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450,300</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Calibri" w:cs="Calibri" w:eastAsia="Calibri" w:hAnsi="Calibri"/>
                <w:sz w:val="14"/>
                <w:szCs w:val="14"/>
                <w:color w:val="auto"/>
                <w:w w:val="94"/>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alibri" w:cs="Calibri" w:eastAsia="Calibri" w:hAnsi="Calibri"/>
                <w:sz w:val="14"/>
                <w:szCs w:val="14"/>
                <w:color w:val="auto"/>
              </w:rPr>
              <w:t>1,133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1,133</w:t>
            </w: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860" w:type="dxa"/>
            <w:vAlign w:val="bottom"/>
            <w:tcBorders>
              <w:bottom w:val="single" w:sz="8" w:color="CCEEFF"/>
            </w:tcBorders>
            <w:shd w:val="clear" w:color="auto" w:fill="CCEEFF"/>
          </w:tcPr>
          <w:p>
            <w:pPr>
              <w:ind w:left="180"/>
              <w:spacing w:after="0"/>
              <w:rPr>
                <w:sz w:val="20"/>
                <w:szCs w:val="20"/>
                <w:color w:val="auto"/>
              </w:rPr>
            </w:pPr>
            <w:r>
              <w:rPr>
                <w:rFonts w:ascii="Calibri" w:cs="Calibri" w:eastAsia="Calibri" w:hAnsi="Calibri"/>
                <w:sz w:val="14"/>
                <w:szCs w:val="14"/>
                <w:color w:val="auto"/>
              </w:rPr>
              <w:t>Issuance of shares, net of issuance costs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1,641,124</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w w:val="94"/>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4,541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698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5,239</w:t>
            </w:r>
          </w:p>
        </w:tc>
        <w:tc>
          <w:tcPr>
            <w:tcW w:w="0" w:type="dxa"/>
            <w:vAlign w:val="bottom"/>
          </w:tcPr>
          <w:p>
            <w:pPr>
              <w:spacing w:after="0"/>
              <w:rPr>
                <w:sz w:val="1"/>
                <w:szCs w:val="1"/>
                <w:color w:val="auto"/>
              </w:rPr>
            </w:pPr>
          </w:p>
        </w:tc>
      </w:tr>
      <w:tr>
        <w:trPr>
          <w:trHeight w:val="183"/>
        </w:trPr>
        <w:tc>
          <w:tcPr>
            <w:tcW w:w="3860" w:type="dxa"/>
            <w:vAlign w:val="bottom"/>
          </w:tcPr>
          <w:p>
            <w:pPr>
              <w:ind w:left="180"/>
              <w:spacing w:after="0"/>
              <w:rPr>
                <w:sz w:val="20"/>
                <w:szCs w:val="20"/>
                <w:color w:val="auto"/>
              </w:rPr>
            </w:pPr>
            <w:r>
              <w:rPr>
                <w:rFonts w:ascii="Calibri" w:cs="Calibri" w:eastAsia="Calibri" w:hAnsi="Calibri"/>
                <w:sz w:val="14"/>
                <w:szCs w:val="14"/>
                <w:color w:val="auto"/>
              </w:rPr>
              <w:t>Restricted shares award issuance, net of withholdings</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300,313</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Calibri" w:cs="Calibri" w:eastAsia="Calibri" w:hAnsi="Calibri"/>
                <w:sz w:val="14"/>
                <w:szCs w:val="14"/>
                <w:color w:val="auto"/>
                <w:w w:val="94"/>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ind w:left="180"/>
              <w:spacing w:after="0"/>
              <w:rPr>
                <w:sz w:val="20"/>
                <w:szCs w:val="20"/>
                <w:color w:val="auto"/>
              </w:rPr>
            </w:pPr>
            <w:r>
              <w:rPr>
                <w:rFonts w:ascii="Calibri" w:cs="Calibri" w:eastAsia="Calibri" w:hAnsi="Calibri"/>
                <w:sz w:val="14"/>
                <w:szCs w:val="14"/>
                <w:color w:val="auto"/>
              </w:rPr>
              <w:t>Issuance of warrants in connecton with Securites Purchase</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180"/>
              <w:spacing w:after="0"/>
              <w:rPr>
                <w:sz w:val="20"/>
                <w:szCs w:val="20"/>
                <w:color w:val="auto"/>
              </w:rPr>
            </w:pPr>
            <w:r>
              <w:rPr>
                <w:rFonts w:ascii="Calibri" w:cs="Calibri" w:eastAsia="Calibri" w:hAnsi="Calibri"/>
                <w:sz w:val="14"/>
                <w:szCs w:val="14"/>
                <w:color w:val="auto"/>
              </w:rPr>
              <w:t>Agreement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Calibri" w:cs="Calibri" w:eastAsia="Calibri" w:hAnsi="Calibri"/>
                <w:sz w:val="14"/>
                <w:szCs w:val="14"/>
                <w:color w:val="auto"/>
              </w:rPr>
              <w:t>—</w:t>
            </w:r>
          </w:p>
        </w:tc>
        <w:tc>
          <w:tcPr>
            <w:tcW w:w="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w w:val="94"/>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4,866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4,866</w:t>
            </w:r>
          </w:p>
        </w:tc>
        <w:tc>
          <w:tcPr>
            <w:tcW w:w="0" w:type="dxa"/>
            <w:vAlign w:val="bottom"/>
          </w:tcPr>
          <w:p>
            <w:pPr>
              <w:spacing w:after="0"/>
              <w:rPr>
                <w:sz w:val="1"/>
                <w:szCs w:val="1"/>
                <w:color w:val="auto"/>
              </w:rPr>
            </w:pPr>
          </w:p>
        </w:tc>
      </w:tr>
      <w:tr>
        <w:trPr>
          <w:trHeight w:val="183"/>
        </w:trPr>
        <w:tc>
          <w:tcPr>
            <w:tcW w:w="3860" w:type="dxa"/>
            <w:vAlign w:val="bottom"/>
          </w:tcPr>
          <w:p>
            <w:pPr>
              <w:ind w:left="180"/>
              <w:spacing w:after="0"/>
              <w:rPr>
                <w:sz w:val="20"/>
                <w:szCs w:val="20"/>
                <w:color w:val="auto"/>
              </w:rPr>
            </w:pPr>
            <w:r>
              <w:rPr>
                <w:rFonts w:ascii="Calibri" w:cs="Calibri" w:eastAsia="Calibri" w:hAnsi="Calibri"/>
                <w:sz w:val="14"/>
                <w:szCs w:val="14"/>
                <w:color w:val="auto"/>
              </w:rPr>
              <w:t>Common stock issuance upon exercise of prefunded warrant</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810,205</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Calibri" w:cs="Calibri" w:eastAsia="Calibri" w:hAnsi="Calibri"/>
                <w:sz w:val="14"/>
                <w:szCs w:val="14"/>
                <w:color w:val="auto"/>
                <w:w w:val="94"/>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ind w:left="180"/>
              <w:spacing w:after="0"/>
              <w:rPr>
                <w:sz w:val="20"/>
                <w:szCs w:val="20"/>
                <w:color w:val="auto"/>
              </w:rPr>
            </w:pPr>
            <w:r>
              <w:rPr>
                <w:rFonts w:ascii="Calibri" w:cs="Calibri" w:eastAsia="Calibri" w:hAnsi="Calibri"/>
                <w:sz w:val="14"/>
                <w:szCs w:val="14"/>
                <w:color w:val="auto"/>
              </w:rPr>
              <w:t>Issuance of shares in connecton with Debt Exchange</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180"/>
              <w:spacing w:after="0"/>
              <w:rPr>
                <w:sz w:val="20"/>
                <w:szCs w:val="20"/>
                <w:color w:val="auto"/>
              </w:rPr>
            </w:pPr>
            <w:r>
              <w:rPr>
                <w:rFonts w:ascii="Calibri" w:cs="Calibri" w:eastAsia="Calibri" w:hAnsi="Calibri"/>
                <w:sz w:val="14"/>
                <w:szCs w:val="14"/>
                <w:color w:val="auto"/>
              </w:rPr>
              <w:t>Agreements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692,433</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w w:val="94"/>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1,616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1,616</w:t>
            </w:r>
          </w:p>
        </w:tc>
        <w:tc>
          <w:tcPr>
            <w:tcW w:w="0" w:type="dxa"/>
            <w:vAlign w:val="bottom"/>
          </w:tcPr>
          <w:p>
            <w:pPr>
              <w:spacing w:after="0"/>
              <w:rPr>
                <w:sz w:val="1"/>
                <w:szCs w:val="1"/>
                <w:color w:val="auto"/>
              </w:rPr>
            </w:pPr>
          </w:p>
        </w:tc>
      </w:tr>
      <w:tr>
        <w:trPr>
          <w:trHeight w:val="183"/>
        </w:trPr>
        <w:tc>
          <w:tcPr>
            <w:tcW w:w="3860" w:type="dxa"/>
            <w:vAlign w:val="bottom"/>
          </w:tcPr>
          <w:p>
            <w:pPr>
              <w:ind w:left="180"/>
              <w:spacing w:after="0"/>
              <w:rPr>
                <w:sz w:val="20"/>
                <w:szCs w:val="20"/>
                <w:color w:val="auto"/>
              </w:rPr>
            </w:pPr>
            <w:r>
              <w:rPr>
                <w:rFonts w:ascii="Calibri" w:cs="Calibri" w:eastAsia="Calibri" w:hAnsi="Calibri"/>
                <w:sz w:val="14"/>
                <w:szCs w:val="14"/>
                <w:color w:val="auto"/>
              </w:rPr>
              <w:t>Foreign currency translaton adjustment</w:t>
            </w:r>
          </w:p>
        </w:tc>
        <w:tc>
          <w:tcPr>
            <w:tcW w:w="104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w:t>
            </w:r>
          </w:p>
        </w:tc>
        <w:tc>
          <w:tcPr>
            <w:tcW w:w="74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Calibri" w:cs="Calibri" w:eastAsia="Calibri" w:hAnsi="Calibri"/>
                <w:sz w:val="14"/>
                <w:szCs w:val="14"/>
                <w:color w:val="auto"/>
                <w:w w:val="94"/>
              </w:rPr>
              <w:t>—</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4"/>
                <w:szCs w:val="14"/>
                <w:color w:val="auto"/>
              </w:rPr>
              <w:t>(3)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(3)</w:t>
            </w: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shd w:val="clear" w:color="auto" w:fill="CCEEFF"/>
          </w:tcPr>
          <w:p>
            <w:pPr>
              <w:ind w:left="180"/>
              <w:spacing w:after="0"/>
              <w:rPr>
                <w:sz w:val="20"/>
                <w:szCs w:val="20"/>
                <w:color w:val="auto"/>
              </w:rPr>
            </w:pPr>
            <w:r>
              <w:rPr>
                <w:rFonts w:ascii="Calibri" w:cs="Calibri" w:eastAsia="Calibri" w:hAnsi="Calibri"/>
                <w:sz w:val="14"/>
                <w:szCs w:val="14"/>
                <w:color w:val="auto"/>
              </w:rPr>
              <w:t>Net loss</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Calibri" w:cs="Calibri" w:eastAsia="Calibri" w:hAnsi="Calibri"/>
                <w:sz w:val="14"/>
                <w:szCs w:val="14"/>
                <w:color w:val="auto"/>
              </w:rPr>
              <w:t>—</w:t>
            </w:r>
          </w:p>
        </w:tc>
        <w:tc>
          <w:tcPr>
            <w:tcW w:w="7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w w:val="94"/>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(19,785)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(19,785)</w:t>
            </w:r>
          </w:p>
        </w:tc>
        <w:tc>
          <w:tcPr>
            <w:tcW w:w="0" w:type="dxa"/>
            <w:vAlign w:val="bottom"/>
          </w:tcPr>
          <w:p>
            <w:pPr>
              <w:spacing w:after="0"/>
              <w:rPr>
                <w:sz w:val="1"/>
                <w:szCs w:val="1"/>
                <w:color w:val="auto"/>
              </w:rPr>
            </w:pPr>
          </w:p>
        </w:tc>
      </w:tr>
      <w:tr>
        <w:trPr>
          <w:trHeight w:val="190"/>
        </w:trPr>
        <w:tc>
          <w:tcPr>
            <w:tcW w:w="3860" w:type="dxa"/>
            <w:vAlign w:val="bottom"/>
          </w:tcPr>
          <w:p>
            <w:pPr>
              <w:ind w:left="20"/>
              <w:spacing w:after="0"/>
              <w:rPr>
                <w:sz w:val="20"/>
                <w:szCs w:val="20"/>
                <w:color w:val="auto"/>
              </w:rPr>
            </w:pPr>
            <w:r>
              <w:rPr>
                <w:rFonts w:ascii="Calibri" w:cs="Calibri" w:eastAsia="Calibri" w:hAnsi="Calibri"/>
                <w:sz w:val="14"/>
                <w:szCs w:val="14"/>
                <w:b w:val="1"/>
                <w:bCs w:val="1"/>
                <w:color w:val="auto"/>
              </w:rPr>
              <w:t>Balance at December 31, 2024</w:t>
            </w:r>
          </w:p>
        </w:tc>
        <w:tc>
          <w:tcPr>
            <w:tcW w:w="9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13,025,627</w:t>
            </w:r>
          </w:p>
        </w:tc>
        <w:tc>
          <w:tcPr>
            <w:tcW w:w="8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588"/>
              <w:spacing w:after="0"/>
              <w:rPr>
                <w:sz w:val="20"/>
                <w:szCs w:val="20"/>
                <w:color w:val="auto"/>
              </w:rPr>
            </w:pPr>
            <w:r>
              <w:rPr>
                <w:rFonts w:ascii="Calibri" w:cs="Calibri" w:eastAsia="Calibri" w:hAnsi="Calibri"/>
                <w:sz w:val="14"/>
                <w:szCs w:val="14"/>
                <w:color w:val="auto"/>
                <w:w w:val="83"/>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334,330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(348)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Calibri" w:cs="Calibri" w:eastAsia="Calibri" w:hAnsi="Calibri"/>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(389,737)</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(55,754)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19"/>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0" w:right="559" w:bottom="1440" w:gutter="0" w:footer="0" w:header="0"/>
        </w:sectPr>
      </w:pPr>
    </w:p>
    <w:bookmarkStart w:id="77" w:name="page78"/>
    <w:bookmarkEnd w:id="77"/>
    <w:p>
      <w:pPr>
        <w:spacing w:after="0"/>
        <w:rPr>
          <w:sz w:val="20"/>
          <w:szCs w:val="20"/>
          <w:color w:val="auto"/>
        </w:rPr>
      </w:pPr>
      <w:r>
        <w:rPr>
          <w:rFonts w:ascii="Calibri" w:cs="Calibri" w:eastAsia="Calibri" w:hAnsi="Calibri"/>
          <w:sz w:val="18"/>
          <w:szCs w:val="18"/>
          <w:b w:val="1"/>
          <w:bCs w:val="1"/>
          <w:color w:val="auto"/>
        </w:rPr>
        <w:t>GREENIDGE GENERATION HOLDINGS INC.</w:t>
      </w:r>
    </w:p>
    <w:p>
      <w:pPr>
        <w:spacing w:after="0" w:line="235" w:lineRule="auto"/>
        <w:rPr>
          <w:sz w:val="20"/>
          <w:szCs w:val="20"/>
          <w:color w:val="auto"/>
        </w:rPr>
      </w:pPr>
      <w:r>
        <w:rPr>
          <w:rFonts w:ascii="Calibri" w:cs="Calibri" w:eastAsia="Calibri" w:hAnsi="Calibri"/>
          <w:sz w:val="18"/>
          <w:szCs w:val="18"/>
          <w:b w:val="1"/>
          <w:bCs w:val="1"/>
          <w:color w:val="auto"/>
        </w:rPr>
        <w:t>CONSOLIDATED STATEMENTS OF CASH FLOWS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4"/>
          </w:tcPr>
          <w:p>
            <w:pPr>
              <w:jc w:val="right"/>
              <w:ind w:right="559"/>
              <w:spacing w:after="0"/>
              <w:rPr>
                <w:sz w:val="20"/>
                <w:szCs w:val="20"/>
                <w:color w:val="auto"/>
              </w:rPr>
            </w:pPr>
            <w:r>
              <w:rPr>
                <w:rFonts w:ascii="Calibri" w:cs="Calibri" w:eastAsia="Calibri" w:hAnsi="Calibri"/>
                <w:sz w:val="14"/>
                <w:szCs w:val="14"/>
                <w:b w:val="1"/>
                <w:bCs w:val="1"/>
                <w:color w:val="auto"/>
              </w:rPr>
              <w:t>Years Ended December 31,</w:t>
            </w:r>
          </w:p>
        </w:tc>
      </w:tr>
      <w:tr>
        <w:trPr>
          <w:trHeight w:val="216"/>
        </w:trPr>
        <w:tc>
          <w:tcPr>
            <w:tcW w:w="8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79"/>
              <w:spacing w:after="0"/>
              <w:rPr>
                <w:sz w:val="20"/>
                <w:szCs w:val="20"/>
                <w:color w:val="auto"/>
              </w:rPr>
            </w:pPr>
            <w:r>
              <w:rPr>
                <w:rFonts w:ascii="Calibri" w:cs="Calibri" w:eastAsia="Calibri" w:hAnsi="Calibri"/>
                <w:sz w:val="14"/>
                <w:szCs w:val="14"/>
                <w:b w:val="1"/>
                <w:bCs w:val="1"/>
                <w:color w:val="auto"/>
              </w:rPr>
              <w:t>2024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Calibri" w:cs="Calibri" w:eastAsia="Calibri" w:hAnsi="Calibri"/>
                <w:sz w:val="14"/>
                <w:szCs w:val="14"/>
                <w:b w:val="1"/>
                <w:bCs w:val="1"/>
                <w:color w:val="auto"/>
              </w:rPr>
              <w:t>2023</w:t>
            </w:r>
          </w:p>
        </w:tc>
      </w:tr>
      <w:tr>
        <w:trPr>
          <w:trHeight w:val="33"/>
        </w:trPr>
        <w:tc>
          <w:tcPr>
            <w:tcW w:w="8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836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OPERATING ACTIVITIES FROM CONTINUING OPERATIONS:</w:t>
            </w: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93"/>
        </w:trPr>
        <w:tc>
          <w:tcPr>
            <w:tcW w:w="8360" w:type="dxa"/>
            <w:vAlign w:val="bottom"/>
          </w:tcPr>
          <w:p>
            <w:pPr>
              <w:ind w:left="160"/>
              <w:spacing w:after="0" w:line="193" w:lineRule="exact"/>
              <w:rPr>
                <w:sz w:val="20"/>
                <w:szCs w:val="20"/>
                <w:color w:val="auto"/>
              </w:rPr>
            </w:pPr>
            <w:r>
              <w:rPr>
                <w:rFonts w:ascii="Calibri" w:cs="Calibri" w:eastAsia="Calibri" w:hAnsi="Calibri"/>
                <w:sz w:val="16"/>
                <w:szCs w:val="16"/>
                <w:color w:val="auto"/>
              </w:rPr>
              <w:t>Net loss</w:t>
            </w:r>
          </w:p>
        </w:tc>
        <w:tc>
          <w:tcPr>
            <w:tcW w:w="320" w:type="dxa"/>
            <w:vAlign w:val="bottom"/>
          </w:tcPr>
          <w:p>
            <w:pPr>
              <w:jc w:val="right"/>
              <w:ind w:right="139"/>
              <w:spacing w:after="0" w:line="193" w:lineRule="exact"/>
              <w:rPr>
                <w:sz w:val="20"/>
                <w:szCs w:val="20"/>
                <w:color w:val="auto"/>
              </w:rPr>
            </w:pPr>
            <w:r>
              <w:rPr>
                <w:rFonts w:ascii="Calibri" w:cs="Calibri" w:eastAsia="Calibri" w:hAnsi="Calibri"/>
                <w:sz w:val="16"/>
                <w:szCs w:val="16"/>
                <w:color w:val="auto"/>
                <w:w w:val="97"/>
              </w:rPr>
              <w:t>$</w:t>
            </w: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(19,785)</w:t>
            </w:r>
          </w:p>
        </w:tc>
        <w:tc>
          <w:tcPr>
            <w:tcW w:w="80" w:type="dxa"/>
            <w:vAlign w:val="bottom"/>
          </w:tcPr>
          <w:p>
            <w:pPr>
              <w:spacing w:after="0"/>
              <w:rPr>
                <w:sz w:val="16"/>
                <w:szCs w:val="16"/>
                <w:color w:val="auto"/>
              </w:rPr>
            </w:pPr>
          </w:p>
        </w:tc>
        <w:tc>
          <w:tcPr>
            <w:tcW w:w="340" w:type="dxa"/>
            <w:vAlign w:val="bottom"/>
          </w:tcPr>
          <w:p>
            <w:pPr>
              <w:jc w:val="right"/>
              <w:ind w:right="159"/>
              <w:spacing w:after="0" w:line="193" w:lineRule="exact"/>
              <w:rPr>
                <w:sz w:val="20"/>
                <w:szCs w:val="20"/>
                <w:color w:val="auto"/>
              </w:rPr>
            </w:pPr>
            <w:r>
              <w:rPr>
                <w:rFonts w:ascii="Calibri" w:cs="Calibri" w:eastAsia="Calibri" w:hAnsi="Calibri"/>
                <w:sz w:val="16"/>
                <w:szCs w:val="16"/>
                <w:color w:val="auto"/>
                <w:w w:val="97"/>
              </w:rPr>
              <w:t>$</w:t>
            </w: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(29,510)</w:t>
            </w:r>
          </w:p>
        </w:tc>
      </w:tr>
      <w:tr>
        <w:trPr>
          <w:trHeight w:val="36"/>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0"/>
        </w:trPr>
        <w:tc>
          <w:tcPr>
            <w:tcW w:w="836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6"/>
                <w:szCs w:val="16"/>
                <w:color w:val="auto"/>
              </w:rPr>
              <w:t>Loss from discontnued operatons</w:t>
            </w: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(471)</w:t>
            </w:r>
          </w:p>
        </w:tc>
      </w:tr>
      <w:tr>
        <w:trPr>
          <w:trHeight w:val="195"/>
        </w:trPr>
        <w:tc>
          <w:tcPr>
            <w:tcW w:w="8360" w:type="dxa"/>
            <w:vAlign w:val="bottom"/>
          </w:tcPr>
          <w:p>
            <w:pPr>
              <w:ind w:left="140"/>
              <w:spacing w:after="0"/>
              <w:rPr>
                <w:sz w:val="20"/>
                <w:szCs w:val="20"/>
                <w:color w:val="auto"/>
              </w:rPr>
            </w:pPr>
            <w:r>
              <w:rPr>
                <w:rFonts w:ascii="Calibri" w:cs="Calibri" w:eastAsia="Calibri" w:hAnsi="Calibri"/>
                <w:sz w:val="16"/>
                <w:szCs w:val="16"/>
                <w:color w:val="auto"/>
              </w:rPr>
              <w:t>Net loss from contnuing operatons</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(19,785)</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(29,039)</w:t>
            </w:r>
          </w:p>
        </w:tc>
      </w:tr>
      <w:tr>
        <w:trPr>
          <w:trHeight w:val="28"/>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Adjustments to reconcile net loss from contnuing operatons to net cash fow from operatng actvites:</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193"/>
        </w:trPr>
        <w:tc>
          <w:tcPr>
            <w:tcW w:w="8360" w:type="dxa"/>
            <w:vAlign w:val="bottom"/>
          </w:tcPr>
          <w:p>
            <w:pPr>
              <w:ind w:left="340"/>
              <w:spacing w:after="0" w:line="193" w:lineRule="exact"/>
              <w:rPr>
                <w:sz w:val="20"/>
                <w:szCs w:val="20"/>
                <w:color w:val="auto"/>
              </w:rPr>
            </w:pPr>
            <w:r>
              <w:rPr>
                <w:rFonts w:ascii="Calibri" w:cs="Calibri" w:eastAsia="Calibri" w:hAnsi="Calibri"/>
                <w:sz w:val="16"/>
                <w:szCs w:val="16"/>
                <w:color w:val="auto"/>
              </w:rPr>
              <w:t>Depreciaton</w:t>
            </w:r>
          </w:p>
        </w:tc>
        <w:tc>
          <w:tcPr>
            <w:tcW w:w="32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13,471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13,602</w:t>
            </w:r>
          </w:p>
        </w:tc>
      </w:tr>
      <w:tr>
        <w:trPr>
          <w:trHeight w:val="36"/>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Change in fair value of warrant asset</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477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8360" w:type="dxa"/>
            <w:vAlign w:val="bottom"/>
          </w:tcPr>
          <w:p>
            <w:pPr>
              <w:ind w:left="340"/>
              <w:spacing w:after="0" w:line="193" w:lineRule="exact"/>
              <w:rPr>
                <w:sz w:val="20"/>
                <w:szCs w:val="20"/>
                <w:color w:val="auto"/>
              </w:rPr>
            </w:pPr>
            <w:r>
              <w:rPr>
                <w:rFonts w:ascii="Calibri" w:cs="Calibri" w:eastAsia="Calibri" w:hAnsi="Calibri"/>
                <w:sz w:val="16"/>
                <w:szCs w:val="16"/>
                <w:color w:val="auto"/>
              </w:rPr>
              <w:t>Impairment of long-lived assets</w:t>
            </w:r>
          </w:p>
        </w:tc>
        <w:tc>
          <w:tcPr>
            <w:tcW w:w="32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169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4,000</w:t>
            </w:r>
          </w:p>
        </w:tc>
      </w:tr>
      <w:tr>
        <w:trPr>
          <w:trHeight w:val="36"/>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Impairment of equity securites</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869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8360" w:type="dxa"/>
            <w:vAlign w:val="bottom"/>
          </w:tcPr>
          <w:p>
            <w:pPr>
              <w:ind w:left="340"/>
              <w:spacing w:after="0" w:line="193" w:lineRule="exact"/>
              <w:rPr>
                <w:sz w:val="20"/>
                <w:szCs w:val="20"/>
                <w:color w:val="auto"/>
              </w:rPr>
            </w:pPr>
            <w:r>
              <w:rPr>
                <w:rFonts w:ascii="Calibri" w:cs="Calibri" w:eastAsia="Calibri" w:hAnsi="Calibri"/>
                <w:sz w:val="16"/>
                <w:szCs w:val="16"/>
                <w:color w:val="auto"/>
              </w:rPr>
              <w:t>Amortzaton of debt issuance costs</w:t>
            </w:r>
          </w:p>
        </w:tc>
        <w:tc>
          <w:tcPr>
            <w:tcW w:w="32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974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2,611</w:t>
            </w:r>
          </w:p>
        </w:tc>
      </w:tr>
      <w:tr>
        <w:trPr>
          <w:trHeight w:val="36"/>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Loss on debt extnguishment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591</w:t>
            </w:r>
          </w:p>
        </w:tc>
      </w:tr>
      <w:tr>
        <w:trPr>
          <w:trHeight w:val="193"/>
        </w:trPr>
        <w:tc>
          <w:tcPr>
            <w:tcW w:w="8360" w:type="dxa"/>
            <w:vAlign w:val="bottom"/>
          </w:tcPr>
          <w:p>
            <w:pPr>
              <w:ind w:left="340"/>
              <w:spacing w:after="0" w:line="193" w:lineRule="exact"/>
              <w:rPr>
                <w:sz w:val="20"/>
                <w:szCs w:val="20"/>
                <w:color w:val="auto"/>
              </w:rPr>
            </w:pPr>
            <w:r>
              <w:rPr>
                <w:rFonts w:ascii="Calibri" w:cs="Calibri" w:eastAsia="Calibri" w:hAnsi="Calibri"/>
                <w:sz w:val="16"/>
                <w:szCs w:val="16"/>
                <w:color w:val="auto"/>
              </w:rPr>
              <w:t>Stock-based compensaton expense</w:t>
            </w:r>
          </w:p>
        </w:tc>
        <w:tc>
          <w:tcPr>
            <w:tcW w:w="32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2,182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2,344</w:t>
            </w:r>
          </w:p>
        </w:tc>
      </w:tr>
      <w:tr>
        <w:trPr>
          <w:trHeight w:val="36"/>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Remeasurement of environmental liability</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453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2,409</w:t>
            </w:r>
          </w:p>
        </w:tc>
      </w:tr>
      <w:tr>
        <w:trPr>
          <w:trHeight w:val="193"/>
        </w:trPr>
        <w:tc>
          <w:tcPr>
            <w:tcW w:w="8360" w:type="dxa"/>
            <w:vAlign w:val="bottom"/>
          </w:tcPr>
          <w:p>
            <w:pPr>
              <w:ind w:left="340"/>
              <w:spacing w:after="0" w:line="193" w:lineRule="exact"/>
              <w:rPr>
                <w:sz w:val="20"/>
                <w:szCs w:val="20"/>
                <w:color w:val="auto"/>
              </w:rPr>
            </w:pPr>
            <w:r>
              <w:rPr>
                <w:rFonts w:ascii="Calibri" w:cs="Calibri" w:eastAsia="Calibri" w:hAnsi="Calibri"/>
                <w:sz w:val="16"/>
                <w:szCs w:val="16"/>
                <w:color w:val="auto"/>
              </w:rPr>
              <w:t>Professional fees paid in common stock</w:t>
            </w:r>
          </w:p>
        </w:tc>
        <w:tc>
          <w:tcPr>
            <w:tcW w:w="320" w:type="dxa"/>
            <w:vAlign w:val="bottom"/>
          </w:tcPr>
          <w:p>
            <w:pPr>
              <w:spacing w:after="0"/>
              <w:rPr>
                <w:sz w:val="16"/>
                <w:szCs w:val="16"/>
                <w:color w:val="auto"/>
              </w:rPr>
            </w:pPr>
          </w:p>
        </w:tc>
        <w:tc>
          <w:tcPr>
            <w:tcW w:w="116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3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250</w:t>
            </w:r>
          </w:p>
        </w:tc>
      </w:tr>
      <w:tr>
        <w:trPr>
          <w:trHeight w:val="36"/>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Loss (gain) on sale of assets</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641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(9,903)</w:t>
            </w:r>
          </w:p>
        </w:tc>
      </w:tr>
      <w:tr>
        <w:trPr>
          <w:trHeight w:val="193"/>
        </w:trPr>
        <w:tc>
          <w:tcPr>
            <w:tcW w:w="8360" w:type="dxa"/>
            <w:vAlign w:val="bottom"/>
          </w:tcPr>
          <w:p>
            <w:pPr>
              <w:ind w:left="340"/>
              <w:spacing w:after="0" w:line="193" w:lineRule="exact"/>
              <w:rPr>
                <w:sz w:val="20"/>
                <w:szCs w:val="20"/>
                <w:color w:val="auto"/>
              </w:rPr>
            </w:pPr>
            <w:r>
              <w:rPr>
                <w:rFonts w:ascii="Calibri" w:cs="Calibri" w:eastAsia="Calibri" w:hAnsi="Calibri"/>
                <w:sz w:val="16"/>
                <w:szCs w:val="16"/>
                <w:color w:val="auto"/>
              </w:rPr>
              <w:t>Revenues from digital assets producton</w:t>
            </w:r>
          </w:p>
        </w:tc>
        <w:tc>
          <w:tcPr>
            <w:tcW w:w="32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(19,061)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36"/>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Proceeds from sale of digital assets</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11,149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w:t>
            </w:r>
          </w:p>
        </w:tc>
      </w:tr>
      <w:tr>
        <w:trPr>
          <w:trHeight w:val="202"/>
        </w:trPr>
        <w:tc>
          <w:tcPr>
            <w:tcW w:w="8360" w:type="dxa"/>
            <w:vAlign w:val="bottom"/>
          </w:tcPr>
          <w:p>
            <w:pPr>
              <w:ind w:left="340"/>
              <w:spacing w:after="0" w:line="193" w:lineRule="exact"/>
              <w:rPr>
                <w:sz w:val="20"/>
                <w:szCs w:val="20"/>
                <w:color w:val="auto"/>
              </w:rPr>
            </w:pPr>
            <w:r>
              <w:rPr>
                <w:rFonts w:ascii="Calibri" w:cs="Calibri" w:eastAsia="Calibri" w:hAnsi="Calibri"/>
                <w:sz w:val="16"/>
                <w:szCs w:val="16"/>
                <w:color w:val="auto"/>
              </w:rPr>
              <w:t>Gain on digital assets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alibri" w:cs="Calibri" w:eastAsia="Calibri" w:hAnsi="Calibri"/>
                <w:sz w:val="16"/>
                <w:szCs w:val="16"/>
                <w:color w:val="auto"/>
              </w:rPr>
              <w:t>(2,154)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8"/>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9"/>
        </w:trPr>
        <w:tc>
          <w:tcPr>
            <w:tcW w:w="836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Changes in operatng assets and liabilites:</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193"/>
        </w:trPr>
        <w:tc>
          <w:tcPr>
            <w:tcW w:w="8360" w:type="dxa"/>
            <w:vAlign w:val="bottom"/>
          </w:tcPr>
          <w:p>
            <w:pPr>
              <w:ind w:left="520"/>
              <w:spacing w:after="0" w:line="193" w:lineRule="exact"/>
              <w:rPr>
                <w:sz w:val="20"/>
                <w:szCs w:val="20"/>
                <w:color w:val="auto"/>
              </w:rPr>
            </w:pPr>
            <w:r>
              <w:rPr>
                <w:rFonts w:ascii="Calibri" w:cs="Calibri" w:eastAsia="Calibri" w:hAnsi="Calibri"/>
                <w:sz w:val="16"/>
                <w:szCs w:val="16"/>
                <w:color w:val="auto"/>
              </w:rPr>
              <w:t>Accounts receivable</w:t>
            </w:r>
          </w:p>
        </w:tc>
        <w:tc>
          <w:tcPr>
            <w:tcW w:w="32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(1,135)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2,338</w:t>
            </w:r>
          </w:p>
        </w:tc>
      </w:tr>
      <w:tr>
        <w:trPr>
          <w:trHeight w:val="36"/>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520"/>
              <w:spacing w:after="0" w:line="193" w:lineRule="exact"/>
              <w:rPr>
                <w:sz w:val="20"/>
                <w:szCs w:val="20"/>
                <w:color w:val="auto"/>
              </w:rPr>
            </w:pPr>
            <w:r>
              <w:rPr>
                <w:rFonts w:ascii="Calibri" w:cs="Calibri" w:eastAsia="Calibri" w:hAnsi="Calibri"/>
                <w:sz w:val="16"/>
                <w:szCs w:val="16"/>
                <w:color w:val="auto"/>
              </w:rPr>
              <w:t>Digital Assets</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w:t>
            </w:r>
          </w:p>
        </w:tc>
      </w:tr>
      <w:tr>
        <w:trPr>
          <w:trHeight w:val="193"/>
        </w:trPr>
        <w:tc>
          <w:tcPr>
            <w:tcW w:w="8360" w:type="dxa"/>
            <w:vAlign w:val="bottom"/>
          </w:tcPr>
          <w:p>
            <w:pPr>
              <w:ind w:left="520"/>
              <w:spacing w:after="0" w:line="193" w:lineRule="exact"/>
              <w:rPr>
                <w:sz w:val="20"/>
                <w:szCs w:val="20"/>
                <w:color w:val="auto"/>
              </w:rPr>
            </w:pPr>
            <w:r>
              <w:rPr>
                <w:rFonts w:ascii="Calibri" w:cs="Calibri" w:eastAsia="Calibri" w:hAnsi="Calibri"/>
                <w:sz w:val="16"/>
                <w:szCs w:val="16"/>
                <w:color w:val="auto"/>
              </w:rPr>
              <w:t>Emissions and carbon ofset credits</w:t>
            </w:r>
          </w:p>
        </w:tc>
        <w:tc>
          <w:tcPr>
            <w:tcW w:w="32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(1,430)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(4,434)</w:t>
            </w:r>
          </w:p>
        </w:tc>
      </w:tr>
      <w:tr>
        <w:trPr>
          <w:trHeight w:val="36"/>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520"/>
              <w:spacing w:after="0" w:line="193" w:lineRule="exact"/>
              <w:rPr>
                <w:sz w:val="20"/>
                <w:szCs w:val="20"/>
                <w:color w:val="auto"/>
              </w:rPr>
            </w:pPr>
            <w:r>
              <w:rPr>
                <w:rFonts w:ascii="Calibri" w:cs="Calibri" w:eastAsia="Calibri" w:hAnsi="Calibri"/>
                <w:sz w:val="16"/>
                <w:szCs w:val="16"/>
                <w:color w:val="auto"/>
              </w:rPr>
              <w:t>Prepaid expenses and other assets</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2,829</w:t>
            </w:r>
          </w:p>
        </w:tc>
      </w:tr>
      <w:tr>
        <w:trPr>
          <w:trHeight w:val="193"/>
        </w:trPr>
        <w:tc>
          <w:tcPr>
            <w:tcW w:w="8360" w:type="dxa"/>
            <w:vAlign w:val="bottom"/>
          </w:tcPr>
          <w:p>
            <w:pPr>
              <w:ind w:left="520"/>
              <w:spacing w:after="0" w:line="193" w:lineRule="exact"/>
              <w:rPr>
                <w:sz w:val="20"/>
                <w:szCs w:val="20"/>
                <w:color w:val="auto"/>
              </w:rPr>
            </w:pPr>
            <w:r>
              <w:rPr>
                <w:rFonts w:ascii="Calibri" w:cs="Calibri" w:eastAsia="Calibri" w:hAnsi="Calibri"/>
                <w:sz w:val="16"/>
                <w:szCs w:val="16"/>
                <w:color w:val="auto"/>
              </w:rPr>
              <w:t>Accounts payable</w:t>
            </w:r>
          </w:p>
        </w:tc>
        <w:tc>
          <w:tcPr>
            <w:tcW w:w="32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1,060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(2,748)</w:t>
            </w:r>
          </w:p>
        </w:tc>
      </w:tr>
      <w:tr>
        <w:trPr>
          <w:trHeight w:val="36"/>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520"/>
              <w:spacing w:after="0" w:line="193" w:lineRule="exact"/>
              <w:rPr>
                <w:sz w:val="20"/>
                <w:szCs w:val="20"/>
                <w:color w:val="auto"/>
              </w:rPr>
            </w:pPr>
            <w:r>
              <w:rPr>
                <w:rFonts w:ascii="Calibri" w:cs="Calibri" w:eastAsia="Calibri" w:hAnsi="Calibri"/>
                <w:sz w:val="16"/>
                <w:szCs w:val="16"/>
                <w:color w:val="auto"/>
              </w:rPr>
              <w:t>Accrued emissions expense</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(1,852)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4,468</w:t>
            </w:r>
          </w:p>
        </w:tc>
      </w:tr>
      <w:tr>
        <w:trPr>
          <w:trHeight w:val="194"/>
        </w:trPr>
        <w:tc>
          <w:tcPr>
            <w:tcW w:w="8360" w:type="dxa"/>
            <w:vAlign w:val="bottom"/>
          </w:tcPr>
          <w:p>
            <w:pPr>
              <w:ind w:left="520"/>
              <w:spacing w:after="0" w:line="193" w:lineRule="exact"/>
              <w:rPr>
                <w:sz w:val="20"/>
                <w:szCs w:val="20"/>
                <w:color w:val="auto"/>
              </w:rPr>
            </w:pPr>
            <w:r>
              <w:rPr>
                <w:rFonts w:ascii="Calibri" w:cs="Calibri" w:eastAsia="Calibri" w:hAnsi="Calibri"/>
                <w:sz w:val="16"/>
                <w:szCs w:val="16"/>
                <w:color w:val="auto"/>
              </w:rPr>
              <w:t>Accrued expenses</w:t>
            </w:r>
          </w:p>
        </w:tc>
        <w:tc>
          <w:tcPr>
            <w:tcW w:w="32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(1,846)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(3,407)</w:t>
            </w:r>
          </w:p>
        </w:tc>
      </w:tr>
      <w:tr>
        <w:trPr>
          <w:trHeight w:val="36"/>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520"/>
              <w:spacing w:after="0" w:line="193" w:lineRule="exact"/>
              <w:rPr>
                <w:sz w:val="20"/>
                <w:szCs w:val="20"/>
                <w:color w:val="auto"/>
              </w:rPr>
            </w:pPr>
            <w:r>
              <w:rPr>
                <w:rFonts w:ascii="Calibri" w:cs="Calibri" w:eastAsia="Calibri" w:hAnsi="Calibri"/>
                <w:sz w:val="16"/>
                <w:szCs w:val="16"/>
                <w:color w:val="auto"/>
              </w:rPr>
              <w:t>Income tax receivable</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857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(59)</w:t>
            </w:r>
          </w:p>
        </w:tc>
      </w:tr>
      <w:tr>
        <w:trPr>
          <w:trHeight w:val="193"/>
        </w:trPr>
        <w:tc>
          <w:tcPr>
            <w:tcW w:w="8360" w:type="dxa"/>
            <w:vAlign w:val="bottom"/>
          </w:tcPr>
          <w:p>
            <w:pPr>
              <w:ind w:left="520"/>
              <w:spacing w:after="0" w:line="193" w:lineRule="exact"/>
              <w:rPr>
                <w:sz w:val="20"/>
                <w:szCs w:val="20"/>
                <w:color w:val="auto"/>
              </w:rPr>
            </w:pPr>
            <w:r>
              <w:rPr>
                <w:rFonts w:ascii="Calibri" w:cs="Calibri" w:eastAsia="Calibri" w:hAnsi="Calibri"/>
                <w:sz w:val="16"/>
                <w:szCs w:val="16"/>
                <w:color w:val="auto"/>
              </w:rPr>
              <w:t>Contract liabilites</w:t>
            </w:r>
          </w:p>
        </w:tc>
        <w:tc>
          <w:tcPr>
            <w:tcW w:w="32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2,339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36"/>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520"/>
              <w:spacing w:after="0" w:line="193" w:lineRule="exact"/>
              <w:rPr>
                <w:sz w:val="20"/>
                <w:szCs w:val="20"/>
                <w:color w:val="auto"/>
              </w:rPr>
            </w:pPr>
            <w:r>
              <w:rPr>
                <w:rFonts w:ascii="Calibri" w:cs="Calibri" w:eastAsia="Calibri" w:hAnsi="Calibri"/>
                <w:sz w:val="16"/>
                <w:szCs w:val="16"/>
                <w:color w:val="auto"/>
              </w:rPr>
              <w:t>Other long-term liabilites</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2,543</w:t>
            </w:r>
          </w:p>
        </w:tc>
      </w:tr>
      <w:tr>
        <w:trPr>
          <w:trHeight w:val="194"/>
        </w:trPr>
        <w:tc>
          <w:tcPr>
            <w:tcW w:w="8360" w:type="dxa"/>
            <w:vAlign w:val="bottom"/>
          </w:tcPr>
          <w:p>
            <w:pPr>
              <w:ind w:left="520"/>
              <w:spacing w:after="0" w:line="193" w:lineRule="exact"/>
              <w:rPr>
                <w:sz w:val="20"/>
                <w:szCs w:val="20"/>
                <w:color w:val="auto"/>
              </w:rPr>
            </w:pPr>
            <w:r>
              <w:rPr>
                <w:rFonts w:ascii="Calibri" w:cs="Calibri" w:eastAsia="Calibri" w:hAnsi="Calibri"/>
                <w:sz w:val="16"/>
                <w:szCs w:val="16"/>
                <w:color w:val="auto"/>
              </w:rPr>
              <w:t>Other</w:t>
            </w:r>
          </w:p>
        </w:tc>
        <w:tc>
          <w:tcPr>
            <w:tcW w:w="32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(192)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(551)</w:t>
            </w:r>
          </w:p>
        </w:tc>
      </w:tr>
      <w:tr>
        <w:trPr>
          <w:trHeight w:val="36"/>
        </w:trPr>
        <w:tc>
          <w:tcPr>
            <w:tcW w:w="83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3"/>
        </w:trPr>
        <w:tc>
          <w:tcPr>
            <w:tcW w:w="8360" w:type="dxa"/>
            <w:vAlign w:val="bottom"/>
            <w:tcBorders>
              <w:bottom w:val="single" w:sz="8" w:color="CCEEFF"/>
            </w:tcBorders>
            <w:shd w:val="clear" w:color="auto" w:fill="CCEEFF"/>
          </w:tcPr>
          <w:p>
            <w:pPr>
              <w:ind w:left="700"/>
              <w:spacing w:after="0" w:line="182" w:lineRule="exact"/>
              <w:rPr>
                <w:sz w:val="20"/>
                <w:szCs w:val="20"/>
                <w:color w:val="auto"/>
              </w:rPr>
            </w:pPr>
            <w:r>
              <w:rPr>
                <w:rFonts w:ascii="Calibri" w:cs="Calibri" w:eastAsia="Calibri" w:hAnsi="Calibri"/>
                <w:sz w:val="16"/>
                <w:szCs w:val="16"/>
                <w:color w:val="auto"/>
              </w:rPr>
              <w:t>Net cash fow used for operatng actvites from contnuing operatons</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(12,044)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(12,155)</w:t>
            </w:r>
          </w:p>
        </w:tc>
      </w:tr>
      <w:tr>
        <w:trPr>
          <w:trHeight w:val="174"/>
        </w:trPr>
        <w:tc>
          <w:tcPr>
            <w:tcW w:w="8360" w:type="dxa"/>
            <w:vAlign w:val="bottom"/>
          </w:tcPr>
          <w:p>
            <w:pPr>
              <w:ind w:left="20"/>
              <w:spacing w:after="0" w:line="174" w:lineRule="exact"/>
              <w:rPr>
                <w:sz w:val="20"/>
                <w:szCs w:val="20"/>
                <w:color w:val="auto"/>
              </w:rPr>
            </w:pPr>
            <w:r>
              <w:rPr>
                <w:rFonts w:ascii="Calibri" w:cs="Calibri" w:eastAsia="Calibri" w:hAnsi="Calibri"/>
                <w:sz w:val="16"/>
                <w:szCs w:val="16"/>
                <w:color w:val="auto"/>
              </w:rPr>
              <w:t>INVESTING ACTIVITIES FROM CONTINUING OPERATIONS:</w:t>
            </w: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36"/>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160"/>
              <w:spacing w:after="0" w:line="193" w:lineRule="exact"/>
              <w:rPr>
                <w:sz w:val="20"/>
                <w:szCs w:val="20"/>
                <w:color w:val="auto"/>
              </w:rPr>
            </w:pPr>
            <w:r>
              <w:rPr>
                <w:rFonts w:ascii="Calibri" w:cs="Calibri" w:eastAsia="Calibri" w:hAnsi="Calibri"/>
                <w:sz w:val="16"/>
                <w:szCs w:val="16"/>
                <w:color w:val="auto"/>
              </w:rPr>
              <w:t>Purchases of and deposits for property and equipment</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(10,422)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(13,015)</w:t>
            </w:r>
          </w:p>
        </w:tc>
      </w:tr>
      <w:tr>
        <w:trPr>
          <w:trHeight w:val="193"/>
        </w:trPr>
        <w:tc>
          <w:tcPr>
            <w:tcW w:w="8360" w:type="dxa"/>
            <w:vAlign w:val="bottom"/>
          </w:tcPr>
          <w:p>
            <w:pPr>
              <w:ind w:left="160"/>
              <w:spacing w:after="0" w:line="193" w:lineRule="exact"/>
              <w:rPr>
                <w:sz w:val="20"/>
                <w:szCs w:val="20"/>
                <w:color w:val="auto"/>
              </w:rPr>
            </w:pPr>
            <w:r>
              <w:rPr>
                <w:rFonts w:ascii="Calibri" w:cs="Calibri" w:eastAsia="Calibri" w:hAnsi="Calibri"/>
                <w:sz w:val="16"/>
                <w:szCs w:val="16"/>
                <w:color w:val="auto"/>
              </w:rPr>
              <w:t>Proceeds from sale of digital assets</w:t>
            </w:r>
          </w:p>
        </w:tc>
        <w:tc>
          <w:tcPr>
            <w:tcW w:w="32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3,485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36"/>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29"/>
        </w:trPr>
        <w:tc>
          <w:tcPr>
            <w:tcW w:w="8360" w:type="dxa"/>
            <w:vAlign w:val="bottom"/>
            <w:tcBorders>
              <w:bottom w:val="single" w:sz="8" w:color="CCEEFF"/>
            </w:tcBorders>
            <w:shd w:val="clear" w:color="auto" w:fill="CCEEFF"/>
          </w:tcPr>
          <w:p>
            <w:pPr>
              <w:ind w:left="160"/>
              <w:spacing w:after="0" w:line="193" w:lineRule="exact"/>
              <w:rPr>
                <w:sz w:val="20"/>
                <w:szCs w:val="20"/>
                <w:color w:val="auto"/>
              </w:rPr>
            </w:pPr>
            <w:r>
              <w:rPr>
                <w:rFonts w:ascii="Calibri" w:cs="Calibri" w:eastAsia="Calibri" w:hAnsi="Calibri"/>
                <w:sz w:val="16"/>
                <w:szCs w:val="16"/>
                <w:color w:val="auto"/>
              </w:rPr>
              <w:t>Proceeds from sales of assets</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3,049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6,984</w:t>
            </w:r>
          </w:p>
        </w:tc>
      </w:tr>
      <w:tr>
        <w:trPr>
          <w:trHeight w:val="187"/>
        </w:trPr>
        <w:tc>
          <w:tcPr>
            <w:tcW w:w="8360" w:type="dxa"/>
            <w:vAlign w:val="bottom"/>
          </w:tcPr>
          <w:p>
            <w:pPr>
              <w:ind w:left="700"/>
              <w:spacing w:after="0" w:line="182" w:lineRule="exact"/>
              <w:rPr>
                <w:sz w:val="20"/>
                <w:szCs w:val="20"/>
                <w:color w:val="auto"/>
              </w:rPr>
            </w:pPr>
            <w:r>
              <w:rPr>
                <w:rFonts w:ascii="Calibri" w:cs="Calibri" w:eastAsia="Calibri" w:hAnsi="Calibri"/>
                <w:sz w:val="16"/>
                <w:szCs w:val="16"/>
                <w:color w:val="auto"/>
              </w:rPr>
              <w:t>Net cash fow used for investng actvites from contnuing operatons</w:t>
            </w: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(3,888)</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(6,031)</w:t>
            </w:r>
          </w:p>
        </w:tc>
      </w:tr>
      <w:tr>
        <w:trPr>
          <w:trHeight w:val="36"/>
        </w:trPr>
        <w:tc>
          <w:tcPr>
            <w:tcW w:w="83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9"/>
        </w:trPr>
        <w:tc>
          <w:tcPr>
            <w:tcW w:w="836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FINANCING ACTIVITIES FROM CONTINUING OPERATIONS:</w:t>
            </w: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94"/>
        </w:trPr>
        <w:tc>
          <w:tcPr>
            <w:tcW w:w="8360" w:type="dxa"/>
            <w:vAlign w:val="bottom"/>
          </w:tcPr>
          <w:p>
            <w:pPr>
              <w:ind w:left="160"/>
              <w:spacing w:after="0" w:line="193" w:lineRule="exact"/>
              <w:rPr>
                <w:sz w:val="20"/>
                <w:szCs w:val="20"/>
                <w:color w:val="auto"/>
              </w:rPr>
            </w:pPr>
            <w:r>
              <w:rPr>
                <w:rFonts w:ascii="Calibri" w:cs="Calibri" w:eastAsia="Calibri" w:hAnsi="Calibri"/>
                <w:sz w:val="16"/>
                <w:szCs w:val="16"/>
                <w:color w:val="auto"/>
              </w:rPr>
              <w:t>Proceeds from issuance of common stock, net of issuance costs</w:t>
            </w:r>
          </w:p>
        </w:tc>
        <w:tc>
          <w:tcPr>
            <w:tcW w:w="32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5,239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20,581</w:t>
            </w:r>
          </w:p>
        </w:tc>
      </w:tr>
      <w:tr>
        <w:trPr>
          <w:trHeight w:val="36"/>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160"/>
              <w:spacing w:after="0" w:line="193" w:lineRule="exact"/>
              <w:rPr>
                <w:sz w:val="20"/>
                <w:szCs w:val="20"/>
                <w:color w:val="auto"/>
              </w:rPr>
            </w:pPr>
            <w:r>
              <w:rPr>
                <w:rFonts w:ascii="Calibri" w:cs="Calibri" w:eastAsia="Calibri" w:hAnsi="Calibri"/>
                <w:sz w:val="16"/>
                <w:szCs w:val="16"/>
                <w:color w:val="auto"/>
              </w:rPr>
              <w:t>Proceeds from issuance of common stock and pre-funded warrants</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6,000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8360" w:type="dxa"/>
            <w:vAlign w:val="bottom"/>
          </w:tcPr>
          <w:p>
            <w:pPr>
              <w:ind w:left="160"/>
              <w:spacing w:after="0" w:line="193" w:lineRule="exact"/>
              <w:rPr>
                <w:sz w:val="20"/>
                <w:szCs w:val="20"/>
                <w:color w:val="auto"/>
              </w:rPr>
            </w:pPr>
            <w:r>
              <w:rPr>
                <w:rFonts w:ascii="Calibri" w:cs="Calibri" w:eastAsia="Calibri" w:hAnsi="Calibri"/>
                <w:sz w:val="16"/>
                <w:szCs w:val="16"/>
                <w:color w:val="auto"/>
              </w:rPr>
              <w:t>Principal payments on debt</w:t>
            </w:r>
          </w:p>
        </w:tc>
        <w:tc>
          <w:tcPr>
            <w:tcW w:w="320" w:type="dxa"/>
            <w:vAlign w:val="bottom"/>
          </w:tcPr>
          <w:p>
            <w:pPr>
              <w:spacing w:after="0"/>
              <w:rPr>
                <w:sz w:val="16"/>
                <w:szCs w:val="16"/>
                <w:color w:val="auto"/>
              </w:rPr>
            </w:pPr>
          </w:p>
        </w:tc>
        <w:tc>
          <w:tcPr>
            <w:tcW w:w="116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3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(6,809)</w:t>
            </w:r>
          </w:p>
        </w:tc>
      </w:tr>
      <w:tr>
        <w:trPr>
          <w:trHeight w:val="36"/>
        </w:trPr>
        <w:tc>
          <w:tcPr>
            <w:tcW w:w="83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3"/>
        </w:trPr>
        <w:tc>
          <w:tcPr>
            <w:tcW w:w="8360" w:type="dxa"/>
            <w:vAlign w:val="bottom"/>
            <w:tcBorders>
              <w:bottom w:val="single" w:sz="8" w:color="CCEEFF"/>
            </w:tcBorders>
            <w:shd w:val="clear" w:color="auto" w:fill="CCEEFF"/>
          </w:tcPr>
          <w:p>
            <w:pPr>
              <w:ind w:left="700"/>
              <w:spacing w:after="0" w:line="182" w:lineRule="exact"/>
              <w:rPr>
                <w:sz w:val="20"/>
                <w:szCs w:val="20"/>
                <w:color w:val="auto"/>
              </w:rPr>
            </w:pPr>
            <w:r>
              <w:rPr>
                <w:rFonts w:ascii="Calibri" w:cs="Calibri" w:eastAsia="Calibri" w:hAnsi="Calibri"/>
                <w:sz w:val="16"/>
                <w:szCs w:val="16"/>
                <w:color w:val="auto"/>
              </w:rPr>
              <w:t>Net cash fow provided by fnancing actvites from contnuing operatons</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11,239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13,772</w:t>
            </w:r>
          </w:p>
        </w:tc>
      </w:tr>
      <w:tr>
        <w:trPr>
          <w:trHeight w:val="173"/>
        </w:trPr>
        <w:tc>
          <w:tcPr>
            <w:tcW w:w="8360" w:type="dxa"/>
            <w:vAlign w:val="bottom"/>
          </w:tcPr>
          <w:p>
            <w:pPr>
              <w:ind w:left="20"/>
              <w:spacing w:after="0" w:line="174" w:lineRule="exact"/>
              <w:rPr>
                <w:sz w:val="20"/>
                <w:szCs w:val="20"/>
                <w:color w:val="auto"/>
              </w:rPr>
            </w:pPr>
            <w:r>
              <w:rPr>
                <w:rFonts w:ascii="Calibri" w:cs="Calibri" w:eastAsia="Calibri" w:hAnsi="Calibri"/>
                <w:sz w:val="16"/>
                <w:szCs w:val="16"/>
                <w:color w:val="auto"/>
              </w:rPr>
              <w:t>Discontnued Operatons:</w:t>
            </w: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36"/>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160"/>
              <w:spacing w:after="0" w:line="193" w:lineRule="exact"/>
              <w:rPr>
                <w:sz w:val="20"/>
                <w:szCs w:val="20"/>
                <w:color w:val="auto"/>
              </w:rPr>
            </w:pPr>
            <w:r>
              <w:rPr>
                <w:rFonts w:ascii="Calibri" w:cs="Calibri" w:eastAsia="Calibri" w:hAnsi="Calibri"/>
                <w:sz w:val="16"/>
                <w:szCs w:val="16"/>
                <w:color w:val="auto"/>
              </w:rPr>
              <w:t>Net cash fow from operatng actvites of discontnued operatons</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(816)</w:t>
            </w:r>
          </w:p>
        </w:tc>
      </w:tr>
      <w:tr>
        <w:trPr>
          <w:trHeight w:val="194"/>
        </w:trPr>
        <w:tc>
          <w:tcPr>
            <w:tcW w:w="8360" w:type="dxa"/>
            <w:vAlign w:val="bottom"/>
          </w:tcPr>
          <w:p>
            <w:pPr>
              <w:ind w:left="160"/>
              <w:spacing w:after="0" w:line="193" w:lineRule="exact"/>
              <w:rPr>
                <w:sz w:val="20"/>
                <w:szCs w:val="20"/>
                <w:color w:val="auto"/>
              </w:rPr>
            </w:pPr>
            <w:r>
              <w:rPr>
                <w:rFonts w:ascii="Calibri" w:cs="Calibri" w:eastAsia="Calibri" w:hAnsi="Calibri"/>
                <w:sz w:val="16"/>
                <w:szCs w:val="16"/>
                <w:color w:val="auto"/>
              </w:rPr>
              <w:t>Net cash fow from investng actvites of discontnued operatons</w:t>
            </w:r>
          </w:p>
        </w:tc>
        <w:tc>
          <w:tcPr>
            <w:tcW w:w="320" w:type="dxa"/>
            <w:vAlign w:val="bottom"/>
          </w:tcPr>
          <w:p>
            <w:pPr>
              <w:spacing w:after="0"/>
              <w:rPr>
                <w:sz w:val="16"/>
                <w:szCs w:val="16"/>
                <w:color w:val="auto"/>
              </w:rPr>
            </w:pPr>
          </w:p>
        </w:tc>
        <w:tc>
          <w:tcPr>
            <w:tcW w:w="116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3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3,325</w:t>
            </w:r>
          </w:p>
        </w:tc>
      </w:tr>
      <w:tr>
        <w:trPr>
          <w:trHeight w:val="36"/>
        </w:trPr>
        <w:tc>
          <w:tcPr>
            <w:tcW w:w="83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3"/>
        </w:trPr>
        <w:tc>
          <w:tcPr>
            <w:tcW w:w="836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Increase in cash and cash equivalents from discontnued operatons</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2,509</w:t>
            </w:r>
          </w:p>
        </w:tc>
      </w:tr>
      <w:tr>
        <w:trPr>
          <w:trHeight w:val="187"/>
        </w:trPr>
        <w:tc>
          <w:tcPr>
            <w:tcW w:w="8360" w:type="dxa"/>
            <w:vAlign w:val="bottom"/>
          </w:tcPr>
          <w:p>
            <w:pPr>
              <w:ind w:left="20"/>
              <w:spacing w:after="0" w:line="182" w:lineRule="exact"/>
              <w:rPr>
                <w:sz w:val="20"/>
                <w:szCs w:val="20"/>
                <w:color w:val="auto"/>
              </w:rPr>
            </w:pPr>
            <w:r>
              <w:rPr>
                <w:rFonts w:ascii="Calibri" w:cs="Calibri" w:eastAsia="Calibri" w:hAnsi="Calibri"/>
                <w:sz w:val="16"/>
                <w:szCs w:val="16"/>
                <w:color w:val="auto"/>
              </w:rPr>
              <w:t>CHANGE IN CASH, CASH EQUIVALENTS AND RESTRICTED CASH</w:t>
            </w: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(4,693)</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(1,905)</w:t>
            </w:r>
          </w:p>
        </w:tc>
      </w:tr>
      <w:tr>
        <w:trPr>
          <w:trHeight w:val="36"/>
        </w:trPr>
        <w:tc>
          <w:tcPr>
            <w:tcW w:w="8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29"/>
        </w:trPr>
        <w:tc>
          <w:tcPr>
            <w:tcW w:w="83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CASH EQUIVALENTS AND RESTRICTED CASH - beginning of year</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13,312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15,217</w:t>
            </w:r>
          </w:p>
        </w:tc>
      </w:tr>
      <w:tr>
        <w:trPr>
          <w:trHeight w:val="216"/>
        </w:trPr>
        <w:tc>
          <w:tcPr>
            <w:tcW w:w="8360" w:type="dxa"/>
            <w:vAlign w:val="bottom"/>
          </w:tcPr>
          <w:p>
            <w:pPr>
              <w:ind w:left="20"/>
              <w:spacing w:after="0"/>
              <w:rPr>
                <w:sz w:val="20"/>
                <w:szCs w:val="20"/>
                <w:color w:val="auto"/>
              </w:rPr>
            </w:pPr>
            <w:r>
              <w:rPr>
                <w:rFonts w:ascii="Calibri" w:cs="Calibri" w:eastAsia="Calibri" w:hAnsi="Calibri"/>
                <w:sz w:val="16"/>
                <w:szCs w:val="16"/>
                <w:color w:val="auto"/>
              </w:rPr>
              <w:t>CASH, CASH EQUIVALENTS AND RESTRICTED CASH - end of year</w:t>
            </w:r>
          </w:p>
        </w:tc>
        <w:tc>
          <w:tcPr>
            <w:tcW w:w="320" w:type="dxa"/>
            <w:vAlign w:val="bottom"/>
            <w:tcBorders>
              <w:top w:val="single" w:sz="8" w:color="auto"/>
              <w:bottom w:val="single" w:sz="8" w:color="auto"/>
            </w:tcBorders>
          </w:tcPr>
          <w:p>
            <w:pPr>
              <w:jc w:val="right"/>
              <w:ind w:right="139"/>
              <w:spacing w:after="0" w:line="193" w:lineRule="exact"/>
              <w:rPr>
                <w:sz w:val="20"/>
                <w:szCs w:val="20"/>
                <w:color w:val="auto"/>
              </w:rPr>
            </w:pPr>
            <w:r>
              <w:rPr>
                <w:rFonts w:ascii="Calibri" w:cs="Calibri" w:eastAsia="Calibri" w:hAnsi="Calibri"/>
                <w:sz w:val="16"/>
                <w:szCs w:val="16"/>
                <w:color w:val="auto"/>
                <w:w w:val="97"/>
              </w:rPr>
              <w:t>$</w:t>
            </w:r>
          </w:p>
        </w:tc>
        <w:tc>
          <w:tcPr>
            <w:tcW w:w="108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8,619</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line="193" w:lineRule="exact"/>
              <w:rPr>
                <w:sz w:val="20"/>
                <w:szCs w:val="20"/>
                <w:color w:val="auto"/>
              </w:rPr>
            </w:pPr>
            <w:r>
              <w:rPr>
                <w:rFonts w:ascii="Calibri" w:cs="Calibri" w:eastAsia="Calibri" w:hAnsi="Calibri"/>
                <w:sz w:val="16"/>
                <w:szCs w:val="16"/>
                <w:color w:val="auto"/>
                <w:w w:val="97"/>
              </w:rPr>
              <w:t>$</w:t>
            </w:r>
          </w:p>
        </w:tc>
        <w:tc>
          <w:tcPr>
            <w:tcW w:w="106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13,312</w:t>
            </w:r>
          </w:p>
        </w:tc>
      </w:tr>
      <w:tr>
        <w:trPr>
          <w:trHeight w:val="27"/>
        </w:trPr>
        <w:tc>
          <w:tcPr>
            <w:tcW w:w="8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8" w:name="page79"/>
    <w:bookmarkEnd w:id="78"/>
    <w:p>
      <w:pPr>
        <w:ind w:left="20"/>
        <w:spacing w:after="0"/>
        <w:rPr>
          <w:sz w:val="20"/>
          <w:szCs w:val="20"/>
          <w:color w:val="auto"/>
        </w:rPr>
      </w:pPr>
      <w:r>
        <w:rPr>
          <w:rFonts w:ascii="Calibri" w:cs="Calibri" w:eastAsia="Calibri" w:hAnsi="Calibri"/>
          <w:sz w:val="18"/>
          <w:szCs w:val="18"/>
          <w:b w:val="1"/>
          <w:bCs w:val="1"/>
          <w:color w:val="auto"/>
        </w:rPr>
        <w:t>GREENIDGE GENERATION HOLDINGS INC.</w:t>
      </w:r>
    </w:p>
    <w:p>
      <w:pPr>
        <w:ind w:left="20"/>
        <w:spacing w:after="0" w:line="235" w:lineRule="auto"/>
        <w:rPr>
          <w:sz w:val="20"/>
          <w:szCs w:val="20"/>
          <w:color w:val="auto"/>
        </w:rPr>
      </w:pPr>
      <w:r>
        <w:rPr>
          <w:rFonts w:ascii="Calibri" w:cs="Calibri" w:eastAsia="Calibri" w:hAnsi="Calibri"/>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 ORGANIZATION AND DESCRIPTION OF BUSINESS</w:t>
      </w:r>
    </w:p>
    <w:p>
      <w:pPr>
        <w:spacing w:after="0" w:line="109" w:lineRule="exact"/>
        <w:rPr>
          <w:sz w:val="20"/>
          <w:szCs w:val="20"/>
          <w:color w:val="auto"/>
        </w:rPr>
      </w:pPr>
    </w:p>
    <w:p>
      <w:pPr>
        <w:spacing w:after="0" w:line="250" w:lineRule="auto"/>
        <w:rPr>
          <w:sz w:val="20"/>
          <w:szCs w:val="20"/>
          <w:color w:val="auto"/>
        </w:rPr>
      </w:pPr>
      <w:r>
        <w:rPr>
          <w:rFonts w:ascii="Calibri" w:cs="Calibri" w:eastAsia="Calibri" w:hAnsi="Calibri"/>
          <w:sz w:val="17"/>
          <w:szCs w:val="17"/>
          <w:color w:val="auto"/>
        </w:rPr>
        <w:t>Greenidge Generaton Holdings Inc. ("Greenidge") and its subsidiaries (collectvely, the "Company") own and operate a vertcally integrated cryptocurrency datacenter and power generaton company. The Company owns and operates a facility in Torrey, New York (the "New York Facility") and owned and operated a facility in Spartanburg, South Carolina (the "South Carolina Facility"). The Company generates revenue in U.S. dollars by providing hostng, power and technical support services to third-party owned bitcoin mining equipment and generates revenue in the form of bitcoin as rewards and transacton fees for supportng the global bitcoin network with applicaton-specifc integrated circuit computers ("ASICs" or "miners") owned by the Company, which may be operated at the Company's sites or at third-party hostng sites through short-term hostng agreements. The Company also owns and operates a 106 megawat ("MW") power facility that is connected to the New York Independent System Operator ("NYISO") power grid. In additon to the electricity used "behind the meter" by the New York datacenter, the Company sells electricity to the NYISO at all tmes when its power plant is running and increases or decreases the amount of electricity sold based on prevailing prices in the wholesale electricity market and demand for electricity.</w:t>
      </w:r>
    </w:p>
    <w:p>
      <w:pPr>
        <w:spacing w:after="0" w:line="10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On November 9, 2023, the Company closed the sale of the South Carolina Facility as part of a deleveraging transacton. See Note 4, "</w:t>
      </w:r>
      <w:r>
        <w:rPr>
          <w:rFonts w:ascii="Calibri" w:cs="Calibri" w:eastAsia="Calibri" w:hAnsi="Calibri"/>
          <w:sz w:val="18"/>
          <w:szCs w:val="18"/>
          <w:i w:val="1"/>
          <w:iCs w:val="1"/>
          <w:color w:val="auto"/>
        </w:rPr>
        <w:t>Property and Equipment,</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Net</w:t>
      </w:r>
      <w:r>
        <w:rPr>
          <w:rFonts w:ascii="Calibri" w:cs="Calibri" w:eastAsia="Calibri" w:hAnsi="Calibri"/>
          <w:sz w:val="18"/>
          <w:szCs w:val="18"/>
          <w:color w:val="auto"/>
        </w:rPr>
        <w:t>", for further details.</w:t>
      </w:r>
    </w:p>
    <w:p>
      <w:pPr>
        <w:spacing w:after="0" w:line="326" w:lineRule="exact"/>
        <w:rPr>
          <w:sz w:val="20"/>
          <w:szCs w:val="20"/>
          <w:color w:val="auto"/>
        </w:rPr>
      </w:pPr>
    </w:p>
    <w:p>
      <w:pPr>
        <w:ind w:right="7300" w:firstLine="8"/>
        <w:spacing w:after="0" w:line="499" w:lineRule="auto"/>
        <w:tabs>
          <w:tab w:leader="none" w:pos="175" w:val="left"/>
        </w:tabs>
        <w:numPr>
          <w:ilvl w:val="0"/>
          <w:numId w:val="35"/>
        </w:numPr>
        <w:rPr>
          <w:rFonts w:ascii="Calibri" w:cs="Calibri" w:eastAsia="Calibri" w:hAnsi="Calibri"/>
          <w:sz w:val="17"/>
          <w:szCs w:val="17"/>
          <w:b w:val="1"/>
          <w:bCs w:val="1"/>
          <w:color w:val="auto"/>
        </w:rPr>
      </w:pPr>
      <w:r>
        <w:rPr>
          <w:rFonts w:ascii="Calibri" w:cs="Calibri" w:eastAsia="Calibri" w:hAnsi="Calibri"/>
          <w:sz w:val="17"/>
          <w:szCs w:val="17"/>
          <w:b w:val="1"/>
          <w:bCs w:val="1"/>
          <w:color w:val="auto"/>
        </w:rPr>
        <w:t>SUMMARY OF SIGNIFICANT ACCOUNTING POLICIES Basis of Presentaton and Principles of Consolidaton</w:t>
      </w:r>
    </w:p>
    <w:p>
      <w:pPr>
        <w:spacing w:after="0" w:line="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accompanying consolidated fnancial statements have been prepared in accordance with accountng principles generally accepted in the United States of America ("U.S. GAAP"). Any reference in these Notes to applicable guidance refers to U.S. GAAP as found in U.S. Accountng Standards Codifcaton ("ASC") and Accountng Standards Update ("ASU") of the Financial Accountng Standards Board ("FASB").</w:t>
      </w:r>
    </w:p>
    <w:p>
      <w:pPr>
        <w:spacing w:after="0" w:line="21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 consolidated fnancial statements refect the Company's accounts and operatons and those of its subsidiaries. All signifcant intercompany accounts and transactons have been eliminated.</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Liquidity</w:t>
      </w:r>
    </w:p>
    <w:p>
      <w:pPr>
        <w:ind w:right="20"/>
        <w:spacing w:after="0" w:line="222" w:lineRule="auto"/>
        <w:rPr>
          <w:sz w:val="20"/>
          <w:szCs w:val="20"/>
          <w:color w:val="auto"/>
        </w:rPr>
      </w:pPr>
      <w:r>
        <w:rPr>
          <w:rFonts w:ascii="Calibri" w:cs="Calibri" w:eastAsia="Calibri" w:hAnsi="Calibri"/>
          <w:sz w:val="17"/>
          <w:szCs w:val="17"/>
          <w:color w:val="auto"/>
        </w:rPr>
        <w:t>In accordance with the Financial Accountng Standards Board ("FASB") Accountng Standards Update ("ASU") 2014-15, Presentaton of Financial Statements – Going Concern, the Company's management evaluated whether there are conditons or events that pose risk associated with the Company's ability to contnue as a going concern within one year afer the date these fnancial statements have been issued. The Company’s consolidated fnancial statements have been prepared assuming that it will contnue as a going concern. The Company has historically incurred operatng losses and negatve cash fows from operatons. These losses were primarily a result of challenging bitcoin mining economics startng in 2022 when energy prices increased and the prices of bitcoin went through a period of signifcant decline. The economics of bitcoin mining have since been positvely impacted through 2024 by a recovery in the price of bitcoin and a reducton in energy prices, and negatvely ofset by increased mining difculty and by the halving which occurred on April 19, 2024 and reduced the rewards distributed to miners. The existence of these factors beginning in 2022 raised substantal doubt about the Company’s ability to contnue as a going concern. However, the Company believes this substantal doubt is alleviated by management’s plans which includes our existng cash and cash equivalents, together with digital assets, cash generated from operatons and the proceeds from the planned sale of the South Carolina land held for sale, will be sufcient to fund its operatons and satsfy its current obligatons through the next twelve months.</w:t>
      </w:r>
    </w:p>
    <w:p>
      <w:pPr>
        <w:spacing w:after="0" w:line="225" w:lineRule="exact"/>
        <w:rPr>
          <w:sz w:val="20"/>
          <w:szCs w:val="20"/>
          <w:color w:val="auto"/>
        </w:rPr>
      </w:pPr>
    </w:p>
    <w:p>
      <w:pPr>
        <w:ind w:right="120"/>
        <w:spacing w:after="0" w:line="217" w:lineRule="auto"/>
        <w:rPr>
          <w:sz w:val="20"/>
          <w:szCs w:val="20"/>
          <w:color w:val="auto"/>
        </w:rPr>
      </w:pPr>
      <w:r>
        <w:rPr>
          <w:rFonts w:ascii="Calibri" w:cs="Calibri" w:eastAsia="Calibri" w:hAnsi="Calibri"/>
          <w:sz w:val="18"/>
          <w:szCs w:val="18"/>
          <w:color w:val="auto"/>
        </w:rPr>
        <w:t>Management has taken certain actons since 2022 to improve the Company’s liquidity including the sale of assets, the proceeds of which were used to extnguish $80.3 million of debt, and signifcant restructuring actvites to materially reduce selling, general and administratve expenses. On November 27, 2024, we entered into a defnitve agreement to sell the remaining South Carolina land for $12.1 million in cash and an 8% proft partcipaton interest in the property’s planned data center. The closing of the sale is in process, and we expect it to close in 2025.</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color w:val="auto"/>
        </w:rPr>
        <w:t>However, the Company’s projected operatng cash fows are not sufcient in the long-term to meet the existng long-term debt obligatons.</w:t>
      </w:r>
    </w:p>
    <w:p>
      <w:pPr>
        <w:spacing w:after="0" w:line="190" w:lineRule="exact"/>
        <w:rPr>
          <w:sz w:val="20"/>
          <w:szCs w:val="20"/>
          <w:color w:val="auto"/>
        </w:rPr>
      </w:pPr>
    </w:p>
    <w:p>
      <w:pPr>
        <w:ind w:right="200"/>
        <w:spacing w:after="0" w:line="220" w:lineRule="auto"/>
        <w:rPr>
          <w:sz w:val="20"/>
          <w:szCs w:val="20"/>
          <w:color w:val="auto"/>
        </w:rPr>
      </w:pPr>
      <w:r>
        <w:rPr>
          <w:rFonts w:ascii="Calibri" w:cs="Calibri" w:eastAsia="Calibri" w:hAnsi="Calibri"/>
          <w:sz w:val="18"/>
          <w:szCs w:val="18"/>
          <w:color w:val="auto"/>
        </w:rPr>
        <w:t>The Company is considering various items to address the long-term debt obligatons, including the retrement or purchase of our outstanding debt through cash purchases and/or exchanges for equity or debt, in open-market purchases, privately negotated transactons or otherwise. Such repurchases or exchanges, if any will be upon such terms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79" w:name="page80"/>
    <w:bookmarkEnd w:id="79"/>
    <w:p>
      <w:pPr>
        <w:ind w:right="60"/>
        <w:spacing w:after="0" w:line="213" w:lineRule="auto"/>
        <w:rPr>
          <w:sz w:val="20"/>
          <w:szCs w:val="20"/>
          <w:color w:val="auto"/>
        </w:rPr>
      </w:pPr>
      <w:r>
        <w:rPr>
          <w:rFonts w:ascii="Calibri" w:cs="Calibri" w:eastAsia="Calibri" w:hAnsi="Calibri"/>
          <w:sz w:val="18"/>
          <w:szCs w:val="18"/>
          <w:color w:val="auto"/>
        </w:rPr>
        <w:t>and at such prices as we may determine, and will depend on prevailing market conditons, our liquidity requirements, contractual restrictons and other factors. The amounts involved may be material and to the extent equity is used, dilutve. During the twelve months ended December 31, 2024, the Company entered into privately negotated exchange agreements, pursuant to which it issued an aggregate of 692,433 shares of the Company's Class A common stock, in exchange for $3.7 million aggregate principal amount of its 8.50% Senior Notes due October 2026. From January 1, 2025 through the date of this fling, the Company entered into privately negotated exchange agreements, pursuant to which it issued an aggregate of 643,456 shares of the Company's Class A common stock, in exchange for $1.8 million aggregate principal amount of its 8.50% Senior Notes due October 2026.</w:t>
      </w:r>
    </w:p>
    <w:p>
      <w:pPr>
        <w:spacing w:after="0" w:line="207" w:lineRule="exact"/>
        <w:rPr>
          <w:sz w:val="20"/>
          <w:szCs w:val="20"/>
          <w:color w:val="auto"/>
        </w:rPr>
      </w:pPr>
    </w:p>
    <w:p>
      <w:pPr>
        <w:ind w:right="320"/>
        <w:spacing w:after="0" w:line="220" w:lineRule="auto"/>
        <w:rPr>
          <w:sz w:val="20"/>
          <w:szCs w:val="20"/>
          <w:color w:val="auto"/>
        </w:rPr>
      </w:pPr>
      <w:r>
        <w:rPr>
          <w:rFonts w:ascii="Calibri" w:cs="Calibri" w:eastAsia="Calibri" w:hAnsi="Calibri"/>
          <w:sz w:val="18"/>
          <w:szCs w:val="18"/>
          <w:color w:val="auto"/>
        </w:rPr>
        <w:t>The Company may also raise additonal funds through sales of equity under the Common Stock Purchase Agreement. For the twelve ended December 31, 2024, the Company issued 1,595,855 shares under the Common Stock Purchase Agreement for net proceeds of $4.3 million.</w:t>
      </w:r>
    </w:p>
    <w:p>
      <w:pPr>
        <w:spacing w:after="0" w:line="218" w:lineRule="exact"/>
        <w:rPr>
          <w:sz w:val="20"/>
          <w:szCs w:val="20"/>
          <w:color w:val="auto"/>
        </w:rPr>
      </w:pPr>
    </w:p>
    <w:p>
      <w:pPr>
        <w:ind w:right="60"/>
        <w:spacing w:after="0" w:line="227" w:lineRule="auto"/>
        <w:rPr>
          <w:sz w:val="20"/>
          <w:szCs w:val="20"/>
          <w:color w:val="auto"/>
        </w:rPr>
      </w:pPr>
      <w:r>
        <w:rPr>
          <w:rFonts w:ascii="Calibri" w:cs="Calibri" w:eastAsia="Calibri" w:hAnsi="Calibri"/>
          <w:sz w:val="17"/>
          <w:szCs w:val="17"/>
          <w:color w:val="auto"/>
        </w:rPr>
        <w:t>The Company’s operatng cash fows are highly dependent on bitcoin mining economics commonly measured by hashprice. Increases in the price of bitcoin beneft the Company by increasing the amount of revenue earned for each bitcoin earned. Increases in the difculty to mine a bitcoin adversely afect the Company by decreasing the number of bitcoin earned. Increases in the costs of electricity, natural gas, and emissions credits adversely afect the Company by increasing operatng costs. Depending on the Company’s assumptons regarding the bitcoin hashprice and energy price inputs, the estmates of the amounts of required liquidity vary signifcantly. There can be no assurances that these assumptons used to estmate liquidity requirements and future cash burn rates will be correct, and the ability to be predictve is uncertain due to the limited ability to predict future bitcoin and energy prices. The Company’s forecast also antcipates proceeds from the South Carolina Facility classifed as held for sale and any inability to close on a sale of that facility will further adversely impact</w:t>
      </w:r>
    </w:p>
    <w:p>
      <w:pPr>
        <w:spacing w:after="0" w:line="2" w:lineRule="exact"/>
        <w:rPr>
          <w:sz w:val="20"/>
          <w:szCs w:val="20"/>
          <w:color w:val="auto"/>
        </w:rPr>
      </w:pPr>
    </w:p>
    <w:p>
      <w:pPr>
        <w:spacing w:after="0" w:line="218" w:lineRule="auto"/>
        <w:rPr>
          <w:sz w:val="20"/>
          <w:szCs w:val="20"/>
          <w:color w:val="auto"/>
        </w:rPr>
      </w:pPr>
      <w:r>
        <w:rPr>
          <w:rFonts w:ascii="Calibri" w:cs="Calibri" w:eastAsia="Calibri" w:hAnsi="Calibri"/>
          <w:sz w:val="18"/>
          <w:szCs w:val="18"/>
          <w:color w:val="auto"/>
        </w:rPr>
        <w:t>the Company’s liquidity projectons</w:t>
      </w:r>
      <w:r>
        <w:rPr>
          <w:rFonts w:ascii="Times New Roman" w:cs="Times New Roman" w:eastAsia="Times New Roman" w:hAnsi="Times New Roman"/>
          <w:sz w:val="21"/>
          <w:szCs w:val="21"/>
          <w:color w:val="008080"/>
        </w:rPr>
        <w:t>.</w:t>
      </w:r>
      <w:r>
        <w:rPr>
          <w:rFonts w:ascii="Calibri" w:cs="Calibri" w:eastAsia="Calibri" w:hAnsi="Calibri"/>
          <w:sz w:val="18"/>
          <w:szCs w:val="18"/>
          <w:color w:val="auto"/>
        </w:rPr>
        <w:t xml:space="preserve"> Additonally, the inability to procure and comply with the permits and licenses required to operate our facilites, including the Title V Air Permit for the New York Facility, which is subject to ongoing litgaton (see NOTE 10), may have an adverse impact on our ability to meet cash fow forecasts.</w:t>
      </w:r>
    </w:p>
    <w:p>
      <w:pPr>
        <w:spacing w:after="0" w:line="219" w:lineRule="exact"/>
        <w:rPr>
          <w:sz w:val="20"/>
          <w:szCs w:val="20"/>
          <w:color w:val="auto"/>
        </w:rPr>
      </w:pPr>
    </w:p>
    <w:p>
      <w:pPr>
        <w:ind w:right="240"/>
        <w:spacing w:after="0" w:line="220" w:lineRule="auto"/>
        <w:rPr>
          <w:sz w:val="20"/>
          <w:szCs w:val="20"/>
          <w:color w:val="auto"/>
        </w:rPr>
      </w:pPr>
      <w:r>
        <w:rPr>
          <w:rFonts w:ascii="Calibri" w:cs="Calibri" w:eastAsia="Calibri" w:hAnsi="Calibri"/>
          <w:sz w:val="18"/>
          <w:szCs w:val="18"/>
          <w:color w:val="auto"/>
        </w:rPr>
        <w:t>While the Company believes it will be successful in its eforts to improve liquidity, which will allow it to meet its fnancial commitments for at least the next twelve months, there can be no assurance that these eforts will be successful.</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Use of estmates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preparaton of consolidated fnancial statements in conformity with U.S. GAAP requires management to make estmates, judgments and assumptons that afect the reported amounts of assets and liabilites, the disclosure of contngent assets and liabilites at the date of the consolidated fnancial statements, and the reported amounts of revenues and expenses during the reportng periods.</w:t>
      </w:r>
    </w:p>
    <w:p>
      <w:pPr>
        <w:spacing w:after="0" w:line="219" w:lineRule="exact"/>
        <w:rPr>
          <w:sz w:val="20"/>
          <w:szCs w:val="20"/>
          <w:color w:val="auto"/>
        </w:rPr>
      </w:pPr>
    </w:p>
    <w:p>
      <w:pPr>
        <w:ind w:right="280"/>
        <w:spacing w:after="0" w:line="258" w:lineRule="auto"/>
        <w:rPr>
          <w:sz w:val="20"/>
          <w:szCs w:val="20"/>
          <w:color w:val="auto"/>
        </w:rPr>
      </w:pPr>
      <w:r>
        <w:rPr>
          <w:rFonts w:ascii="Calibri" w:cs="Calibri" w:eastAsia="Calibri" w:hAnsi="Calibri"/>
          <w:sz w:val="17"/>
          <w:szCs w:val="17"/>
          <w:color w:val="auto"/>
        </w:rPr>
        <w:t>Actual results could difer from those estmates. Signifcant estmates made by management include, but are not limited to, estmates of the recoverability and useful lives of long-lived assets, stock-based compensaton, current and deferred income tax assets and liabilites, and environmental liabilites.</w:t>
      </w:r>
    </w:p>
    <w:p>
      <w:pPr>
        <w:spacing w:after="0" w:line="19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Signifcant Accountng Policies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Segment Reportng</w:t>
      </w:r>
    </w:p>
    <w:p>
      <w:pPr>
        <w:spacing w:after="0" w:line="217" w:lineRule="exact"/>
        <w:rPr>
          <w:sz w:val="20"/>
          <w:szCs w:val="20"/>
          <w:color w:val="auto"/>
        </w:rPr>
      </w:pPr>
    </w:p>
    <w:p>
      <w:pPr>
        <w:ind w:right="220"/>
        <w:spacing w:after="0" w:line="242" w:lineRule="auto"/>
        <w:rPr>
          <w:sz w:val="20"/>
          <w:szCs w:val="20"/>
          <w:color w:val="auto"/>
        </w:rPr>
      </w:pPr>
      <w:r>
        <w:rPr>
          <w:rFonts w:ascii="Calibri" w:cs="Calibri" w:eastAsia="Calibri" w:hAnsi="Calibri"/>
          <w:sz w:val="17"/>
          <w:szCs w:val="17"/>
          <w:color w:val="auto"/>
        </w:rPr>
        <w:t>Operatng segments are defned as components of an enterprise about which separate fnancial informaton is available that is evaluated regularly by the chief operatng decision maker ("CODM") in deciding how to allocate resources and in assessing performance. Greenidge operates as one operatng and reportng segment. The Company’s datacenter operatons are located in the United States, and the Company views these operatons as one operatng segment as the CODM reviews fnancial informaton on a consolidated basis in making decisions regarding resource allocatons and assessing performance.</w:t>
      </w:r>
    </w:p>
    <w:p>
      <w:pPr>
        <w:spacing w:after="0" w:line="216" w:lineRule="exact"/>
        <w:rPr>
          <w:sz w:val="20"/>
          <w:szCs w:val="20"/>
          <w:color w:val="auto"/>
        </w:rPr>
      </w:pPr>
    </w:p>
    <w:p>
      <w:pPr>
        <w:ind w:right="40"/>
        <w:spacing w:after="0" w:line="226" w:lineRule="auto"/>
        <w:rPr>
          <w:sz w:val="20"/>
          <w:szCs w:val="20"/>
          <w:color w:val="auto"/>
        </w:rPr>
      </w:pPr>
      <w:r>
        <w:rPr>
          <w:rFonts w:ascii="Calibri" w:cs="Calibri" w:eastAsia="Calibri" w:hAnsi="Calibri"/>
          <w:sz w:val="18"/>
          <w:szCs w:val="18"/>
          <w:color w:val="auto"/>
        </w:rPr>
        <w:t>The Company generates revenue primarily by (1) earning bitcoin, with miners that are owned by the Company, as rewards and transacton fees for supportng the global bitcoin network and (2) providing hostng, power and technical support services to third-party owned bitcoin mining equipment. The Cryptocurrency Mining, Datacenter Hostng and Power Generaton operatons also sell surplus electricity generated by the Company's power plant, and not consumed in cryptocurrency mining and datacenter hostng operatons, to the NYISO power grid at prices set on a daily basis through the NYISO wholesale market. In additon, the Company receives revenues from the sale of its capacity and ancillary services in the NYISO wholesale market.</w:t>
      </w:r>
    </w:p>
    <w:p>
      <w:pPr>
        <w:spacing w:after="0" w:line="20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Discontnued Operatons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0" w:name="page81"/>
    <w:bookmarkEnd w:id="80"/>
    <w:p>
      <w:pPr>
        <w:ind w:right="200"/>
        <w:spacing w:after="0" w:line="230" w:lineRule="auto"/>
        <w:rPr>
          <w:sz w:val="20"/>
          <w:szCs w:val="20"/>
          <w:color w:val="auto"/>
        </w:rPr>
      </w:pPr>
      <w:r>
        <w:rPr>
          <w:rFonts w:ascii="Calibri" w:cs="Calibri" w:eastAsia="Calibri" w:hAnsi="Calibri"/>
          <w:sz w:val="18"/>
          <w:szCs w:val="18"/>
          <w:color w:val="auto"/>
        </w:rPr>
        <w:t>The Company deems it appropriate to classify a component as a discontnued operaton if the related disposal group meets all the following criteria: (1) the disposal group is a component of the Company; (2) the component meets the held-for-sale criteria; and (3) the disposal of the component represents a strategic shif that has a major efect on the Company's operatons and fnancial results.</w:t>
      </w:r>
    </w:p>
    <w:p>
      <w:pPr>
        <w:spacing w:after="0" w:line="205" w:lineRule="exact"/>
        <w:rPr>
          <w:sz w:val="20"/>
          <w:szCs w:val="20"/>
          <w:color w:val="auto"/>
        </w:rPr>
      </w:pPr>
    </w:p>
    <w:p>
      <w:pPr>
        <w:ind w:right="400"/>
        <w:spacing w:after="0" w:line="252" w:lineRule="auto"/>
        <w:rPr>
          <w:sz w:val="20"/>
          <w:szCs w:val="20"/>
          <w:color w:val="auto"/>
        </w:rPr>
      </w:pPr>
      <w:r>
        <w:rPr>
          <w:rFonts w:ascii="Calibri" w:cs="Calibri" w:eastAsia="Calibri" w:hAnsi="Calibri"/>
          <w:sz w:val="17"/>
          <w:szCs w:val="17"/>
          <w:color w:val="auto"/>
        </w:rPr>
        <w:t>The contract for Support.com's largest customer was not renewed upon its expiraton on December 31, 2022. As a result of this material change in the business, management and the Board of Directors made the determinaton to consider various alternatves for Support.com, including the dispositon of assets. As of December 31, 2022, the Company classifed the Support.com business as held for sale and discontnued operatons in these consolidated fnancial statements as a result of its strategic shif to strictly focus on its cryptocurrency mining, datacenter hostng and power generaton operatons.</w:t>
      </w:r>
    </w:p>
    <w:p>
      <w:pPr>
        <w:spacing w:after="0" w:line="2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and Cash Equivalents</w:t>
      </w:r>
    </w:p>
    <w:p>
      <w:pPr>
        <w:spacing w:after="0" w:line="217" w:lineRule="exact"/>
        <w:rPr>
          <w:sz w:val="20"/>
          <w:szCs w:val="20"/>
          <w:color w:val="auto"/>
        </w:rPr>
      </w:pPr>
    </w:p>
    <w:p>
      <w:pPr>
        <w:jc w:val="both"/>
        <w:spacing w:after="0" w:line="246" w:lineRule="auto"/>
        <w:rPr>
          <w:sz w:val="20"/>
          <w:szCs w:val="20"/>
          <w:color w:val="auto"/>
        </w:rPr>
      </w:pPr>
      <w:r>
        <w:rPr>
          <w:rFonts w:ascii="Calibri" w:cs="Calibri" w:eastAsia="Calibri" w:hAnsi="Calibri"/>
          <w:sz w:val="17"/>
          <w:szCs w:val="17"/>
          <w:color w:val="auto"/>
        </w:rPr>
        <w:t>All liquid instruments with an original maturity, at the date of purchase, of 90 days or less are classifed as cash equivalents. Cash equivalents consist primarily of money market funds, certfcates of deposit, commercial paper, corporate notes and bonds, and U.S. government agency securites. The Company’s interest income on cash and cash equivalents is included in Interest expense, net in the Consolidated Statements of Operatons and Comprehensive Loss.</w:t>
      </w:r>
    </w:p>
    <w:p>
      <w:pPr>
        <w:spacing w:after="0" w:line="19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Digital Assets</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Digital assets are comprised of bitcoin earned as noncash consideraton in exchange for providing hash computatons for a mining pool, which are accounted for in connecton with the Company’s revenue recogniton policy previously disclosed. Digital assets are included in current assets in the consolidated balance sheets due to the Company’s ability to sell it in a highly liquid marketplace and because the Company reasonably expects to liquidate its digital assets to support operatons within the next 12 months.</w:t>
      </w:r>
    </w:p>
    <w:p>
      <w:pPr>
        <w:spacing w:after="0" w:line="219" w:lineRule="exact"/>
        <w:rPr>
          <w:sz w:val="20"/>
          <w:szCs w:val="20"/>
          <w:color w:val="auto"/>
        </w:rPr>
      </w:pPr>
    </w:p>
    <w:p>
      <w:pPr>
        <w:jc w:val="both"/>
        <w:ind w:right="240"/>
        <w:spacing w:after="0" w:line="230" w:lineRule="auto"/>
        <w:rPr>
          <w:sz w:val="20"/>
          <w:szCs w:val="20"/>
          <w:color w:val="auto"/>
        </w:rPr>
      </w:pPr>
      <w:r>
        <w:rPr>
          <w:rFonts w:ascii="Calibri" w:cs="Calibri" w:eastAsia="Calibri" w:hAnsi="Calibri"/>
          <w:sz w:val="18"/>
          <w:szCs w:val="18"/>
          <w:color w:val="auto"/>
        </w:rPr>
        <w:t>The Company adopted ASU 2023-08 during the second quarter of 2024 with an efectve date of January 1, 2024. As a result of adoptng ASU 2023-08, the Company measures digital assets at fair value as of each reportng period based on UTC closing prices at period-end on the actve trading platorm that the Company normally transacts and has determined is its principal market for bitcoin.</w:t>
      </w:r>
    </w:p>
    <w:p>
      <w:pPr>
        <w:spacing w:after="0" w:line="205" w:lineRule="exact"/>
        <w:rPr>
          <w:sz w:val="20"/>
          <w:szCs w:val="20"/>
          <w:color w:val="auto"/>
        </w:rPr>
      </w:pPr>
    </w:p>
    <w:p>
      <w:pPr>
        <w:ind w:right="420"/>
        <w:spacing w:after="0" w:line="228" w:lineRule="auto"/>
        <w:rPr>
          <w:sz w:val="20"/>
          <w:szCs w:val="20"/>
          <w:color w:val="auto"/>
        </w:rPr>
      </w:pPr>
      <w:r>
        <w:rPr>
          <w:rFonts w:ascii="Calibri" w:cs="Calibri" w:eastAsia="Calibri" w:hAnsi="Calibri"/>
          <w:sz w:val="18"/>
          <w:szCs w:val="18"/>
          <w:color w:val="auto"/>
        </w:rPr>
        <w:t>Gains and losses resultng from remeasurements are included within (Gain) loss on digital assets in the consolidated statements of operatons and comprehensive loss. Gains and losses resultng from the sale of bitcoin, measured as the diference between the cash proceeds and the carrying basis of bitcoin as determined on a frst-in-frst-out basis, are also included within (Gain) loss on digital assets in the consolidated statements of operatons and comprehensive loss.</w:t>
      </w:r>
    </w:p>
    <w:p>
      <w:pPr>
        <w:spacing w:after="0" w:line="205" w:lineRule="exact"/>
        <w:rPr>
          <w:sz w:val="20"/>
          <w:szCs w:val="20"/>
          <w:color w:val="auto"/>
        </w:rPr>
      </w:pPr>
    </w:p>
    <w:p>
      <w:pPr>
        <w:ind w:right="140"/>
        <w:spacing w:after="0" w:line="229" w:lineRule="auto"/>
        <w:rPr>
          <w:sz w:val="20"/>
          <w:szCs w:val="20"/>
          <w:color w:val="auto"/>
        </w:rPr>
      </w:pPr>
      <w:r>
        <w:rPr>
          <w:rFonts w:ascii="Calibri" w:cs="Calibri" w:eastAsia="Calibri" w:hAnsi="Calibri"/>
          <w:sz w:val="18"/>
          <w:szCs w:val="18"/>
          <w:color w:val="auto"/>
        </w:rPr>
        <w:t>Digital assets received by the Company as noncash consideraton are included as an adjustment to reconcile net loss to cash used in operatng actvites on the consolidated statements of cash fows. In August 2024, the Company announced its new bitcoin self-mining retenton strategy, which enables the Company to accumulate bitcoin from its owned miners. Proceeds from the sale of bitcoin that occur nearly immediately afer receipt are included within operatng actvites on the consolidated statements of cash fows. To the extent the Company holds bitcoin for more than a few days, proceeds from the sale of bitcoin are included within investng actvites on the consolidated statements of cash fows.</w:t>
      </w:r>
    </w:p>
    <w:p>
      <w:pPr>
        <w:spacing w:after="0" w:line="207" w:lineRule="exact"/>
        <w:rPr>
          <w:sz w:val="20"/>
          <w:szCs w:val="20"/>
          <w:color w:val="auto"/>
        </w:rPr>
      </w:pPr>
    </w:p>
    <w:p>
      <w:pPr>
        <w:ind w:right="40"/>
        <w:spacing w:after="0" w:line="228" w:lineRule="auto"/>
        <w:rPr>
          <w:sz w:val="20"/>
          <w:szCs w:val="20"/>
          <w:color w:val="auto"/>
        </w:rPr>
      </w:pPr>
      <w:r>
        <w:rPr>
          <w:rFonts w:ascii="Calibri" w:cs="Calibri" w:eastAsia="Calibri" w:hAnsi="Calibri"/>
          <w:sz w:val="18"/>
          <w:szCs w:val="18"/>
          <w:color w:val="auto"/>
        </w:rPr>
        <w:t>Prior to the adopton of ASU 2023-08, the Company accounted for digital assets as intangible assets with an indefnite useful life, which are not amortzed but assessed for impairment annually, or more frequently, when events or changes in circumstances occur indicatng that it is more likely than not that the indefnite-lived asset is impaired. The Company performed an analysis each period to identfy whether events or changes in circumstances, principally decreases in the quoted prices on actve exchanges, indicated that it was more likely than not that its digital assets were impaired. Digital assets were considered impaired if the carrying value was greater than the lowest intraday quoted price at any tme during the period. For quoted prices, the Company used daily exchange data from its principal market. Subsequent reversal of impairment losses was not permited.</w:t>
      </w: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Accounts Receivable</w:t>
      </w:r>
    </w:p>
    <w:p>
      <w:pPr>
        <w:spacing w:after="0" w:line="204"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The Company provides credit in the normal course of business to its power customer, the NYISO, and hostng customer, NYDIG. The NYISO makes payments, depending on the type of revenue, within seven days of usage or seven days of month end. The NYDIG Hostng Agreement requires advance payment for estmated hostng services. The balance based on actual results is due upon receipt. There are currently no accounts receivable associated with cryptocurrency mining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1" w:name="page82"/>
    <w:bookmarkEnd w:id="81"/>
    <w:p>
      <w:pPr>
        <w:ind w:right="500"/>
        <w:spacing w:after="0" w:line="235" w:lineRule="auto"/>
        <w:rPr>
          <w:sz w:val="20"/>
          <w:szCs w:val="20"/>
          <w:color w:val="auto"/>
        </w:rPr>
      </w:pPr>
      <w:r>
        <w:rPr>
          <w:rFonts w:ascii="Calibri" w:cs="Calibri" w:eastAsia="Calibri" w:hAnsi="Calibri"/>
          <w:sz w:val="18"/>
          <w:szCs w:val="18"/>
          <w:color w:val="auto"/>
        </w:rPr>
        <w:t>revenues. We have not experienced any historic credit losses with our power or hostng customers and therefore, we determined that no allowance for doubtul accounts is required for the years ended December 31, 2024 and 2023.</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Emissions Expense and Credits</w:t>
      </w:r>
    </w:p>
    <w:p>
      <w:pPr>
        <w:spacing w:after="0" w:line="217" w:lineRule="exact"/>
        <w:rPr>
          <w:sz w:val="20"/>
          <w:szCs w:val="20"/>
          <w:color w:val="auto"/>
        </w:rPr>
      </w:pPr>
    </w:p>
    <w:p>
      <w:pPr>
        <w:ind w:right="40"/>
        <w:spacing w:after="0" w:line="228" w:lineRule="auto"/>
        <w:rPr>
          <w:sz w:val="20"/>
          <w:szCs w:val="20"/>
          <w:color w:val="auto"/>
        </w:rPr>
      </w:pPr>
      <w:r>
        <w:rPr>
          <w:rFonts w:ascii="Calibri" w:cs="Calibri" w:eastAsia="Calibri" w:hAnsi="Calibri"/>
          <w:sz w:val="18"/>
          <w:szCs w:val="18"/>
          <w:color w:val="auto"/>
        </w:rPr>
        <w:t>The Company partcipates in the Regional Greenhouse Gas Initatve ("RGGI"), which requires, by law, that the Company remit credits to ofset 50% of the Company’s annual emission expense in the following year, for each of the years in the three-year control period (January 1, 2024 to December 31, 2026). In March 2025, the Company surrendered the emissions allowance required for the frst year of the current control period. The Company recognizes expense on a per ton basis, where one ton is equal to one RGGI credit.</w:t>
      </w:r>
    </w:p>
    <w:p>
      <w:pPr>
        <w:spacing w:after="0" w:line="205" w:lineRule="exact"/>
        <w:rPr>
          <w:sz w:val="20"/>
          <w:szCs w:val="20"/>
          <w:color w:val="auto"/>
        </w:rPr>
      </w:pPr>
    </w:p>
    <w:p>
      <w:pPr>
        <w:ind w:right="20"/>
        <w:spacing w:after="0" w:line="228" w:lineRule="auto"/>
        <w:rPr>
          <w:sz w:val="20"/>
          <w:szCs w:val="20"/>
          <w:color w:val="auto"/>
        </w:rPr>
      </w:pPr>
      <w:r>
        <w:rPr>
          <w:rFonts w:ascii="Calibri" w:cs="Calibri" w:eastAsia="Calibri" w:hAnsi="Calibri"/>
          <w:sz w:val="18"/>
          <w:szCs w:val="18"/>
          <w:color w:val="auto"/>
        </w:rPr>
        <w:t>The RGGI credits are recorded on a frst in, frst out ("FIFO") basis. The Company incurred emissions expense of $8.7 million and $6.5 million for the years ended December 31, 2024 and 2023, respectvely, which was allocated between cost of revenue - cryptocurrency mining, cost of revenue - datacenter hostng and cost of revenue - power and capacity, based on the relatve percentage of MWh consumed for each, in the accompanying Consolidated Statements of Operatons and Comprehensive Loss.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Property and Equipment, net</w:t>
      </w:r>
    </w:p>
    <w:p>
      <w:pPr>
        <w:spacing w:after="0" w:line="217" w:lineRule="exact"/>
        <w:rPr>
          <w:sz w:val="20"/>
          <w:szCs w:val="20"/>
          <w:color w:val="auto"/>
        </w:rPr>
      </w:pPr>
    </w:p>
    <w:p>
      <w:pPr>
        <w:ind w:right="100"/>
        <w:spacing w:after="0" w:line="226" w:lineRule="auto"/>
        <w:rPr>
          <w:sz w:val="20"/>
          <w:szCs w:val="20"/>
          <w:color w:val="auto"/>
        </w:rPr>
      </w:pPr>
      <w:r>
        <w:rPr>
          <w:rFonts w:ascii="Calibri" w:cs="Calibri" w:eastAsia="Calibri" w:hAnsi="Calibri"/>
          <w:sz w:val="18"/>
          <w:szCs w:val="18"/>
          <w:color w:val="auto"/>
        </w:rPr>
        <w:t>Property and equipment are stated at cost, net of accumulated depreciaton. Depreciaton is calculated using the straight-line method over the estmated useful lives of the Company’s depreciable assets, as noted in the table below. Constructon in process is comprised of assets which have not been placed into service and is not depreciated untl the related assets are complete and ready for their intended use, at which tme the cost is transferred to the appropriate property and equipment class. Land and miner deposits are not depreciated. Repairs and maintenance costs are expensed as incurred. See Note 4, "</w:t>
      </w:r>
      <w:r>
        <w:rPr>
          <w:rFonts w:ascii="Calibri" w:cs="Calibri" w:eastAsia="Calibri" w:hAnsi="Calibri"/>
          <w:sz w:val="18"/>
          <w:szCs w:val="18"/>
          <w:i w:val="1"/>
          <w:iCs w:val="1"/>
          <w:color w:val="auto"/>
        </w:rPr>
        <w:t>Property</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and Equipment, Net" </w:t>
      </w:r>
      <w:r>
        <w:rPr>
          <w:rFonts w:ascii="Calibri" w:cs="Calibri" w:eastAsia="Calibri" w:hAnsi="Calibri"/>
          <w:sz w:val="18"/>
          <w:szCs w:val="18"/>
          <w:color w:val="auto"/>
        </w:rPr>
        <w:t>for additonal informaton.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Asset Class</w:t>
            </w:r>
          </w:p>
        </w:tc>
        <w:tc>
          <w:tcPr>
            <w:tcW w:w="1480" w:type="dxa"/>
            <w:vAlign w:val="bottom"/>
          </w:tcPr>
          <w:p>
            <w:pPr>
              <w:jc w:val="center"/>
              <w:spacing w:after="0"/>
              <w:rPr>
                <w:sz w:val="20"/>
                <w:szCs w:val="20"/>
                <w:color w:val="auto"/>
              </w:rPr>
            </w:pPr>
            <w:r>
              <w:rPr>
                <w:rFonts w:ascii="Calibri" w:cs="Calibri" w:eastAsia="Calibri" w:hAnsi="Calibri"/>
                <w:sz w:val="14"/>
                <w:szCs w:val="14"/>
                <w:b w:val="1"/>
                <w:bCs w:val="1"/>
                <w:color w:val="auto"/>
              </w:rPr>
              <w:t>Estmated Useful</w:t>
            </w:r>
          </w:p>
        </w:tc>
        <w:tc>
          <w:tcPr>
            <w:tcW w:w="0" w:type="dxa"/>
            <w:vAlign w:val="bottom"/>
          </w:tcPr>
          <w:p>
            <w:pPr>
              <w:spacing w:after="0"/>
              <w:rPr>
                <w:sz w:val="1"/>
                <w:szCs w:val="1"/>
                <w:color w:val="auto"/>
              </w:rPr>
            </w:pPr>
          </w:p>
        </w:tc>
      </w:tr>
      <w:tr>
        <w:trPr>
          <w:trHeight w:val="170"/>
        </w:trPr>
        <w:tc>
          <w:tcPr>
            <w:tcW w:w="976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Calibri" w:cs="Calibri" w:eastAsia="Calibri" w:hAnsi="Calibri"/>
                <w:sz w:val="14"/>
                <w:szCs w:val="14"/>
                <w:b w:val="1"/>
                <w:bCs w:val="1"/>
                <w:color w:val="auto"/>
                <w:w w:val="97"/>
              </w:rPr>
              <w:t>Lives</w:t>
            </w:r>
          </w:p>
        </w:tc>
        <w:tc>
          <w:tcPr>
            <w:tcW w:w="0" w:type="dxa"/>
            <w:vAlign w:val="bottom"/>
          </w:tcPr>
          <w:p>
            <w:pPr>
              <w:spacing w:after="0"/>
              <w:rPr>
                <w:sz w:val="1"/>
                <w:szCs w:val="1"/>
                <w:color w:val="auto"/>
              </w:rPr>
            </w:pPr>
          </w:p>
        </w:tc>
      </w:tr>
      <w:tr>
        <w:trPr>
          <w:trHeight w:val="33"/>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6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Plant infrastructure</w:t>
            </w:r>
          </w:p>
        </w:tc>
        <w:tc>
          <w:tcPr>
            <w:tcW w:w="148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7"/>
              </w:rPr>
              <w:t>10 years</w:t>
            </w:r>
          </w:p>
        </w:tc>
        <w:tc>
          <w:tcPr>
            <w:tcW w:w="0" w:type="dxa"/>
            <w:vAlign w:val="bottom"/>
          </w:tcPr>
          <w:p>
            <w:pPr>
              <w:spacing w:after="0"/>
              <w:rPr>
                <w:sz w:val="1"/>
                <w:szCs w:val="1"/>
                <w:color w:val="auto"/>
              </w:rPr>
            </w:pPr>
          </w:p>
        </w:tc>
      </w:tr>
      <w:tr>
        <w:trPr>
          <w:trHeight w:val="222"/>
        </w:trPr>
        <w:tc>
          <w:tcPr>
            <w:tcW w:w="9760" w:type="dxa"/>
            <w:vAlign w:val="bottom"/>
          </w:tcPr>
          <w:p>
            <w:pPr>
              <w:ind w:left="20"/>
              <w:spacing w:after="0" w:line="215" w:lineRule="exact"/>
              <w:rPr>
                <w:sz w:val="20"/>
                <w:szCs w:val="20"/>
                <w:color w:val="auto"/>
              </w:rPr>
            </w:pPr>
            <w:r>
              <w:rPr>
                <w:rFonts w:ascii="Calibri" w:cs="Calibri" w:eastAsia="Calibri" w:hAnsi="Calibri"/>
                <w:sz w:val="18"/>
                <w:szCs w:val="18"/>
                <w:color w:val="auto"/>
              </w:rPr>
              <w:t>Miners</w:t>
            </w:r>
          </w:p>
        </w:tc>
        <w:tc>
          <w:tcPr>
            <w:tcW w:w="148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3 years</w:t>
            </w:r>
          </w:p>
        </w:tc>
        <w:tc>
          <w:tcPr>
            <w:tcW w:w="0" w:type="dxa"/>
            <w:vAlign w:val="bottom"/>
          </w:tcPr>
          <w:p>
            <w:pPr>
              <w:spacing w:after="0"/>
              <w:rPr>
                <w:sz w:val="1"/>
                <w:szCs w:val="1"/>
                <w:color w:val="auto"/>
              </w:rPr>
            </w:pPr>
          </w:p>
        </w:tc>
      </w:tr>
      <w:tr>
        <w:trPr>
          <w:trHeight w:val="237"/>
        </w:trPr>
        <w:tc>
          <w:tcPr>
            <w:tcW w:w="97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Miner facility infrastructure</w:t>
            </w:r>
          </w:p>
        </w:tc>
        <w:tc>
          <w:tcPr>
            <w:tcW w:w="148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7"/>
              </w:rPr>
              <w:t>10 years</w:t>
            </w:r>
          </w:p>
        </w:tc>
        <w:tc>
          <w:tcPr>
            <w:tcW w:w="0" w:type="dxa"/>
            <w:vAlign w:val="bottom"/>
          </w:tcPr>
          <w:p>
            <w:pPr>
              <w:spacing w:after="0"/>
              <w:rPr>
                <w:sz w:val="1"/>
                <w:szCs w:val="1"/>
                <w:color w:val="auto"/>
              </w:rPr>
            </w:pPr>
          </w:p>
        </w:tc>
      </w:tr>
      <w:tr>
        <w:trPr>
          <w:trHeight w:val="222"/>
        </w:trPr>
        <w:tc>
          <w:tcPr>
            <w:tcW w:w="9760" w:type="dxa"/>
            <w:vAlign w:val="bottom"/>
          </w:tcPr>
          <w:p>
            <w:pPr>
              <w:ind w:left="20"/>
              <w:spacing w:after="0" w:line="215" w:lineRule="exact"/>
              <w:rPr>
                <w:sz w:val="20"/>
                <w:szCs w:val="20"/>
                <w:color w:val="auto"/>
              </w:rPr>
            </w:pPr>
            <w:r>
              <w:rPr>
                <w:rFonts w:ascii="Calibri" w:cs="Calibri" w:eastAsia="Calibri" w:hAnsi="Calibri"/>
                <w:sz w:val="18"/>
                <w:szCs w:val="18"/>
                <w:color w:val="auto"/>
              </w:rPr>
              <w:t>Equipment</w:t>
            </w:r>
          </w:p>
        </w:tc>
        <w:tc>
          <w:tcPr>
            <w:tcW w:w="148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5 years</w:t>
            </w:r>
          </w:p>
        </w:tc>
        <w:tc>
          <w:tcPr>
            <w:tcW w:w="0" w:type="dxa"/>
            <w:vAlign w:val="bottom"/>
          </w:tcPr>
          <w:p>
            <w:pPr>
              <w:spacing w:after="0"/>
              <w:rPr>
                <w:sz w:val="1"/>
                <w:szCs w:val="1"/>
                <w:color w:val="auto"/>
              </w:rPr>
            </w:pPr>
          </w:p>
        </w:tc>
      </w:tr>
      <w:tr>
        <w:trPr>
          <w:trHeight w:val="237"/>
        </w:trPr>
        <w:tc>
          <w:tcPr>
            <w:tcW w:w="97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Sofware</w:t>
            </w:r>
          </w:p>
        </w:tc>
        <w:tc>
          <w:tcPr>
            <w:tcW w:w="148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9"/>
              </w:rPr>
              <w:t>3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Valuaton of Long-Lived Assets</w:t>
      </w:r>
    </w:p>
    <w:p>
      <w:pPr>
        <w:spacing w:after="0" w:line="204" w:lineRule="exact"/>
        <w:rPr>
          <w:sz w:val="20"/>
          <w:szCs w:val="20"/>
          <w:color w:val="auto"/>
        </w:rPr>
      </w:pPr>
    </w:p>
    <w:p>
      <w:pPr>
        <w:jc w:val="both"/>
        <w:ind w:right="60"/>
        <w:spacing w:after="0" w:line="229" w:lineRule="auto"/>
        <w:rPr>
          <w:sz w:val="20"/>
          <w:szCs w:val="20"/>
          <w:color w:val="auto"/>
        </w:rPr>
      </w:pPr>
      <w:r>
        <w:rPr>
          <w:rFonts w:ascii="Calibri" w:cs="Calibri" w:eastAsia="Calibri" w:hAnsi="Calibri"/>
          <w:sz w:val="18"/>
          <w:szCs w:val="18"/>
          <w:color w:val="auto"/>
        </w:rPr>
        <w:t>The Company reviews its long-lived assets for impairment whenever events or changes in circumstances indicate that the carrying amount of the assets may not be fully recoverable. To determine recoverability of a long-lived asset, management evaluates whether the estmated future undiscounted net cash fows, based on prevailing market conditons, from the asset are less than its carrying amount. If impairment is indicated, the long-lived asset is writen down to fair value. The Company recognized a noncash impairment charge of $0.2 million and $4.0 million for the years ended December 31, 2024 and 2023, respectvely. See Note 4, "</w:t>
      </w:r>
      <w:r>
        <w:rPr>
          <w:rFonts w:ascii="Calibri" w:cs="Calibri" w:eastAsia="Calibri" w:hAnsi="Calibri"/>
          <w:sz w:val="18"/>
          <w:szCs w:val="18"/>
          <w:i w:val="1"/>
          <w:iCs w:val="1"/>
          <w:color w:val="auto"/>
        </w:rPr>
        <w:t>Property and Equipment, Net</w:t>
      </w:r>
      <w:r>
        <w:rPr>
          <w:rFonts w:ascii="Calibri" w:cs="Calibri" w:eastAsia="Calibri" w:hAnsi="Calibri"/>
          <w:sz w:val="18"/>
          <w:szCs w:val="18"/>
          <w:color w:val="auto"/>
        </w:rPr>
        <w:t>" for additonal informaton.</w:t>
      </w:r>
    </w:p>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Investments in Equity Securites</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Company owns common shares in a private company. The Company does not have control and does not have the ability to exercise signifcant infuence over operatng and fnancial policies of this entty. The investment does not have a readily determinable fair value and thus the investment is measured at cost less impairment, if any, plus or minus changes resultng from observable price changes in orderly transactons for identcal or similar investments. Investments in equity securites are a component of Other long-term assets and gains (losses) on equity securites are recorded in Other income (expense) on the Consolidated Statements of Operatons and Comprehensive Loss. The Company recognized a noncash impairment charge of $0.9 million for the year ended December 31, 2024. There was no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2" w:name="page83"/>
    <w:bookmarkEnd w:id="82"/>
    <w:p>
      <w:pPr>
        <w:spacing w:after="0"/>
        <w:rPr>
          <w:sz w:val="20"/>
          <w:szCs w:val="20"/>
          <w:color w:val="auto"/>
        </w:rPr>
      </w:pPr>
      <w:r>
        <w:rPr>
          <w:rFonts w:ascii="Calibri" w:cs="Calibri" w:eastAsia="Calibri" w:hAnsi="Calibri"/>
          <w:sz w:val="18"/>
          <w:szCs w:val="18"/>
          <w:color w:val="auto"/>
        </w:rPr>
        <w:t>impairment charges recognized for the year ended December 31, 2023. See Note 6, "</w:t>
      </w:r>
      <w:r>
        <w:rPr>
          <w:rFonts w:ascii="Calibri" w:cs="Calibri" w:eastAsia="Calibri" w:hAnsi="Calibri"/>
          <w:sz w:val="18"/>
          <w:szCs w:val="18"/>
          <w:i w:val="1"/>
          <w:iCs w:val="1"/>
          <w:color w:val="auto"/>
        </w:rPr>
        <w:t>Stockholders' Defcit</w:t>
      </w:r>
      <w:r>
        <w:rPr>
          <w:rFonts w:ascii="Calibri" w:cs="Calibri" w:eastAsia="Calibri" w:hAnsi="Calibri"/>
          <w:sz w:val="18"/>
          <w:szCs w:val="18"/>
          <w:color w:val="auto"/>
        </w:rPr>
        <w:t>" for additonal informaton.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Derivatve Financial Instruments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 held an equity warrant asset in a private company that gave it the right to acquire common stock in the private company. The equity warrant asset contains net setlement terms, and, thus, the Company recorded it as a derivatve. The equity warrant asset enttled the Company to purchase a specifc number of shares of common stock at a specifc price within a specifc tme period, in this case 1 year. The equity warrant asset contains an automatc exercise provision if the Company does not exercise prior to expiraton, or provide notce of its intent not to exercise. Upon automatc exercise, the Company will receive a share count equal to the intrinsic value of the warrant divided by the share price. The equity warrant asset is recorded at fair value and is classifed as a derivatve asset, a component of prepaid expenses and other current assets. The asset was held for prospectve investment gains and is not used to hedge any economic risks.</w:t>
      </w:r>
    </w:p>
    <w:p>
      <w:pPr>
        <w:spacing w:after="0" w:line="22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Any changes in fair value from the grant date fair value of the equity warrant asset classifed as a derivatve is recognized as an increase or decrease to Prepaid expenses and other current assets on the Consolidated Balance Sheets and as net gains or losses on derivatve instruments, in Other income (expense) on the Consolidated Statements of Operatons and Comprehensive Loss. The Company recognized a loss on the change in fair value of $0.5 million during the year ended December 31, 2024. There was no change in fair value of the equity warrant asset during the year ended December 31, 2023. See Note 6, "</w:t>
      </w:r>
      <w:r>
        <w:rPr>
          <w:rFonts w:ascii="Calibri" w:cs="Calibri" w:eastAsia="Calibri" w:hAnsi="Calibri"/>
          <w:sz w:val="18"/>
          <w:szCs w:val="18"/>
          <w:i w:val="1"/>
          <w:iCs w:val="1"/>
          <w:color w:val="auto"/>
        </w:rPr>
        <w:t>Stockholders' Defcit</w:t>
      </w:r>
      <w:r>
        <w:rPr>
          <w:rFonts w:ascii="Calibri" w:cs="Calibri" w:eastAsia="Calibri" w:hAnsi="Calibri"/>
          <w:sz w:val="18"/>
          <w:szCs w:val="18"/>
          <w:color w:val="auto"/>
        </w:rPr>
        <w:t>" for additonal informaton.</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Leases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 accounts for leases in accordance with ASC 842. The Company determines if an arrangement is or contains a lease at contract incepton. The Company recognizes a right-of-use ("ROU") asset and a lease liability at the lease commencement date. The lease liability is initally measured at the present value of the unpaid lease payments at the lease commencement date and is subsequently measured at amortzed cost using the efectve interest method. As most of the Company's leases do not provide an implicit rate, the Company uses its incremental borrowing rate based on the informaton available at the commencement date in determining the present value of lease payments.</w:t>
      </w:r>
    </w:p>
    <w:p>
      <w:pPr>
        <w:spacing w:after="0" w:line="220" w:lineRule="exact"/>
        <w:rPr>
          <w:sz w:val="20"/>
          <w:szCs w:val="20"/>
          <w:color w:val="auto"/>
        </w:rPr>
      </w:pPr>
    </w:p>
    <w:p>
      <w:pPr>
        <w:ind w:right="60"/>
        <w:spacing w:after="0" w:line="258" w:lineRule="auto"/>
        <w:rPr>
          <w:sz w:val="20"/>
          <w:szCs w:val="20"/>
          <w:color w:val="auto"/>
        </w:rPr>
      </w:pPr>
      <w:r>
        <w:rPr>
          <w:rFonts w:ascii="Calibri" w:cs="Calibri" w:eastAsia="Calibri" w:hAnsi="Calibri"/>
          <w:sz w:val="17"/>
          <w:szCs w:val="17"/>
          <w:color w:val="auto"/>
        </w:rPr>
        <w:t>In calculatng the ROU asset and related lease liability, the Company elected to combine lease and non-lease components. The Company excluded short-term leases having inital terms of 12 months or less as an accountng policy electon and recognizes rent expense on a straight-line basis over the lease term.</w:t>
      </w:r>
    </w:p>
    <w:p>
      <w:pPr>
        <w:spacing w:after="0" w:line="202"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Lease payments included in the measurement of the lease liability comprise fxed payments. Variable lease payment amounts, such as increases in lease payments based on changes in index rates or usage, are not included in the measurement of the ROU asset or lease liability. These are expensed as incurred and recorded as variable lease expense. See Note 13, "</w:t>
      </w:r>
      <w:r>
        <w:rPr>
          <w:rFonts w:ascii="Calibri" w:cs="Calibri" w:eastAsia="Calibri" w:hAnsi="Calibri"/>
          <w:sz w:val="18"/>
          <w:szCs w:val="18"/>
          <w:i w:val="1"/>
          <w:iCs w:val="1"/>
          <w:color w:val="auto"/>
        </w:rPr>
        <w:t>Supplemental Balance Sheet and Cash Flow Informaton</w:t>
      </w:r>
      <w:r>
        <w:rPr>
          <w:rFonts w:ascii="Calibri" w:cs="Calibri" w:eastAsia="Calibri" w:hAnsi="Calibri"/>
          <w:sz w:val="18"/>
          <w:szCs w:val="18"/>
          <w:color w:val="auto"/>
        </w:rPr>
        <w:t>" for additonal informaton.</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Environmental Liability</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 xml:space="preserve">Environmental liabilites are recognized in accordance with ASC 410-30, </w:t>
      </w:r>
      <w:r>
        <w:rPr>
          <w:rFonts w:ascii="Calibri" w:cs="Calibri" w:eastAsia="Calibri" w:hAnsi="Calibri"/>
          <w:sz w:val="18"/>
          <w:szCs w:val="18"/>
          <w:i w:val="1"/>
          <w:iCs w:val="1"/>
          <w:color w:val="auto"/>
        </w:rPr>
        <w:t>Asset Retrement and Environmental Obligatons</w:t>
      </w:r>
      <w:r>
        <w:rPr>
          <w:rFonts w:ascii="Calibri" w:cs="Calibri" w:eastAsia="Calibri" w:hAnsi="Calibri"/>
          <w:sz w:val="18"/>
          <w:szCs w:val="18"/>
          <w:color w:val="auto"/>
        </w:rPr>
        <w:t xml:space="preserve"> when the costs are probable and estmable. As of December 31, 2024, we have recognized environmental liabilites for a coal ash pond and landfll which were inherited due to the legacy coal operatons at the Company's property in Torrey, New York. The Company determines the estmate by developing key assumptons to determine the expected cost of remediaton. Estmates are based on various assumptons that are sensitve to changes including, but not limited to, closure and post-closure cost estmates, tming of expenditures, escalaton factors, and requirements of granted permits.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Recogniton</w:t>
      </w:r>
    </w:p>
    <w:p>
      <w:pPr>
        <w:spacing w:after="0" w:line="217" w:lineRule="exact"/>
        <w:rPr>
          <w:sz w:val="20"/>
          <w:szCs w:val="20"/>
          <w:color w:val="auto"/>
        </w:rPr>
      </w:pPr>
    </w:p>
    <w:p>
      <w:pPr>
        <w:jc w:val="both"/>
        <w:ind w:right="180"/>
        <w:spacing w:after="0" w:line="254" w:lineRule="auto"/>
        <w:rPr>
          <w:sz w:val="20"/>
          <w:szCs w:val="20"/>
          <w:color w:val="auto"/>
        </w:rPr>
      </w:pPr>
      <w:r>
        <w:rPr>
          <w:rFonts w:ascii="Calibri" w:cs="Calibri" w:eastAsia="Calibri" w:hAnsi="Calibri"/>
          <w:sz w:val="17"/>
          <w:szCs w:val="17"/>
          <w:color w:val="auto"/>
        </w:rPr>
        <w:t xml:space="preserve">The Company recognizes revenue in accordance with ASC 606, </w:t>
      </w:r>
      <w:r>
        <w:rPr>
          <w:rFonts w:ascii="Calibri" w:cs="Calibri" w:eastAsia="Calibri" w:hAnsi="Calibri"/>
          <w:sz w:val="17"/>
          <w:szCs w:val="17"/>
          <w:i w:val="1"/>
          <w:iCs w:val="1"/>
          <w:color w:val="auto"/>
        </w:rPr>
        <w:t>Revenue from Contracts with Customers</w:t>
      </w:r>
      <w:r>
        <w:rPr>
          <w:rFonts w:ascii="Calibri" w:cs="Calibri" w:eastAsia="Calibri" w:hAnsi="Calibri"/>
          <w:sz w:val="17"/>
          <w:szCs w:val="17"/>
          <w:color w:val="auto"/>
        </w:rPr>
        <w:t>. The core principle of the revenue standard is that a company should recognize revenue to depict the transfer of promised goods or services to customers in an amount that refects the consideraton to which the company expects to be enttled in exchange for those goods or services. The following fve steps are applied to achieve that core principle:</w:t>
      </w:r>
    </w:p>
    <w:p>
      <w:pPr>
        <w:spacing w:after="0" w:line="200" w:lineRule="exact"/>
        <w:rPr>
          <w:sz w:val="20"/>
          <w:szCs w:val="20"/>
          <w:color w:val="auto"/>
        </w:rPr>
      </w:pPr>
    </w:p>
    <w:p>
      <w:pPr>
        <w:ind w:left="1300" w:hanging="320"/>
        <w:spacing w:after="0"/>
        <w:tabs>
          <w:tab w:leader="none" w:pos="130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Step 1: Identfy the contract, or contracts, with the customer;</w:t>
      </w:r>
    </w:p>
    <w:p>
      <w:pPr>
        <w:spacing w:after="0" w:line="200" w:lineRule="exact"/>
        <w:rPr>
          <w:rFonts w:ascii="Calibri" w:cs="Calibri" w:eastAsia="Calibri" w:hAnsi="Calibri"/>
          <w:sz w:val="18"/>
          <w:szCs w:val="18"/>
          <w:color w:val="auto"/>
        </w:rPr>
      </w:pPr>
    </w:p>
    <w:p>
      <w:pPr>
        <w:spacing w:after="0" w:line="200" w:lineRule="exact"/>
        <w:rPr>
          <w:rFonts w:ascii="Calibri" w:cs="Calibri" w:eastAsia="Calibri" w:hAnsi="Calibri"/>
          <w:sz w:val="18"/>
          <w:szCs w:val="18"/>
          <w:color w:val="auto"/>
        </w:rPr>
      </w:pPr>
    </w:p>
    <w:p>
      <w:pPr>
        <w:spacing w:after="0" w:line="212" w:lineRule="exact"/>
        <w:rPr>
          <w:rFonts w:ascii="Calibri" w:cs="Calibri" w:eastAsia="Calibri" w:hAnsi="Calibri"/>
          <w:sz w:val="18"/>
          <w:szCs w:val="18"/>
          <w:color w:val="auto"/>
        </w:rPr>
      </w:pPr>
    </w:p>
    <w:p>
      <w:pPr>
        <w:ind w:left="5460"/>
        <w:spacing w:after="0"/>
        <w:rPr>
          <w:rFonts w:ascii="Calibri" w:cs="Calibri" w:eastAsia="Calibri" w:hAnsi="Calibri"/>
          <w:sz w:val="18"/>
          <w:szCs w:val="18"/>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83" w:name="page84"/>
    <w:bookmarkEnd w:id="83"/>
    <w:p>
      <w:pPr>
        <w:ind w:left="1300" w:hanging="320"/>
        <w:spacing w:after="0"/>
        <w:tabs>
          <w:tab w:leader="none" w:pos="130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Step 2: Identfy the performance obligatons in the contract;</w:t>
      </w:r>
    </w:p>
    <w:p>
      <w:pPr>
        <w:spacing w:after="0" w:line="212" w:lineRule="exact"/>
        <w:rPr>
          <w:rFonts w:ascii="Calibri" w:cs="Calibri" w:eastAsia="Calibri" w:hAnsi="Calibri"/>
          <w:sz w:val="18"/>
          <w:szCs w:val="18"/>
          <w:color w:val="auto"/>
        </w:rPr>
      </w:pPr>
    </w:p>
    <w:p>
      <w:pPr>
        <w:ind w:left="1300" w:hanging="320"/>
        <w:spacing w:after="0"/>
        <w:tabs>
          <w:tab w:leader="none" w:pos="130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Step 3: Determine the transacton price;</w:t>
      </w:r>
    </w:p>
    <w:p>
      <w:pPr>
        <w:spacing w:after="0" w:line="212" w:lineRule="exact"/>
        <w:rPr>
          <w:rFonts w:ascii="Calibri" w:cs="Calibri" w:eastAsia="Calibri" w:hAnsi="Calibri"/>
          <w:sz w:val="18"/>
          <w:szCs w:val="18"/>
          <w:color w:val="auto"/>
        </w:rPr>
      </w:pPr>
    </w:p>
    <w:p>
      <w:pPr>
        <w:ind w:left="1300" w:hanging="320"/>
        <w:spacing w:after="0"/>
        <w:tabs>
          <w:tab w:leader="none" w:pos="130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Step 4: Allocate the transacton price to the performance obligatons in the contract; and</w:t>
      </w:r>
    </w:p>
    <w:p>
      <w:pPr>
        <w:spacing w:after="0" w:line="212" w:lineRule="exact"/>
        <w:rPr>
          <w:rFonts w:ascii="Calibri" w:cs="Calibri" w:eastAsia="Calibri" w:hAnsi="Calibri"/>
          <w:sz w:val="18"/>
          <w:szCs w:val="18"/>
          <w:color w:val="auto"/>
        </w:rPr>
      </w:pPr>
    </w:p>
    <w:p>
      <w:pPr>
        <w:ind w:left="1300" w:hanging="320"/>
        <w:spacing w:after="0"/>
        <w:tabs>
          <w:tab w:leader="none" w:pos="130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Step 5: Recognize revenue when, or as, the Company satsfes a performance obligaton.</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order to identfy the performance obligatons in a contract with a customer, the Company must assess the promised goods or services in the contract and identfy each promised good or service that is distnct. A performance obligaton meets ASC 606’s defniton of a "distnct" good or service (or bundle of goods or services) if both of the following criteria are met: The customer can beneft from the good or service either on its own or together with other resources that are readily available to the customer (i.e., the good or service is capable of being distnct), and the entty’s promise to transfer the good or service to the customer is separately identfable from other promises in the contract (i.e., the promise to transfer the good or service is distnct within the context of the contract).</w:t>
      </w:r>
    </w:p>
    <w:p>
      <w:pPr>
        <w:spacing w:after="0" w:line="22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If a good or service is not distnct, the good or service is combined with other promised goods or services untl a bundle of goods or services is identfed that is distnct.</w:t>
      </w:r>
    </w:p>
    <w:p>
      <w:pPr>
        <w:spacing w:after="0" w:line="218"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The transacton price is the amount of consideraton to which an entty expects to be enttled in exchange for transferring promised goods or services to a customer. The consideraton promised in a contract with a customer may include fxed amounts, variable amounts, or both. When determining the transacton price, an entty must consider the efects of all of the following:</w:t>
      </w:r>
    </w:p>
    <w:p>
      <w:pPr>
        <w:spacing w:after="0" w:line="214" w:lineRule="exact"/>
        <w:rPr>
          <w:sz w:val="20"/>
          <w:szCs w:val="20"/>
          <w:color w:val="auto"/>
        </w:rPr>
      </w:pPr>
    </w:p>
    <w:p>
      <w:pPr>
        <w:ind w:left="1300" w:hanging="320"/>
        <w:spacing w:after="0"/>
        <w:tabs>
          <w:tab w:leader="none" w:pos="130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Variable consideraton;</w:t>
      </w:r>
    </w:p>
    <w:p>
      <w:pPr>
        <w:spacing w:after="0" w:line="212" w:lineRule="exact"/>
        <w:rPr>
          <w:rFonts w:ascii="Calibri" w:cs="Calibri" w:eastAsia="Calibri" w:hAnsi="Calibri"/>
          <w:sz w:val="18"/>
          <w:szCs w:val="18"/>
          <w:color w:val="auto"/>
        </w:rPr>
      </w:pPr>
    </w:p>
    <w:p>
      <w:pPr>
        <w:ind w:left="1300" w:hanging="320"/>
        <w:spacing w:after="0"/>
        <w:tabs>
          <w:tab w:leader="none" w:pos="130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Constraining estmates of variable consideraton;</w:t>
      </w:r>
    </w:p>
    <w:p>
      <w:pPr>
        <w:spacing w:after="0" w:line="212" w:lineRule="exact"/>
        <w:rPr>
          <w:rFonts w:ascii="Calibri" w:cs="Calibri" w:eastAsia="Calibri" w:hAnsi="Calibri"/>
          <w:sz w:val="18"/>
          <w:szCs w:val="18"/>
          <w:color w:val="auto"/>
        </w:rPr>
      </w:pPr>
    </w:p>
    <w:p>
      <w:pPr>
        <w:ind w:left="1300" w:hanging="320"/>
        <w:spacing w:after="0"/>
        <w:tabs>
          <w:tab w:leader="none" w:pos="130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The existence of a signifcant fnancing component in the contract;</w:t>
      </w:r>
    </w:p>
    <w:p>
      <w:pPr>
        <w:spacing w:after="0" w:line="212" w:lineRule="exact"/>
        <w:rPr>
          <w:rFonts w:ascii="Calibri" w:cs="Calibri" w:eastAsia="Calibri" w:hAnsi="Calibri"/>
          <w:sz w:val="18"/>
          <w:szCs w:val="18"/>
          <w:color w:val="auto"/>
        </w:rPr>
      </w:pPr>
    </w:p>
    <w:p>
      <w:pPr>
        <w:ind w:left="1300" w:hanging="320"/>
        <w:spacing w:after="0"/>
        <w:tabs>
          <w:tab w:leader="none" w:pos="130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Noncash consideraton; and</w:t>
      </w:r>
    </w:p>
    <w:p>
      <w:pPr>
        <w:spacing w:after="0" w:line="212" w:lineRule="exact"/>
        <w:rPr>
          <w:rFonts w:ascii="Calibri" w:cs="Calibri" w:eastAsia="Calibri" w:hAnsi="Calibri"/>
          <w:sz w:val="18"/>
          <w:szCs w:val="18"/>
          <w:color w:val="auto"/>
        </w:rPr>
      </w:pPr>
    </w:p>
    <w:p>
      <w:pPr>
        <w:ind w:left="1300" w:hanging="320"/>
        <w:spacing w:after="0"/>
        <w:tabs>
          <w:tab w:leader="none" w:pos="130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Consideraton payable to a customer.</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Variable consideraton is included in the transacton price only to the extent that it is probable that a signifcant reversal in the amount of cumulatve revenue recognized will not occur when the uncertainty associated with the variable consideraton is subsequently resolved. The transacton price is allocated to each performance obligaton on a relatve standalone selling price basis. The transacton price allocated to each performance obligaton is recognized when that performance obligaton is satsfed, at a point in tme or over tme as appropriate.</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 recognizes amounts prepaid by customers in excess of recognizable revenue as contract liabilites on the Consolidated Balance Sheets.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Cryptocurrency Mining Revenue</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Greenidge has entered into digital asset mining pools by executng contracts with the mining pool operators to perform hash computatons for a mining pool. The contracts are terminable at any tme at no cost by either party and Greenidge’s enforceable right to compensaton begins only when, and lasts as long as, Greenidge performs hash computatons for the mining pool operator. In exchange for performing hash computatons, Greenidge is enttled to a fractonal share of the cryptocurrency award the mining pool operator theoretcally receives less the mining pool fees. The agreements entered into with the pool operators pay out based on a Full-Pay-Per-Share (“FPPS”) payout formula, which is a conceptual formula that enttles Greenidge to consideraton upon the provision of hash computatons to the pool even if a block is not successfully placed by the pool operator. Revenue is measured as the value of the consideraton received in the form of cryptocurrency from the pool operator, less the mining pool fees retained by the mining pool operator. Greenidge does not expect any material future changes in mining pool fee rates.</w:t>
      </w:r>
    </w:p>
    <w:p>
      <w:pPr>
        <w:spacing w:after="0" w:line="22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 exchange for performing hash computatons for the mining pool, the Company is enttled to a fractonal share of the cryptocurrency award the mining pool operator theoretcally receives (less pool operator fees to the mining pool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84" w:name="page85"/>
    <w:bookmarkEnd w:id="84"/>
    <w:p>
      <w:pPr>
        <w:spacing w:after="0" w:line="249" w:lineRule="auto"/>
        <w:rPr>
          <w:sz w:val="20"/>
          <w:szCs w:val="20"/>
          <w:color w:val="auto"/>
        </w:rPr>
      </w:pPr>
      <w:r>
        <w:rPr>
          <w:rFonts w:ascii="Calibri" w:cs="Calibri" w:eastAsia="Calibri" w:hAnsi="Calibri"/>
          <w:sz w:val="17"/>
          <w:szCs w:val="17"/>
          <w:color w:val="auto"/>
        </w:rPr>
        <w:t>operator which are neted as a reducton of the transacton price). Greenidge’s fractonal share is based on the proporton of hash computatons the Company performed for the mining pool operator to the total hash computatons contributed by all miners in solving the current algorithm during the 24-hour period. Daily earnings calculated under the FPPS payout formula are calculated from midnight-to-midnight UTC tme and are credited to pool members’ accounts at 1:00:00 A.M. UTC. The pool sends Greenidge’s cryptocurrency balance in the account to a digital wallet designated by the Company between 9:00 A.M. and</w:t>
      </w:r>
    </w:p>
    <w:p>
      <w:pPr>
        <w:spacing w:after="0" w:line="3"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color w:val="auto"/>
        </w:rPr>
        <w:t>5:00 P.M. UTC tme each day, which Greenidge automatcally sells for cash within minutes of receipt, unless Greenidge decides to retain its newly earned bitcoin in connecton with its bitcoin retenton strategy.</w:t>
      </w:r>
    </w:p>
    <w:p>
      <w:pPr>
        <w:spacing w:after="0" w:line="218" w:lineRule="exact"/>
        <w:rPr>
          <w:sz w:val="20"/>
          <w:szCs w:val="20"/>
          <w:color w:val="auto"/>
        </w:rPr>
      </w:pPr>
    </w:p>
    <w:p>
      <w:pPr>
        <w:ind w:right="180"/>
        <w:spacing w:after="0" w:line="250" w:lineRule="auto"/>
        <w:rPr>
          <w:sz w:val="20"/>
          <w:szCs w:val="20"/>
          <w:color w:val="auto"/>
        </w:rPr>
      </w:pPr>
      <w:r>
        <w:rPr>
          <w:rFonts w:ascii="Calibri" w:cs="Calibri" w:eastAsia="Calibri" w:hAnsi="Calibri"/>
          <w:sz w:val="17"/>
          <w:szCs w:val="17"/>
          <w:color w:val="auto"/>
        </w:rPr>
        <w:t>The service of performing hash computatons for the mining pool operators is an output of Greenidge’s ordinary actvites and is the only performance obligaton in Greenidge’s contracts with mining pool operators. The cryptocurrency that Greenidge receives as transacton consideraton is noncash consideraton, which Greenidge measures at fair value on the contract incepton date at 0:00:00 UTC on the start date of the contract. The duraton of each contract is 24 hours or less and provides the same rate of payment upon renewal. Since the pricing remains the same upon contract renewal, the contract does not provide the applicable mining pool operator with a material right that represents a separate performance obligaton. The fair value is based on Greenidge’s primary exchange of the related cryptocurrency which is considered to be Coinbase. The consideraton Greenidge earns is variable since it is based on the amount of hash computatons provided by both Greenidge and the bitcoin network as a whole. The Company does not constrain this variable consideraton because it is probable that a signifcant reversal in the amount of revenue recognized from the contract will not occur when the uncertainty is subsequently resolved and recognizes the non-cash consideraton on the same day that control is transferred, which is the same day as contract incepton.</w:t>
      </w:r>
    </w:p>
    <w:p>
      <w:pPr>
        <w:spacing w:after="0" w:line="21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Power and Capacity Revenue</w:t>
      </w:r>
    </w:p>
    <w:p>
      <w:pPr>
        <w:spacing w:after="0" w:line="217" w:lineRule="exact"/>
        <w:rPr>
          <w:sz w:val="20"/>
          <w:szCs w:val="20"/>
          <w:color w:val="auto"/>
        </w:rPr>
      </w:pPr>
    </w:p>
    <w:p>
      <w:pPr>
        <w:jc w:val="both"/>
        <w:ind w:right="500"/>
        <w:spacing w:after="0" w:line="235" w:lineRule="auto"/>
        <w:rPr>
          <w:sz w:val="20"/>
          <w:szCs w:val="20"/>
          <w:color w:val="auto"/>
        </w:rPr>
      </w:pPr>
      <w:r>
        <w:rPr>
          <w:rFonts w:ascii="Calibri" w:cs="Calibri" w:eastAsia="Calibri" w:hAnsi="Calibri"/>
          <w:sz w:val="18"/>
          <w:szCs w:val="18"/>
          <w:color w:val="auto"/>
        </w:rPr>
        <w:t>Greenidge recognizes power revenue at a point in tme when the electricity is delivered to the NYISO and its performance obligaton is met. Greenidge recognizes revenue on capacity agreements over the life of the contract as its series of performance obligatons are met as capacity to provide power is maintained.</w:t>
      </w:r>
    </w:p>
    <w:p>
      <w:pPr>
        <w:spacing w:after="0" w:line="21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Sales tax, value-added tax, and other taxes Greenidge collects concurrent with revenue-producing actvites are excluded from revenue. Incidental contract costs that are not material in the context of the delivery of goods and services are recognized as expense. There is no signifcant fnancing component in these transactons.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Datacenter Hostng Revenue</w:t>
      </w:r>
    </w:p>
    <w:p>
      <w:pPr>
        <w:spacing w:after="0" w:line="21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Company generates revenue from contracts with customers from providing hostng services to a single third-party customer. Hostng revenue is recognized as services are performed on a variable basis. The Company recognizes variable hostng revenue each month as the uncertainty related to the consideraton is resolved, hostng services are provided to its customer, and its customer utlizes the hostng service (the customer simultaneously receives and consumes the benefts of the Company's performance). The Company's performance obligaton related to these services is satsfed over tme. The Company recognizes revenue for services that are performed on a consumpton basis (the amount of electricity utlized by the customer) as well as through a fxed fee that is earned monthly and a proft-sharing component based on the net proceeds earned by the customer in the month from bitcoin mining actvites. The Company bills its customer at the beginning of each month based on the antcipated consumpton under the contract. Invoices are collected in the month of invoicing under the terms of the contract. The Company recognizes revenue based on actual consumpton in the period.</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Cryptocurrency Mining Cost of Revenue</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Cost of revenue—cryptocurrency datacenter consists primarily of natural gas, emissions, hostng fees paid to third party hostng sites, payroll and benefts and other direct producton costs associated with the megawats generated for the digital mining operaton.</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Datacenter Hostng Cost of Revenue</w:t>
      </w:r>
    </w:p>
    <w:p>
      <w:pPr>
        <w:spacing w:after="0" w:line="217"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Cost of revenue—datacenter hostng consists primarily of natural gas, emissions, payroll and benefts and other direct producton costs associated with the megawats generated for the datacenter hostng operaton.</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Power and Capacity Cost of Revenue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5" w:name="page86"/>
    <w:bookmarkEnd w:id="85"/>
    <w:p>
      <w:pPr>
        <w:ind w:right="140"/>
        <w:spacing w:after="0" w:line="235" w:lineRule="auto"/>
        <w:rPr>
          <w:sz w:val="20"/>
          <w:szCs w:val="20"/>
          <w:color w:val="auto"/>
        </w:rPr>
      </w:pPr>
      <w:r>
        <w:rPr>
          <w:rFonts w:ascii="Calibri" w:cs="Calibri" w:eastAsia="Calibri" w:hAnsi="Calibri"/>
          <w:sz w:val="18"/>
          <w:szCs w:val="18"/>
          <w:color w:val="auto"/>
        </w:rPr>
        <w:t>Cost of revenue—power and capacity consists primarily of natural gas, emissions, payroll and benefts and other direct producton costs associated with the megawats generated for the power produced by Greenidge and sold to the grid.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Selling, General and Administratve Expenses</w:t>
      </w:r>
    </w:p>
    <w:p>
      <w:pPr>
        <w:spacing w:after="0" w:line="217" w:lineRule="exact"/>
        <w:rPr>
          <w:sz w:val="20"/>
          <w:szCs w:val="20"/>
          <w:color w:val="auto"/>
        </w:rPr>
      </w:pPr>
    </w:p>
    <w:p>
      <w:pPr>
        <w:ind w:right="460"/>
        <w:spacing w:after="0" w:line="235" w:lineRule="auto"/>
        <w:rPr>
          <w:sz w:val="20"/>
          <w:szCs w:val="20"/>
          <w:color w:val="auto"/>
        </w:rPr>
      </w:pPr>
      <w:r>
        <w:rPr>
          <w:rFonts w:ascii="Calibri" w:cs="Calibri" w:eastAsia="Calibri" w:hAnsi="Calibri"/>
          <w:sz w:val="18"/>
          <w:szCs w:val="18"/>
          <w:color w:val="auto"/>
        </w:rPr>
        <w:t>Selling, general and administratve expenses consist primarily of administratve payroll and benefts, business development costs, professional fees, and insurance.</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w:t>
      </w:r>
    </w:p>
    <w:p>
      <w:pPr>
        <w:spacing w:after="0" w:line="217"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The Company accounts for share-based payment awards exchanged for services at the estmated grant date fair value of the award. Stock optons issued under the Company’s equity incentve plans are granted with an exercise price equal to no less than the market price of the Company’s stock at the date of grant and expire up to ten years from the date of the grants. These optons generally vest on the grant date or over a three-year period. The Company has elected to account for forfeitures of employee awards as they occur. Restricted stock units ("RSUs") issued under the Company's equity incentve plans are granted to employees and directors and vest over their requisite service period.</w:t>
      </w:r>
    </w:p>
    <w:p>
      <w:pPr>
        <w:spacing w:after="0" w:line="22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 estmates the fair value of the stock opton grants using the Black-Scholes-Merton opton pricing model and the assumptons used in calculatng the fair value of stock-based awards represent management’s best estmates and involve inherent uncertaintes and the applicaton of management’s judgement. The fair value of RSUs is measured on the grant date based on the closing fair market value of the Company's common stock. Stock-based compensaton is recognized on a straight-line basis over the requisite service period, net of actual forfeitures in the period.</w:t>
      </w:r>
    </w:p>
    <w:p>
      <w:pPr>
        <w:spacing w:after="0" w:line="219" w:lineRule="exact"/>
        <w:rPr>
          <w:sz w:val="20"/>
          <w:szCs w:val="20"/>
          <w:color w:val="auto"/>
        </w:rPr>
      </w:pPr>
    </w:p>
    <w:p>
      <w:pPr>
        <w:ind w:right="700"/>
        <w:spacing w:after="0" w:line="235" w:lineRule="auto"/>
        <w:rPr>
          <w:sz w:val="20"/>
          <w:szCs w:val="20"/>
          <w:color w:val="auto"/>
        </w:rPr>
      </w:pPr>
      <w:r>
        <w:rPr>
          <w:rFonts w:ascii="Calibri" w:cs="Calibri" w:eastAsia="Calibri" w:hAnsi="Calibri"/>
          <w:sz w:val="18"/>
          <w:szCs w:val="18"/>
          <w:i w:val="1"/>
          <w:iCs w:val="1"/>
          <w:color w:val="auto"/>
        </w:rPr>
        <w:t xml:space="preserve">Expected Term </w:t>
      </w:r>
      <w:r>
        <w:rPr>
          <w:rFonts w:ascii="Calibri" w:cs="Calibri" w:eastAsia="Calibri" w:hAnsi="Calibri"/>
          <w:sz w:val="18"/>
          <w:szCs w:val="18"/>
          <w:color w:val="auto"/>
        </w:rPr>
        <w:t>– The expected term of optons represents the period that the Company’s stock-based awards are expected to be outstanding on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simplifed method, which is the half-life from vestng to the end of its contractual term.</w:t>
      </w:r>
    </w:p>
    <w:p>
      <w:pPr>
        <w:spacing w:after="0" w:line="218"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i w:val="1"/>
          <w:iCs w:val="1"/>
          <w:color w:val="auto"/>
        </w:rPr>
        <w:t xml:space="preserve">Expected Volatlity </w:t>
      </w:r>
      <w:r>
        <w:rPr>
          <w:rFonts w:ascii="Calibri" w:cs="Calibri" w:eastAsia="Calibri" w:hAnsi="Calibri"/>
          <w:sz w:val="18"/>
          <w:szCs w:val="18"/>
          <w:color w:val="auto"/>
        </w:rPr>
        <w:t>– The Company estmates expected volatlity using a blended volatlity including historical volatlity of the Company’s common stock and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historical volatlity of a peer group of publicly traded companies.</w:t>
      </w:r>
    </w:p>
    <w:p>
      <w:pPr>
        <w:spacing w:after="0" w:line="218"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i w:val="1"/>
          <w:iCs w:val="1"/>
          <w:color w:val="auto"/>
        </w:rPr>
        <w:t>Risk-Free Interest Rate</w:t>
      </w:r>
      <w:r>
        <w:rPr>
          <w:rFonts w:ascii="Calibri" w:cs="Calibri" w:eastAsia="Calibri" w:hAnsi="Calibri"/>
          <w:sz w:val="18"/>
          <w:szCs w:val="18"/>
          <w:color w:val="auto"/>
        </w:rPr>
        <w:t>– The Company bases the risk-free interest rate on the implied yield available on U.S. Treasury zero-coupon issues with an equivalent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remaining term.</w:t>
      </w:r>
    </w:p>
    <w:p>
      <w:pPr>
        <w:spacing w:after="0" w:line="218" w:lineRule="exact"/>
        <w:rPr>
          <w:sz w:val="20"/>
          <w:szCs w:val="20"/>
          <w:color w:val="auto"/>
        </w:rPr>
      </w:pPr>
    </w:p>
    <w:p>
      <w:pPr>
        <w:ind w:right="540"/>
        <w:spacing w:after="0" w:line="235" w:lineRule="auto"/>
        <w:rPr>
          <w:sz w:val="20"/>
          <w:szCs w:val="20"/>
          <w:color w:val="auto"/>
        </w:rPr>
      </w:pPr>
      <w:r>
        <w:rPr>
          <w:rFonts w:ascii="Calibri" w:cs="Calibri" w:eastAsia="Calibri" w:hAnsi="Calibri"/>
          <w:sz w:val="18"/>
          <w:szCs w:val="18"/>
          <w:i w:val="1"/>
          <w:iCs w:val="1"/>
          <w:color w:val="auto"/>
        </w:rPr>
        <w:t xml:space="preserve">Expected Dividend </w:t>
      </w:r>
      <w:r>
        <w:rPr>
          <w:rFonts w:ascii="Calibri" w:cs="Calibri" w:eastAsia="Calibri" w:hAnsi="Calibri"/>
          <w:sz w:val="18"/>
          <w:szCs w:val="18"/>
          <w:color w:val="auto"/>
        </w:rPr>
        <w:t>– The Company has never declared or paid any cash dividends on its common shares and does not plan to pay cash dividends in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foreseeable future, and, therefore, uses an expected dividend yield of zero in its valuaton models.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Income Taxes</w:t>
      </w:r>
    </w:p>
    <w:p>
      <w:pPr>
        <w:spacing w:after="0" w:line="21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 xml:space="preserve">The Company accounts for income taxes in accordance with FASB ASC Topic 740, </w:t>
      </w:r>
      <w:r>
        <w:rPr>
          <w:rFonts w:ascii="Calibri" w:cs="Calibri" w:eastAsia="Calibri" w:hAnsi="Calibri"/>
          <w:sz w:val="18"/>
          <w:szCs w:val="18"/>
          <w:i w:val="1"/>
          <w:iCs w:val="1"/>
          <w:color w:val="auto"/>
        </w:rPr>
        <w:t>Income Taxes</w:t>
      </w:r>
      <w:r>
        <w:rPr>
          <w:rFonts w:ascii="Calibri" w:cs="Calibri" w:eastAsia="Calibri" w:hAnsi="Calibri"/>
          <w:sz w:val="18"/>
          <w:szCs w:val="18"/>
          <w:color w:val="auto"/>
        </w:rPr>
        <w:t>. Deferred income tax assets and liabilites are determined based on the diferences between fnancial statement carrying amounts and the tax basis of existng assets and liabilites. These diferences are measured at the enacted tax rates that will be in efect when these diferences reverse. As changes in tax laws or rates are enacted, deferred tax assets and liabilites are adjusted through the provision for income taxes.</w:t>
      </w:r>
    </w:p>
    <w:p>
      <w:pPr>
        <w:spacing w:after="0" w:line="219" w:lineRule="exact"/>
        <w:rPr>
          <w:sz w:val="20"/>
          <w:szCs w:val="20"/>
          <w:color w:val="auto"/>
        </w:rPr>
      </w:pPr>
    </w:p>
    <w:p>
      <w:pPr>
        <w:ind w:right="100"/>
        <w:spacing w:after="0" w:line="254" w:lineRule="auto"/>
        <w:rPr>
          <w:sz w:val="20"/>
          <w:szCs w:val="20"/>
          <w:color w:val="auto"/>
        </w:rPr>
      </w:pPr>
      <w:r>
        <w:rPr>
          <w:rFonts w:ascii="Calibri" w:cs="Calibri" w:eastAsia="Calibri" w:hAnsi="Calibri"/>
          <w:sz w:val="17"/>
          <w:szCs w:val="17"/>
          <w:color w:val="auto"/>
        </w:rPr>
        <w:t>A valuaton allowance is required to be recognized if it is "more likely than not" that the deferred tax asset will not be realized. The determinaton of the realizability of the deferred tax assets is highly subjectve and dependent upon judgment concerning management’s evaluaton of both positve and negatve evidence, the forecasts of future income, applicable tax planning strategies, and assessments of the current and future economic and business conditons.</w:t>
      </w:r>
    </w:p>
    <w:p>
      <w:pPr>
        <w:spacing w:after="0" w:line="205"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Company recognizes and measures tax positons taken or expected to be taken in its tax return based on their technical merit and assesses the likelihood that the positons will be sustained upon examinaton based on the facts, circumstances and informaton available at the end of each period. The Company recognizes accrued interest and penaltes related to unrecognized tax benefts as part of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86" w:name="page87"/>
    <w:bookmarkEnd w:id="86"/>
    <w:p>
      <w:pPr>
        <w:spacing w:after="0"/>
        <w:rPr>
          <w:sz w:val="20"/>
          <w:szCs w:val="20"/>
          <w:color w:val="auto"/>
        </w:rPr>
      </w:pPr>
      <w:r>
        <w:rPr>
          <w:rFonts w:ascii="Calibri" w:cs="Calibri" w:eastAsia="Calibri" w:hAnsi="Calibri"/>
          <w:sz w:val="18"/>
          <w:szCs w:val="18"/>
          <w:b w:val="1"/>
          <w:bCs w:val="1"/>
          <w:i w:val="1"/>
          <w:iCs w:val="1"/>
          <w:color w:val="auto"/>
        </w:rPr>
        <w:t>Income (Loss) Per Share</w:t>
      </w:r>
    </w:p>
    <w:p>
      <w:pPr>
        <w:spacing w:after="0" w:line="217"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Basic net income (loss) per common share atributable to common shareholders is calculated by dividing net income (loss) atributable to common shareholders by the weighted average number of common shares outstanding for the period. Diluted net income (loss) per common share atributable to common shareholders is calculated by dividing net income (loss) atributable to common shareholders by the diluted weighted average number of common shares outstanding for the period. The Company used the weighted average method in determining earnings per share.</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Fair Value Measurements</w:t>
      </w:r>
    </w:p>
    <w:p>
      <w:pPr>
        <w:spacing w:after="0" w:line="21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The Company determines fair value as the price that would be received to sell an asset or paid to transfer a liability in an orderly transacton between market partcipants at the measurement date. Inputs used in the valuaton techniques to derive fair values are classifed based on a three-level hierarchy. The basis for fair value measurements for each level within the hierarchy is described below, with Level 1 having the highest priority and Level 3 having the lowest. The three levels of the fair value hierarchy are as follows:</w:t>
      </w:r>
    </w:p>
    <w:p>
      <w:pPr>
        <w:spacing w:after="0" w:line="215" w:lineRule="exact"/>
        <w:rPr>
          <w:sz w:val="20"/>
          <w:szCs w:val="20"/>
          <w:color w:val="auto"/>
        </w:rPr>
      </w:pPr>
    </w:p>
    <w:p>
      <w:pPr>
        <w:ind w:left="980" w:hanging="324"/>
        <w:spacing w:after="0"/>
        <w:tabs>
          <w:tab w:leader="none" w:pos="98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Level 1 – inputs are quoted prices (unadjusted) in actve markets for identcal assets or liabilites.</w:t>
      </w:r>
    </w:p>
    <w:p>
      <w:pPr>
        <w:spacing w:after="0" w:line="217" w:lineRule="exact"/>
        <w:rPr>
          <w:rFonts w:ascii="Calibri" w:cs="Calibri" w:eastAsia="Calibri" w:hAnsi="Calibri"/>
          <w:sz w:val="18"/>
          <w:szCs w:val="18"/>
          <w:color w:val="auto"/>
        </w:rPr>
      </w:pPr>
    </w:p>
    <w:p>
      <w:pPr>
        <w:ind w:left="980" w:right="460" w:hanging="324"/>
        <w:spacing w:after="0" w:line="235" w:lineRule="auto"/>
        <w:tabs>
          <w:tab w:leader="none" w:pos="973"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Level 2 – inputs are quoted prices for similar instruments in actve markets; quoted prices for identcal or similar instruments in non-actve markets; and model-derived valuatons whose inputs are observable or whose signifcant valuaton drivers are observable.</w:t>
      </w:r>
    </w:p>
    <w:p>
      <w:pPr>
        <w:spacing w:after="0" w:line="212" w:lineRule="exact"/>
        <w:rPr>
          <w:rFonts w:ascii="Calibri" w:cs="Calibri" w:eastAsia="Calibri" w:hAnsi="Calibri"/>
          <w:sz w:val="18"/>
          <w:szCs w:val="18"/>
          <w:color w:val="auto"/>
        </w:rPr>
      </w:pPr>
    </w:p>
    <w:p>
      <w:pPr>
        <w:ind w:left="980" w:hanging="324"/>
        <w:spacing w:after="0"/>
        <w:tabs>
          <w:tab w:leader="none" w:pos="98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Level 3 – inputs to valuaton models are unobservable and/or refect the Company’s market assumptons.</w:t>
      </w:r>
    </w:p>
    <w:p>
      <w:pPr>
        <w:spacing w:after="0" w:line="21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 fair value hierarchy is based on maximizing the use of observable inputs and minimizing the use of unobservable inputs when measuring fair value. Classifcaton within the fair value hierarchy is based on the lowest level of input that is signifcant to the fair value measurement. The Company transfers the fair value of an asset or liability between levels of the fair value hierarchy at the end of the reportng period during which a signifcant change in the inputs used to determine the fair value has occurred.</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 Accountng Pronouncements Not Yet Adopted</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December 2023, the FASB issued ASU No. 2023-09, Income Taxes (Topic 740): Improvements to Income Tax Disclosure. ASU 2023-09 mostly requires, on an annual basis, disclosure of specifc categories in an entty’s efectve tax rate reconciliaton and income taxes paid disaggregated by jurisdicton. The incremental disclosures may be presented on a prospectve or retrospectve basis. The ASU is efectve for fscal years beginning afer December 15, 2024 with early adopton permited. The Company is currently evaluatng the impact the adopton of this ASU will have on its consolidated fnancial statements and disclosures.</w:t>
      </w:r>
    </w:p>
    <w:p>
      <w:pPr>
        <w:spacing w:after="0" w:line="220" w:lineRule="exact"/>
        <w:rPr>
          <w:sz w:val="20"/>
          <w:szCs w:val="20"/>
          <w:color w:val="auto"/>
        </w:rPr>
      </w:pPr>
    </w:p>
    <w:p>
      <w:pPr>
        <w:ind w:right="20"/>
        <w:spacing w:after="0" w:line="227" w:lineRule="auto"/>
        <w:rPr>
          <w:sz w:val="20"/>
          <w:szCs w:val="20"/>
          <w:color w:val="auto"/>
        </w:rPr>
      </w:pPr>
      <w:r>
        <w:rPr>
          <w:rFonts w:ascii="Calibri" w:cs="Calibri" w:eastAsia="Calibri" w:hAnsi="Calibri"/>
          <w:sz w:val="18"/>
          <w:szCs w:val="18"/>
          <w:color w:val="auto"/>
        </w:rPr>
        <w:t>In November 2024, the FASB issued ASU 2024-03, Income Statement—Reportng Comprehensive Income—Expense Disaggregaton Disclosures (Subtopic 220-40): Disaggregaton of Income Statement Expenses. ASU 2024-03 requires additonal disclosures of certain costs and expenses specifed in the updated guidance, to provide enhanced transparency into aggregate amounts presented on the Consolidated Statements of Operatons and Comprehensive Loss. In January 2025, the FASB issued ASU 2025-01, Income Statement—Reportng Comprehensive Income—Expense Disaggregaton Disclosures (Subtopic 220-40), which clarifes the efectve date of ASU 2024-03. This guidance becomes efectve for annual periods beginning afer December 15, 2026, and interim periods within annual periods beginning afer December 15, 2027. Early adopton is permited. The Company is currently evaluatng this guidance to determine the impact on its disclosures.</w:t>
      </w:r>
    </w:p>
    <w:p>
      <w:pPr>
        <w:spacing w:after="0" w:line="206" w:lineRule="exact"/>
        <w:rPr>
          <w:sz w:val="20"/>
          <w:szCs w:val="20"/>
          <w:color w:val="auto"/>
        </w:rPr>
      </w:pPr>
    </w:p>
    <w:p>
      <w:pPr>
        <w:ind w:right="40"/>
        <w:spacing w:after="0" w:line="242" w:lineRule="auto"/>
        <w:rPr>
          <w:sz w:val="20"/>
          <w:szCs w:val="20"/>
          <w:color w:val="auto"/>
        </w:rPr>
      </w:pPr>
      <w:r>
        <w:rPr>
          <w:rFonts w:ascii="Calibri" w:cs="Calibri" w:eastAsia="Calibri" w:hAnsi="Calibri"/>
          <w:sz w:val="17"/>
          <w:szCs w:val="17"/>
          <w:color w:val="auto"/>
        </w:rPr>
        <w:t>In November 2024, the FASB issued ASU 2024-04, Debt—Debt with Conversion and Other Optons (Subtopic 470-20): Induced Conversions of Convertble Debt Instruments. ASU 2024-04 clarifes the requirements for determining whether certain setlements of convertble debt instruments should be accounted as an induced conversion. This guidance becomes efectve for annual reportng periods beginning afer December 15, 2025, and interim periods within those annual reportng periods. Early adopton is permited. The Company expects this guidance will have no impact to its Consolidated Financial Statements.</w:t>
      </w:r>
    </w:p>
    <w:p>
      <w:pPr>
        <w:spacing w:after="0" w:line="21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 Accountng Pronouncements Adopted</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7" w:name="page88"/>
    <w:bookmarkEnd w:id="87"/>
    <w:p>
      <w:pPr>
        <w:ind w:right="20"/>
        <w:spacing w:after="0" w:line="235" w:lineRule="auto"/>
        <w:rPr>
          <w:sz w:val="20"/>
          <w:szCs w:val="20"/>
          <w:color w:val="auto"/>
        </w:rPr>
      </w:pPr>
      <w:r>
        <w:rPr>
          <w:rFonts w:ascii="Calibri" w:cs="Calibri" w:eastAsia="Calibri" w:hAnsi="Calibri"/>
          <w:sz w:val="18"/>
          <w:szCs w:val="18"/>
          <w:color w:val="auto"/>
        </w:rPr>
        <w:t>In December 2023, the FASB issued ASU No. 2023-08, Intangibles - Goodwill and Other - Crypto Assets (Subtopic 350-60): Accountng for and Disclosure of Crypto Assets ("ASU 2023-08"), which is intended to improve the accountng for and disclosure of crypto assets. The amendments require crypto assets meetng the criteria to be recognized at fair value with changes recognized in net income each reportng period. Upon adopton, a cumulatve-efect adjustment is made to the opening balance of retained earnings as of the beginning of the annual reportng period of adopton. This guidance is efectve for fscal years, and interim periods within those fscal years, beginning afer December 15, 2024, with early adopton permited. The Company elected to adopt ASU 2023-08 efectve January 1, 2024. As a result of adopton, the Company recorded a cumulatve-efect adjustment to its Accumulated defcit balance of approximately $0.02 million as of January 1, 2024, as a result of recognizing its bitcoin held as of January 1, 2024, at fair value.</w:t>
      </w:r>
    </w:p>
    <w:p>
      <w:pPr>
        <w:spacing w:after="0" w:line="22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November 2023, the FASB issued ASU No. 2023-07, Segment Reportng (Topic 280): Improvements to Reportable Segment Disclosures. ASU 2023-07 expands public enttes’ segment disclosures by requiring disclosure of signifcant segment expenses that are regularly provided to the chief operatng decision maker and included within each reported measure of segment proft or loss, an amount and descripton of its compositon of other segment items, and interim disclosures of a reportable segment’s proft or loss and assets. This guidance is efectve for fscal years beginning afer December 15, 2023 and interim periods within fscal years beginning afer December 15, 2024 and is required to be applied retrospectvely. All disclosure requirements under ASU 2023-07 are also required for public enttes with a single reportable segment. The adopted this guidance in the current year and applied it retrospectvely to all periods presented in its Consolidated Financial Statements. See Note 16, "</w:t>
      </w:r>
      <w:r>
        <w:rPr>
          <w:rFonts w:ascii="Calibri" w:cs="Calibri" w:eastAsia="Calibri" w:hAnsi="Calibri"/>
          <w:sz w:val="18"/>
          <w:szCs w:val="18"/>
          <w:i w:val="1"/>
          <w:iCs w:val="1"/>
          <w:color w:val="auto"/>
        </w:rPr>
        <w:t>Segment Reportng</w:t>
      </w:r>
      <w:r>
        <w:rPr>
          <w:rFonts w:ascii="Calibri" w:cs="Calibri" w:eastAsia="Calibri" w:hAnsi="Calibri"/>
          <w:sz w:val="18"/>
          <w:szCs w:val="18"/>
          <w:color w:val="auto"/>
        </w:rPr>
        <w:t>" for additonal informaton.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3" w:right="439" w:bottom="1440" w:gutter="0" w:footer="0" w:header="0"/>
        </w:sectPr>
      </w:pPr>
    </w:p>
    <w:bookmarkStart w:id="88" w:name="page89"/>
    <w:bookmarkEnd w:id="88"/>
    <w:p>
      <w:pPr>
        <w:spacing w:after="0"/>
        <w:rPr>
          <w:sz w:val="20"/>
          <w:szCs w:val="20"/>
          <w:color w:val="auto"/>
        </w:rPr>
      </w:pPr>
      <w:r>
        <w:rPr>
          <w:rFonts w:ascii="Calibri" w:cs="Calibri" w:eastAsia="Calibri" w:hAnsi="Calibri"/>
          <w:sz w:val="18"/>
          <w:szCs w:val="18"/>
          <w:b w:val="1"/>
          <w:bCs w:val="1"/>
          <w:color w:val="auto"/>
        </w:rPr>
        <w:t>3. DISCONTINUED OPERATIONS AND ASSETS HELD FOR SALE</w:t>
      </w:r>
    </w:p>
    <w:p>
      <w:pPr>
        <w:spacing w:after="0" w:line="231" w:lineRule="exact"/>
        <w:rPr>
          <w:sz w:val="20"/>
          <w:szCs w:val="20"/>
          <w:color w:val="auto"/>
        </w:rPr>
      </w:pPr>
    </w:p>
    <w:p>
      <w:pPr>
        <w:ind w:right="280"/>
        <w:spacing w:after="0" w:line="228" w:lineRule="auto"/>
        <w:rPr>
          <w:sz w:val="20"/>
          <w:szCs w:val="20"/>
          <w:color w:val="auto"/>
        </w:rPr>
      </w:pPr>
      <w:r>
        <w:rPr>
          <w:rFonts w:ascii="Calibri" w:cs="Calibri" w:eastAsia="Calibri" w:hAnsi="Calibri"/>
          <w:sz w:val="18"/>
          <w:szCs w:val="18"/>
          <w:color w:val="auto"/>
        </w:rPr>
        <w:t>A business is classifed as held for sale when management having the authority to approve the acton commits to a plan to sell the business, the sale is probable to occur during the next 12 months at a price that is reasonable in relaton to its current fair value and certain other criteria are met. A business classifed as held for sale is recorded at the lower of its carrying amount or estmated fair value less cost to sell. When the carrying amount of the business exceeds its estmated fair value less cost to sell, a loss is recognized and updated each reportng period as appropriate.</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Support.com</w:t>
      </w:r>
    </w:p>
    <w:p>
      <w:pPr>
        <w:spacing w:after="0" w:line="21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contract for Support.com's largest customer was not renewed upon expiraton on December 31, 2022. As a result of this material change in the business, management and the Board of Directors made the determinaton to consider various alternatves for Support.com, including the dispositon of assets. As of December 31, 2022, the Company classifed the Support.com business as held for sale and discontnued operatons in these consolidated fnancial statements as a result of its strategic shif to strictly focus on its cryptocurrency datacenter and power generaton operatons.</w:t>
      </w:r>
    </w:p>
    <w:p>
      <w:pPr>
        <w:spacing w:after="0" w:line="219" w:lineRule="exact"/>
        <w:rPr>
          <w:sz w:val="20"/>
          <w:szCs w:val="20"/>
          <w:color w:val="auto"/>
        </w:rPr>
      </w:pPr>
    </w:p>
    <w:p>
      <w:pPr>
        <w:ind w:right="280"/>
        <w:spacing w:after="0" w:line="254" w:lineRule="auto"/>
        <w:rPr>
          <w:sz w:val="20"/>
          <w:szCs w:val="20"/>
          <w:color w:val="auto"/>
        </w:rPr>
      </w:pPr>
      <w:r>
        <w:rPr>
          <w:rFonts w:ascii="Calibri" w:cs="Calibri" w:eastAsia="Calibri" w:hAnsi="Calibri"/>
          <w:sz w:val="17"/>
          <w:szCs w:val="17"/>
          <w:color w:val="auto"/>
        </w:rPr>
        <w:t>In January 2023, Greenidge completed the sale of a porton of the assets of Support.com for net proceeds of approximately $2.6 million. In June 2023, the Company entered into a purchase and sale agreement with third partes in order to sell certain remaining assets and liabilites, including the transfer of remaining customer contracts, for net proceeds of approximately $0.8 million. The Company ended all Support.com operatons as of December 31, 2023.</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color w:val="auto"/>
        </w:rPr>
        <w:t>Major classes of assets and liabilites consist of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2140" w:type="dxa"/>
            <w:vAlign w:val="bottom"/>
            <w:gridSpan w:val="3"/>
          </w:tcPr>
          <w:p>
            <w:pPr>
              <w:ind w:left="940"/>
              <w:spacing w:after="0"/>
              <w:rPr>
                <w:sz w:val="20"/>
                <w:szCs w:val="20"/>
                <w:color w:val="auto"/>
              </w:rPr>
            </w:pPr>
            <w:r>
              <w:rPr>
                <w:rFonts w:ascii="Calibri" w:cs="Calibri" w:eastAsia="Calibri" w:hAnsi="Calibri"/>
                <w:sz w:val="14"/>
                <w:szCs w:val="14"/>
                <w:b w:val="1"/>
                <w:bCs w:val="1"/>
                <w:color w:val="auto"/>
              </w:rPr>
              <w:t>As of December 31,</w:t>
            </w:r>
          </w:p>
        </w:tc>
        <w:tc>
          <w:tcPr>
            <w:tcW w:w="920" w:type="dxa"/>
            <w:vAlign w:val="bottom"/>
          </w:tcPr>
          <w:p>
            <w:pPr>
              <w:spacing w:after="0"/>
              <w:rPr>
                <w:sz w:val="14"/>
                <w:szCs w:val="14"/>
                <w:color w:val="auto"/>
              </w:rPr>
            </w:pPr>
          </w:p>
        </w:tc>
      </w:tr>
      <w:tr>
        <w:trPr>
          <w:trHeight w:val="203"/>
        </w:trPr>
        <w:tc>
          <w:tcPr>
            <w:tcW w:w="8180" w:type="dxa"/>
            <w:vAlign w:val="bottom"/>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1480" w:type="dxa"/>
            <w:vAlign w:val="bottom"/>
          </w:tcPr>
          <w:p>
            <w:pPr>
              <w:ind w:left="600"/>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ind w:right="512"/>
              <w:spacing w:after="0"/>
              <w:rPr>
                <w:sz w:val="20"/>
                <w:szCs w:val="20"/>
                <w:color w:val="auto"/>
              </w:rPr>
            </w:pPr>
            <w:r>
              <w:rPr>
                <w:rFonts w:ascii="Calibri" w:cs="Calibri" w:eastAsia="Calibri" w:hAnsi="Calibri"/>
                <w:sz w:val="14"/>
                <w:szCs w:val="14"/>
                <w:b w:val="1"/>
                <w:bCs w:val="1"/>
                <w:color w:val="auto"/>
              </w:rPr>
              <w:t>2023</w:t>
            </w:r>
          </w:p>
        </w:tc>
      </w:tr>
      <w:tr>
        <w:trPr>
          <w:trHeight w:val="47"/>
        </w:trPr>
        <w:tc>
          <w:tcPr>
            <w:tcW w:w="818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09"/>
        </w:trPr>
        <w:tc>
          <w:tcPr>
            <w:tcW w:w="818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2140" w:type="dxa"/>
            <w:vAlign w:val="bottom"/>
            <w:gridSpan w:val="3"/>
          </w:tcPr>
          <w:p>
            <w:pPr>
              <w:ind w:left="126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47</w:t>
            </w:r>
          </w:p>
        </w:tc>
      </w:tr>
      <w:tr>
        <w:trPr>
          <w:trHeight w:val="223"/>
        </w:trPr>
        <w:tc>
          <w:tcPr>
            <w:tcW w:w="8180" w:type="dxa"/>
            <w:vAlign w:val="bottom"/>
            <w:tcBorders>
              <w:top w:val="single" w:sz="8" w:color="CCEEFF"/>
            </w:tcBorders>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Current assets held for sale</w:t>
            </w:r>
          </w:p>
        </w:tc>
        <w:tc>
          <w:tcPr>
            <w:tcW w:w="1480" w:type="dxa"/>
            <w:vAlign w:val="bottom"/>
            <w:tcBorders>
              <w:top w:val="single" w:sz="8" w:color="auto"/>
              <w:bottom w:val="single" w:sz="8" w:color="auto"/>
            </w:tcBorders>
            <w:shd w:val="clear" w:color="auto" w:fill="CCEEFF"/>
          </w:tcPr>
          <w:p>
            <w:pPr>
              <w:ind w:left="12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47</w:t>
            </w:r>
          </w:p>
        </w:tc>
      </w:tr>
      <w:tr>
        <w:trPr>
          <w:trHeight w:val="257"/>
        </w:trPr>
        <w:tc>
          <w:tcPr>
            <w:tcW w:w="8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9"/>
        </w:trPr>
        <w:tc>
          <w:tcPr>
            <w:tcW w:w="81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Other assets</w:t>
            </w:r>
          </w:p>
        </w:tc>
        <w:tc>
          <w:tcPr>
            <w:tcW w:w="2140" w:type="dxa"/>
            <w:vAlign w:val="bottom"/>
            <w:gridSpan w:val="3"/>
            <w:shd w:val="clear" w:color="auto" w:fill="CCEEFF"/>
          </w:tcPr>
          <w:p>
            <w:pPr>
              <w:ind w:left="126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454</w:t>
            </w:r>
          </w:p>
        </w:tc>
      </w:tr>
      <w:tr>
        <w:trPr>
          <w:trHeight w:val="216"/>
        </w:trPr>
        <w:tc>
          <w:tcPr>
            <w:tcW w:w="8180" w:type="dxa"/>
            <w:vAlign w:val="bottom"/>
          </w:tcPr>
          <w:p>
            <w:pPr>
              <w:ind w:left="20"/>
              <w:spacing w:after="0" w:line="199" w:lineRule="exact"/>
              <w:rPr>
                <w:sz w:val="20"/>
                <w:szCs w:val="20"/>
                <w:color w:val="auto"/>
              </w:rPr>
            </w:pPr>
            <w:r>
              <w:rPr>
                <w:rFonts w:ascii="Calibri" w:cs="Calibri" w:eastAsia="Calibri" w:hAnsi="Calibri"/>
                <w:sz w:val="18"/>
                <w:szCs w:val="18"/>
                <w:color w:val="auto"/>
              </w:rPr>
              <w:t>Long-term assets held for sale</w:t>
            </w:r>
          </w:p>
        </w:tc>
        <w:tc>
          <w:tcPr>
            <w:tcW w:w="1480" w:type="dxa"/>
            <w:vAlign w:val="bottom"/>
            <w:tcBorders>
              <w:top w:val="single" w:sz="8" w:color="auto"/>
            </w:tcBorders>
          </w:tcPr>
          <w:p>
            <w:pPr>
              <w:ind w:left="12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454</w:t>
            </w:r>
          </w:p>
        </w:tc>
      </w:tr>
      <w:tr>
        <w:trPr>
          <w:trHeight w:val="237"/>
        </w:trPr>
        <w:tc>
          <w:tcPr>
            <w:tcW w:w="81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Loss on classifcaton to held for sale</w:t>
            </w:r>
          </w:p>
        </w:tc>
        <w:tc>
          <w:tcPr>
            <w:tcW w:w="2140" w:type="dxa"/>
            <w:vAlign w:val="bottom"/>
            <w:gridSpan w:val="3"/>
            <w:shd w:val="clear" w:color="auto" w:fill="CCEEFF"/>
          </w:tcPr>
          <w:p>
            <w:pPr>
              <w:ind w:left="1260"/>
              <w:spacing w:after="0"/>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(501)</w:t>
            </w:r>
          </w:p>
        </w:tc>
      </w:tr>
      <w:tr>
        <w:trPr>
          <w:trHeight w:val="223"/>
        </w:trPr>
        <w:tc>
          <w:tcPr>
            <w:tcW w:w="8180" w:type="dxa"/>
            <w:vAlign w:val="bottom"/>
          </w:tcPr>
          <w:p>
            <w:pPr>
              <w:ind w:left="20"/>
              <w:spacing w:after="0"/>
              <w:rPr>
                <w:sz w:val="20"/>
                <w:szCs w:val="20"/>
                <w:color w:val="auto"/>
              </w:rPr>
            </w:pPr>
            <w:r>
              <w:rPr>
                <w:rFonts w:ascii="Calibri" w:cs="Calibri" w:eastAsia="Calibri" w:hAnsi="Calibri"/>
                <w:sz w:val="18"/>
                <w:szCs w:val="18"/>
                <w:color w:val="auto"/>
              </w:rPr>
              <w:t>Assets held for sale</w:t>
            </w:r>
          </w:p>
        </w:tc>
        <w:tc>
          <w:tcPr>
            <w:tcW w:w="1480" w:type="dxa"/>
            <w:vAlign w:val="bottom"/>
            <w:tcBorders>
              <w:top w:val="single" w:sz="8" w:color="auto"/>
              <w:bottom w:val="single" w:sz="8" w:color="auto"/>
            </w:tcBorders>
          </w:tcPr>
          <w:p>
            <w:pPr>
              <w:ind w:left="12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2"/>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Liabilites: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Accounts payable</w:t>
            </w:r>
          </w:p>
        </w:tc>
        <w:tc>
          <w:tcPr>
            <w:tcW w:w="2140" w:type="dxa"/>
            <w:vAlign w:val="bottom"/>
            <w:gridSpan w:val="3"/>
            <w:shd w:val="clear" w:color="auto" w:fill="CCEEFF"/>
          </w:tcPr>
          <w:p>
            <w:pPr>
              <w:ind w:left="1260"/>
              <w:spacing w:after="0"/>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w:t>
            </w:r>
          </w:p>
        </w:tc>
      </w:tr>
      <w:tr>
        <w:trPr>
          <w:trHeight w:val="223"/>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expenses</w:t>
            </w:r>
          </w:p>
        </w:tc>
        <w:tc>
          <w:tcPr>
            <w:tcW w:w="2140" w:type="dxa"/>
            <w:vAlign w:val="bottom"/>
            <w:gridSpan w:val="3"/>
          </w:tcPr>
          <w:p>
            <w:pPr>
              <w:ind w:left="126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462</w:t>
            </w:r>
          </w:p>
        </w:tc>
      </w:tr>
      <w:tr>
        <w:trPr>
          <w:trHeight w:val="223"/>
        </w:trPr>
        <w:tc>
          <w:tcPr>
            <w:tcW w:w="8180" w:type="dxa"/>
            <w:vAlign w:val="bottom"/>
            <w:tcBorders>
              <w:top w:val="single" w:sz="8" w:color="CCEEFF"/>
            </w:tcBorders>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Current liabilites held for sale</w:t>
            </w:r>
          </w:p>
        </w:tc>
        <w:tc>
          <w:tcPr>
            <w:tcW w:w="1480" w:type="dxa"/>
            <w:vAlign w:val="bottom"/>
            <w:tcBorders>
              <w:top w:val="single" w:sz="8" w:color="auto"/>
              <w:bottom w:val="single" w:sz="8" w:color="auto"/>
            </w:tcBorders>
            <w:shd w:val="clear" w:color="auto" w:fill="CCEEFF"/>
          </w:tcPr>
          <w:p>
            <w:pPr>
              <w:ind w:left="12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483</w:t>
            </w:r>
          </w:p>
        </w:tc>
      </w:tr>
      <w:tr>
        <w:trPr>
          <w:trHeight w:val="257"/>
        </w:trPr>
        <w:tc>
          <w:tcPr>
            <w:tcW w:w="81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Liabilites held for sale</w:t>
            </w:r>
          </w:p>
        </w:tc>
        <w:tc>
          <w:tcPr>
            <w:tcW w:w="1480" w:type="dxa"/>
            <w:vAlign w:val="bottom"/>
            <w:tcBorders>
              <w:bottom w:val="single" w:sz="8" w:color="auto"/>
            </w:tcBorders>
            <w:shd w:val="clear" w:color="auto" w:fill="CCEEFF"/>
          </w:tcPr>
          <w:p>
            <w:pPr>
              <w:ind w:left="12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483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9" w:name="page90"/>
    <w:bookmarkEnd w:id="89"/>
    <w:p>
      <w:pPr>
        <w:spacing w:after="0"/>
        <w:rPr>
          <w:sz w:val="20"/>
          <w:szCs w:val="20"/>
          <w:color w:val="auto"/>
        </w:rPr>
      </w:pPr>
      <w:r>
        <w:rPr>
          <w:rFonts w:ascii="Calibri" w:cs="Calibri" w:eastAsia="Calibri" w:hAnsi="Calibri"/>
          <w:sz w:val="18"/>
          <w:szCs w:val="18"/>
          <w:color w:val="auto"/>
        </w:rPr>
        <w:t>Financial results from discontnued operatons consist of the following:</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4"/>
          </w:tcPr>
          <w:p>
            <w:pPr>
              <w:jc w:val="right"/>
              <w:ind w:right="452"/>
              <w:spacing w:after="0"/>
              <w:rPr>
                <w:sz w:val="20"/>
                <w:szCs w:val="20"/>
                <w:color w:val="auto"/>
              </w:rPr>
            </w:pPr>
            <w:r>
              <w:rPr>
                <w:rFonts w:ascii="Calibri" w:cs="Calibri" w:eastAsia="Calibri" w:hAnsi="Calibri"/>
                <w:sz w:val="14"/>
                <w:szCs w:val="14"/>
                <w:b w:val="1"/>
                <w:bCs w:val="1"/>
                <w:color w:val="auto"/>
              </w:rPr>
              <w:t>For the Year Ended December 31,</w:t>
            </w:r>
          </w:p>
        </w:tc>
      </w:tr>
      <w:tr>
        <w:trPr>
          <w:trHeight w:val="202"/>
        </w:trPr>
        <w:tc>
          <w:tcPr>
            <w:tcW w:w="8180" w:type="dxa"/>
            <w:vAlign w:val="bottom"/>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320" w:type="dxa"/>
            <w:vAlign w:val="bottom"/>
          </w:tcPr>
          <w:p>
            <w:pPr>
              <w:spacing w:after="0"/>
              <w:rPr>
                <w:sz w:val="17"/>
                <w:szCs w:val="17"/>
                <w:color w:val="auto"/>
              </w:rPr>
            </w:pPr>
          </w:p>
        </w:tc>
        <w:tc>
          <w:tcPr>
            <w:tcW w:w="1160" w:type="dxa"/>
            <w:vAlign w:val="bottom"/>
          </w:tcPr>
          <w:p>
            <w:pPr>
              <w:ind w:left="280"/>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Calibri" w:cs="Calibri" w:eastAsia="Calibri" w:hAnsi="Calibri"/>
                <w:sz w:val="14"/>
                <w:szCs w:val="14"/>
                <w:b w:val="1"/>
                <w:bCs w:val="1"/>
                <w:color w:val="auto"/>
              </w:rPr>
              <w:t>2023</w:t>
            </w:r>
          </w:p>
        </w:tc>
      </w:tr>
      <w:tr>
        <w:trPr>
          <w:trHeight w:val="47"/>
        </w:trPr>
        <w:tc>
          <w:tcPr>
            <w:tcW w:w="81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23"/>
        </w:trPr>
        <w:tc>
          <w:tcPr>
            <w:tcW w:w="818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Revenue</w:t>
            </w: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ind w:left="9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4,223</w:t>
            </w:r>
          </w:p>
        </w:tc>
      </w:tr>
      <w:tr>
        <w:trPr>
          <w:trHeight w:val="222"/>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Cost of revenue - services and other (exclusive of depreciaton and amortzaton)</w:t>
            </w:r>
          </w:p>
        </w:tc>
        <w:tc>
          <w:tcPr>
            <w:tcW w:w="320" w:type="dxa"/>
            <w:vAlign w:val="bottom"/>
          </w:tcPr>
          <w:p>
            <w:pPr>
              <w:spacing w:after="0"/>
              <w:rPr>
                <w:sz w:val="19"/>
                <w:szCs w:val="19"/>
                <w:color w:val="auto"/>
              </w:rPr>
            </w:pPr>
          </w:p>
        </w:tc>
        <w:tc>
          <w:tcPr>
            <w:tcW w:w="1260" w:type="dxa"/>
            <w:vAlign w:val="bottom"/>
            <w:gridSpan w:val="2"/>
          </w:tcPr>
          <w:p>
            <w:pPr>
              <w:ind w:left="94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(4,436)</w:t>
            </w:r>
          </w:p>
        </w:tc>
      </w:tr>
      <w:tr>
        <w:trPr>
          <w:trHeight w:val="237"/>
        </w:trPr>
        <w:tc>
          <w:tcPr>
            <w:tcW w:w="81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Selling, general and administratve</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40"/>
              <w:spacing w:after="0"/>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(3,388)</w:t>
            </w:r>
          </w:p>
        </w:tc>
      </w:tr>
      <w:tr>
        <w:trPr>
          <w:trHeight w:val="222"/>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Merger and other costs</w:t>
            </w:r>
          </w:p>
        </w:tc>
        <w:tc>
          <w:tcPr>
            <w:tcW w:w="320" w:type="dxa"/>
            <w:vAlign w:val="bottom"/>
          </w:tcPr>
          <w:p>
            <w:pPr>
              <w:spacing w:after="0"/>
              <w:rPr>
                <w:sz w:val="19"/>
                <w:szCs w:val="19"/>
                <w:color w:val="auto"/>
              </w:rPr>
            </w:pPr>
          </w:p>
        </w:tc>
        <w:tc>
          <w:tcPr>
            <w:tcW w:w="1260" w:type="dxa"/>
            <w:vAlign w:val="bottom"/>
            <w:gridSpan w:val="2"/>
          </w:tcPr>
          <w:p>
            <w:pPr>
              <w:ind w:left="94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(684)</w:t>
            </w:r>
          </w:p>
        </w:tc>
      </w:tr>
      <w:tr>
        <w:trPr>
          <w:trHeight w:val="237"/>
        </w:trPr>
        <w:tc>
          <w:tcPr>
            <w:tcW w:w="81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Gain on asset disposal</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40"/>
              <w:spacing w:after="0"/>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4,162</w:t>
            </w:r>
          </w:p>
        </w:tc>
      </w:tr>
      <w:tr>
        <w:trPr>
          <w:trHeight w:val="222"/>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Loss on assets classifed as held for sale</w:t>
            </w:r>
          </w:p>
        </w:tc>
        <w:tc>
          <w:tcPr>
            <w:tcW w:w="320" w:type="dxa"/>
            <w:vAlign w:val="bottom"/>
          </w:tcPr>
          <w:p>
            <w:pPr>
              <w:spacing w:after="0"/>
              <w:rPr>
                <w:sz w:val="19"/>
                <w:szCs w:val="19"/>
                <w:color w:val="auto"/>
              </w:rPr>
            </w:pPr>
          </w:p>
        </w:tc>
        <w:tc>
          <w:tcPr>
            <w:tcW w:w="1260" w:type="dxa"/>
            <w:vAlign w:val="bottom"/>
            <w:gridSpan w:val="2"/>
          </w:tcPr>
          <w:p>
            <w:pPr>
              <w:ind w:left="94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(501)</w:t>
            </w:r>
          </w:p>
        </w:tc>
      </w:tr>
      <w:tr>
        <w:trPr>
          <w:trHeight w:val="237"/>
        </w:trPr>
        <w:tc>
          <w:tcPr>
            <w:tcW w:w="81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(loss) income, net</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40"/>
              <w:spacing w:after="0"/>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(179)</w:t>
            </w:r>
          </w:p>
        </w:tc>
      </w:tr>
      <w:tr>
        <w:trPr>
          <w:trHeight w:val="216"/>
        </w:trPr>
        <w:tc>
          <w:tcPr>
            <w:tcW w:w="8180" w:type="dxa"/>
            <w:vAlign w:val="bottom"/>
          </w:tcPr>
          <w:p>
            <w:pPr>
              <w:ind w:left="20"/>
              <w:spacing w:after="0" w:line="199" w:lineRule="exact"/>
              <w:rPr>
                <w:sz w:val="20"/>
                <w:szCs w:val="20"/>
                <w:color w:val="auto"/>
              </w:rPr>
            </w:pPr>
            <w:r>
              <w:rPr>
                <w:rFonts w:ascii="Calibri" w:cs="Calibri" w:eastAsia="Calibri" w:hAnsi="Calibri"/>
                <w:sz w:val="18"/>
                <w:szCs w:val="18"/>
                <w:color w:val="auto"/>
              </w:rPr>
              <w:t>Pretax loss of discontnued operatons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ind w:left="9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(803)</w:t>
            </w:r>
          </w:p>
        </w:tc>
      </w:tr>
      <w:tr>
        <w:trPr>
          <w:trHeight w:val="237"/>
        </w:trPr>
        <w:tc>
          <w:tcPr>
            <w:tcW w:w="81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Provision for (beneft from) income taxes</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40"/>
              <w:spacing w:after="0"/>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(332)</w:t>
            </w:r>
          </w:p>
        </w:tc>
      </w:tr>
      <w:tr>
        <w:trPr>
          <w:trHeight w:val="223"/>
        </w:trPr>
        <w:tc>
          <w:tcPr>
            <w:tcW w:w="8180" w:type="dxa"/>
            <w:vAlign w:val="bottom"/>
          </w:tcPr>
          <w:p>
            <w:pPr>
              <w:ind w:left="20"/>
              <w:spacing w:after="0"/>
              <w:rPr>
                <w:sz w:val="20"/>
                <w:szCs w:val="20"/>
                <w:color w:val="auto"/>
              </w:rPr>
            </w:pPr>
            <w:r>
              <w:rPr>
                <w:rFonts w:ascii="Calibri" w:cs="Calibri" w:eastAsia="Calibri" w:hAnsi="Calibri"/>
                <w:sz w:val="18"/>
                <w:szCs w:val="18"/>
                <w:color w:val="auto"/>
              </w:rPr>
              <w:t>Loss from discontnued operatons, net of tax</w:t>
            </w:r>
          </w:p>
        </w:tc>
        <w:tc>
          <w:tcPr>
            <w:tcW w:w="320" w:type="dxa"/>
            <w:vAlign w:val="bottom"/>
            <w:tcBorders>
              <w:top w:val="single" w:sz="8" w:color="auto"/>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bottom w:val="single" w:sz="8" w:color="auto"/>
            </w:tcBorders>
          </w:tcPr>
          <w:p>
            <w:pPr>
              <w:ind w:left="9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(471)</w:t>
            </w:r>
          </w:p>
        </w:tc>
      </w:tr>
      <w:tr>
        <w:trPr>
          <w:trHeight w:val="21"/>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efectve income tax rate from discontnued operatons for the years ended December 31, 2024 and 2023 was 0%.</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South Carolina Facility</w:t>
      </w:r>
    </w:p>
    <w:p>
      <w:pPr>
        <w:spacing w:after="0" w:line="231" w:lineRule="exact"/>
        <w:rPr>
          <w:sz w:val="20"/>
          <w:szCs w:val="20"/>
          <w:color w:val="auto"/>
        </w:rPr>
      </w:pPr>
    </w:p>
    <w:p>
      <w:pPr>
        <w:spacing w:after="0" w:line="225" w:lineRule="auto"/>
        <w:rPr>
          <w:sz w:val="20"/>
          <w:szCs w:val="20"/>
          <w:color w:val="auto"/>
        </w:rPr>
      </w:pPr>
      <w:r>
        <w:rPr>
          <w:rFonts w:ascii="Calibri" w:cs="Calibri" w:eastAsia="Calibri" w:hAnsi="Calibri"/>
          <w:sz w:val="18"/>
          <w:szCs w:val="18"/>
          <w:color w:val="auto"/>
        </w:rPr>
        <w:t>In September 2024, the Company entered into a leter of intent to sell the remaining land it owns in Spartanburg, South Carolina and in November 2024 entered into a defnitve agreement to sell. The South Carolina Facility, with a carrying value of $7.2 million, is presented as long-term assets held for sale as of December 31, 2024.</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4. PROPERTY AND EQUIPMENT, NET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Property and equipment, net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158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Estmated Useful</w:t>
            </w:r>
          </w:p>
        </w:tc>
        <w:tc>
          <w:tcPr>
            <w:tcW w:w="14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Calibri" w:cs="Calibri" w:eastAsia="Calibri" w:hAnsi="Calibri"/>
                <w:sz w:val="14"/>
                <w:szCs w:val="14"/>
                <w:b w:val="1"/>
                <w:bCs w:val="1"/>
                <w:color w:val="auto"/>
              </w:rPr>
              <w:t>December 31, 2024</w:t>
            </w:r>
          </w:p>
        </w:tc>
        <w:tc>
          <w:tcPr>
            <w:tcW w:w="140" w:type="dxa"/>
            <w:vAlign w:val="bottom"/>
          </w:tcPr>
          <w:p>
            <w:pPr>
              <w:spacing w:after="0"/>
              <w:rPr>
                <w:sz w:val="14"/>
                <w:szCs w:val="14"/>
                <w:color w:val="auto"/>
              </w:rPr>
            </w:pPr>
          </w:p>
        </w:tc>
        <w:tc>
          <w:tcPr>
            <w:tcW w:w="1340" w:type="dxa"/>
            <w:vAlign w:val="bottom"/>
            <w:vMerge w:val="restart"/>
          </w:tcPr>
          <w:p>
            <w:pPr>
              <w:jc w:val="right"/>
              <w:ind w:right="72"/>
              <w:spacing w:after="0"/>
              <w:rPr>
                <w:sz w:val="20"/>
                <w:szCs w:val="20"/>
                <w:color w:val="auto"/>
              </w:rPr>
            </w:pPr>
            <w:r>
              <w:rPr>
                <w:rFonts w:ascii="Calibri" w:cs="Calibri" w:eastAsia="Calibri" w:hAnsi="Calibri"/>
                <w:sz w:val="14"/>
                <w:szCs w:val="14"/>
                <w:b w:val="1"/>
                <w:bCs w:val="1"/>
                <w:color w:val="auto"/>
              </w:rPr>
              <w:t>December 31, 2023</w:t>
            </w:r>
          </w:p>
        </w:tc>
        <w:tc>
          <w:tcPr>
            <w:tcW w:w="0" w:type="dxa"/>
            <w:vAlign w:val="bottom"/>
          </w:tcPr>
          <w:p>
            <w:pPr>
              <w:spacing w:after="0"/>
              <w:rPr>
                <w:sz w:val="1"/>
                <w:szCs w:val="1"/>
                <w:color w:val="auto"/>
              </w:rPr>
            </w:pPr>
          </w:p>
        </w:tc>
      </w:tr>
      <w:tr>
        <w:trPr>
          <w:trHeight w:val="170"/>
        </w:trPr>
        <w:tc>
          <w:tcPr>
            <w:tcW w:w="6600" w:type="dxa"/>
            <w:vAlign w:val="bottom"/>
            <w:vMerge w:val="continue"/>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w w:val="97"/>
              </w:rPr>
              <w:t>Lives</w:t>
            </w: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60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Plant infrastructure</w:t>
            </w:r>
          </w:p>
        </w:tc>
        <w:tc>
          <w:tcPr>
            <w:tcW w:w="148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7"/>
              </w:rPr>
              <w:t>10 years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1,367</w:t>
            </w:r>
          </w:p>
        </w:tc>
        <w:tc>
          <w:tcPr>
            <w:tcW w:w="0" w:type="dxa"/>
            <w:vAlign w:val="bottom"/>
          </w:tcPr>
          <w:p>
            <w:pPr>
              <w:spacing w:after="0"/>
              <w:rPr>
                <w:sz w:val="1"/>
                <w:szCs w:val="1"/>
                <w:color w:val="auto"/>
              </w:rPr>
            </w:pPr>
          </w:p>
        </w:tc>
      </w:tr>
      <w:tr>
        <w:trPr>
          <w:trHeight w:val="222"/>
        </w:trPr>
        <w:tc>
          <w:tcPr>
            <w:tcW w:w="6600" w:type="dxa"/>
            <w:vAlign w:val="bottom"/>
          </w:tcPr>
          <w:p>
            <w:pPr>
              <w:ind w:left="20"/>
              <w:spacing w:after="0" w:line="215" w:lineRule="exact"/>
              <w:rPr>
                <w:sz w:val="20"/>
                <w:szCs w:val="20"/>
                <w:color w:val="auto"/>
              </w:rPr>
            </w:pPr>
            <w:r>
              <w:rPr>
                <w:rFonts w:ascii="Calibri" w:cs="Calibri" w:eastAsia="Calibri" w:hAnsi="Calibri"/>
                <w:sz w:val="18"/>
                <w:szCs w:val="18"/>
                <w:color w:val="auto"/>
              </w:rPr>
              <w:t>Miners</w:t>
            </w:r>
          </w:p>
        </w:tc>
        <w:tc>
          <w:tcPr>
            <w:tcW w:w="1580" w:type="dxa"/>
            <w:vAlign w:val="bottom"/>
            <w:gridSpan w:val="2"/>
          </w:tcPr>
          <w:p>
            <w:pPr>
              <w:jc w:val="center"/>
              <w:ind w:right="100"/>
              <w:spacing w:after="0" w:line="215" w:lineRule="exact"/>
              <w:rPr>
                <w:sz w:val="20"/>
                <w:szCs w:val="20"/>
                <w:color w:val="auto"/>
              </w:rPr>
            </w:pPr>
            <w:r>
              <w:rPr>
                <w:rFonts w:ascii="Calibri" w:cs="Calibri" w:eastAsia="Calibri" w:hAnsi="Calibri"/>
                <w:sz w:val="18"/>
                <w:szCs w:val="18"/>
                <w:color w:val="auto"/>
                <w:w w:val="99"/>
              </w:rPr>
              <w:t>3 years</w:t>
            </w:r>
          </w:p>
        </w:tc>
        <w:tc>
          <w:tcPr>
            <w:tcW w:w="140" w:type="dxa"/>
            <w:vAlign w:val="bottom"/>
          </w:tcPr>
          <w:p>
            <w:pPr>
              <w:spacing w:after="0"/>
              <w:rPr>
                <w:sz w:val="19"/>
                <w:szCs w:val="19"/>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36,182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32,195</w:t>
            </w:r>
          </w:p>
        </w:tc>
        <w:tc>
          <w:tcPr>
            <w:tcW w:w="0" w:type="dxa"/>
            <w:vAlign w:val="bottom"/>
          </w:tcPr>
          <w:p>
            <w:pPr>
              <w:spacing w:after="0"/>
              <w:rPr>
                <w:sz w:val="1"/>
                <w:szCs w:val="1"/>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Miner facility infrastructure</w:t>
            </w:r>
          </w:p>
        </w:tc>
        <w:tc>
          <w:tcPr>
            <w:tcW w:w="1580" w:type="dxa"/>
            <w:vAlign w:val="bottom"/>
            <w:gridSpan w:val="2"/>
            <w:shd w:val="clear" w:color="auto" w:fill="CCEEFF"/>
          </w:tcPr>
          <w:p>
            <w:pPr>
              <w:jc w:val="center"/>
              <w:ind w:right="100"/>
              <w:spacing w:after="0"/>
              <w:rPr>
                <w:sz w:val="20"/>
                <w:szCs w:val="20"/>
                <w:color w:val="auto"/>
              </w:rPr>
            </w:pPr>
            <w:r>
              <w:rPr>
                <w:rFonts w:ascii="Calibri" w:cs="Calibri" w:eastAsia="Calibri" w:hAnsi="Calibri"/>
                <w:sz w:val="18"/>
                <w:szCs w:val="18"/>
                <w:color w:val="auto"/>
                <w:w w:val="97"/>
              </w:rPr>
              <w:t>10 years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13,227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8,154</w:t>
            </w:r>
          </w:p>
        </w:tc>
        <w:tc>
          <w:tcPr>
            <w:tcW w:w="0" w:type="dxa"/>
            <w:vAlign w:val="bottom"/>
          </w:tcPr>
          <w:p>
            <w:pPr>
              <w:spacing w:after="0"/>
              <w:rPr>
                <w:sz w:val="1"/>
                <w:szCs w:val="1"/>
                <w:color w:val="auto"/>
              </w:rPr>
            </w:pPr>
          </w:p>
        </w:tc>
      </w:tr>
      <w:tr>
        <w:trPr>
          <w:trHeight w:val="222"/>
        </w:trPr>
        <w:tc>
          <w:tcPr>
            <w:tcW w:w="6600" w:type="dxa"/>
            <w:vAlign w:val="bottom"/>
          </w:tcPr>
          <w:p>
            <w:pPr>
              <w:ind w:left="20"/>
              <w:spacing w:after="0" w:line="215" w:lineRule="exact"/>
              <w:rPr>
                <w:sz w:val="20"/>
                <w:szCs w:val="20"/>
                <w:color w:val="auto"/>
              </w:rPr>
            </w:pPr>
            <w:r>
              <w:rPr>
                <w:rFonts w:ascii="Calibri" w:cs="Calibri" w:eastAsia="Calibri" w:hAnsi="Calibri"/>
                <w:sz w:val="18"/>
                <w:szCs w:val="18"/>
                <w:color w:val="auto"/>
              </w:rPr>
              <w:t>Land</w:t>
            </w:r>
          </w:p>
        </w:tc>
        <w:tc>
          <w:tcPr>
            <w:tcW w:w="1580" w:type="dxa"/>
            <w:vAlign w:val="bottom"/>
            <w:gridSpan w:val="2"/>
          </w:tcPr>
          <w:p>
            <w:pPr>
              <w:jc w:val="center"/>
              <w:ind w:right="100"/>
              <w:spacing w:after="0" w:line="215" w:lineRule="exact"/>
              <w:rPr>
                <w:sz w:val="20"/>
                <w:szCs w:val="20"/>
                <w:color w:val="auto"/>
              </w:rPr>
            </w:pPr>
            <w:r>
              <w:rPr>
                <w:rFonts w:ascii="Calibri" w:cs="Calibri" w:eastAsia="Calibri" w:hAnsi="Calibri"/>
                <w:sz w:val="18"/>
                <w:szCs w:val="18"/>
                <w:color w:val="auto"/>
                <w:w w:val="96"/>
              </w:rPr>
              <w:t>N/A</w:t>
            </w:r>
          </w:p>
        </w:tc>
        <w:tc>
          <w:tcPr>
            <w:tcW w:w="140" w:type="dxa"/>
            <w:vAlign w:val="bottom"/>
          </w:tcPr>
          <w:p>
            <w:pPr>
              <w:spacing w:after="0"/>
              <w:rPr>
                <w:sz w:val="19"/>
                <w:szCs w:val="19"/>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1,952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7,679</w:t>
            </w:r>
          </w:p>
        </w:tc>
        <w:tc>
          <w:tcPr>
            <w:tcW w:w="0" w:type="dxa"/>
            <w:vAlign w:val="bottom"/>
          </w:tcPr>
          <w:p>
            <w:pPr>
              <w:spacing w:after="0"/>
              <w:rPr>
                <w:sz w:val="1"/>
                <w:szCs w:val="1"/>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Equipment</w:t>
            </w:r>
          </w:p>
        </w:tc>
        <w:tc>
          <w:tcPr>
            <w:tcW w:w="1580" w:type="dxa"/>
            <w:vAlign w:val="bottom"/>
            <w:gridSpan w:val="2"/>
            <w:shd w:val="clear" w:color="auto" w:fill="CCEEFF"/>
          </w:tcPr>
          <w:p>
            <w:pPr>
              <w:jc w:val="center"/>
              <w:ind w:right="100"/>
              <w:spacing w:after="0"/>
              <w:rPr>
                <w:sz w:val="20"/>
                <w:szCs w:val="20"/>
                <w:color w:val="auto"/>
              </w:rPr>
            </w:pPr>
            <w:r>
              <w:rPr>
                <w:rFonts w:ascii="Calibri" w:cs="Calibri" w:eastAsia="Calibri" w:hAnsi="Calibri"/>
                <w:sz w:val="18"/>
                <w:szCs w:val="18"/>
                <w:color w:val="auto"/>
                <w:w w:val="99"/>
              </w:rPr>
              <w:t>5 years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45</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Constructon in process</w:t>
            </w:r>
          </w:p>
        </w:tc>
        <w:tc>
          <w:tcPr>
            <w:tcW w:w="1580" w:type="dxa"/>
            <w:vAlign w:val="bottom"/>
            <w:tcBorders>
              <w:bottom w:val="single" w:sz="8" w:color="CCEEFF"/>
            </w:tcBorders>
            <w:gridSpan w:val="2"/>
          </w:tcPr>
          <w:p>
            <w:pPr>
              <w:jc w:val="center"/>
              <w:ind w:right="100"/>
              <w:spacing w:after="0" w:line="215" w:lineRule="exact"/>
              <w:rPr>
                <w:sz w:val="20"/>
                <w:szCs w:val="20"/>
                <w:color w:val="auto"/>
              </w:rPr>
            </w:pPr>
            <w:r>
              <w:rPr>
                <w:rFonts w:ascii="Calibri" w:cs="Calibri" w:eastAsia="Calibri" w:hAnsi="Calibri"/>
                <w:sz w:val="18"/>
                <w:szCs w:val="18"/>
                <w:color w:val="auto"/>
                <w:w w:val="96"/>
              </w:rPr>
              <w:t>N/A</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6,229</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54,762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55,669</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Less: Accumulated depreciaton</w:t>
            </w: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(24,463)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(10,574)</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30,299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45,095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color w:val="auto"/>
        </w:rPr>
        <w:t>Total depreciaton expense was $13.5 million and $13.6 million for the years ended December 31, 2024 and 2023, respectvely.</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Mississippi Expansion</w:t>
      </w:r>
    </w:p>
    <w:p>
      <w:pPr>
        <w:spacing w:after="0" w:line="204" w:lineRule="exact"/>
        <w:rPr>
          <w:sz w:val="20"/>
          <w:szCs w:val="20"/>
          <w:color w:val="auto"/>
        </w:rPr>
      </w:pPr>
    </w:p>
    <w:p>
      <w:pPr>
        <w:ind w:right="60"/>
        <w:spacing w:after="0" w:line="225" w:lineRule="auto"/>
        <w:rPr>
          <w:sz w:val="20"/>
          <w:szCs w:val="20"/>
          <w:color w:val="auto"/>
        </w:rPr>
      </w:pPr>
      <w:r>
        <w:rPr>
          <w:rFonts w:ascii="Calibri" w:cs="Calibri" w:eastAsia="Calibri" w:hAnsi="Calibri"/>
          <w:sz w:val="18"/>
          <w:szCs w:val="18"/>
          <w:color w:val="auto"/>
        </w:rPr>
        <w:t>On April 10, 2024, the Company closed on the purchase of a parcel of land containing approximately 12 acres located in Columbus, Mississippi, including over 73,000 square feet of industrial warehouse space, from a subsidiary of Motus Pivot Inc., a portolio company of Atlas. The purchase price was $1.45 million, which the Company fnanced with cash on hand.</w:t>
      </w: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Sale of Equipment</w:t>
      </w:r>
    </w:p>
    <w:p>
      <w:pPr>
        <w:spacing w:after="0" w:line="204" w:lineRule="exact"/>
        <w:rPr>
          <w:sz w:val="20"/>
          <w:szCs w:val="20"/>
          <w:color w:val="auto"/>
        </w:rPr>
      </w:pPr>
    </w:p>
    <w:p>
      <w:pPr>
        <w:ind w:right="320"/>
        <w:spacing w:after="0" w:line="227" w:lineRule="auto"/>
        <w:rPr>
          <w:sz w:val="20"/>
          <w:szCs w:val="20"/>
          <w:color w:val="auto"/>
        </w:rPr>
      </w:pPr>
      <w:r>
        <w:rPr>
          <w:rFonts w:ascii="Calibri" w:cs="Calibri" w:eastAsia="Calibri" w:hAnsi="Calibri"/>
          <w:sz w:val="18"/>
          <w:szCs w:val="18"/>
          <w:color w:val="auto"/>
        </w:rPr>
        <w:t>During the year ended December 31, 2024, Greenidge sold constructon in process assets with a carrying value of $3.7 million for proceeds of $3.1 million resultng in a loss on the sale of assets of $0.6 million.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90" w:name="page91"/>
    <w:bookmarkEnd w:id="90"/>
    <w:p>
      <w:pPr>
        <w:spacing w:after="0"/>
        <w:rPr>
          <w:sz w:val="20"/>
          <w:szCs w:val="20"/>
          <w:color w:val="auto"/>
        </w:rPr>
      </w:pPr>
      <w:r>
        <w:rPr>
          <w:rFonts w:ascii="Calibri" w:cs="Calibri" w:eastAsia="Calibri" w:hAnsi="Calibri"/>
          <w:sz w:val="18"/>
          <w:szCs w:val="18"/>
          <w:b w:val="1"/>
          <w:bCs w:val="1"/>
          <w:color w:val="auto"/>
        </w:rPr>
        <w:t>Sale of South Carolina Facility</w:t>
      </w:r>
    </w:p>
    <w:p>
      <w:pPr>
        <w:spacing w:after="0" w:line="20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As described in Note 1 and Note 3, on November 9, 2023, the Company closed the sale of the South Carolina Facility to complete the deleveraging transacton with NYDIG. In exchange for the sale to NYDIG of the upgraded 44 MW South Carolina mining facilites and the subdivided real estate of approximately 22 acres of land, the Company received total consideraton of $28 million, as follows:</w:t>
      </w:r>
    </w:p>
    <w:p>
      <w:pPr>
        <w:spacing w:after="0" w:line="214" w:lineRule="exact"/>
        <w:rPr>
          <w:sz w:val="20"/>
          <w:szCs w:val="20"/>
          <w:color w:val="auto"/>
        </w:rPr>
      </w:pPr>
    </w:p>
    <w:p>
      <w:pPr>
        <w:ind w:left="640" w:hanging="308"/>
        <w:spacing w:after="0"/>
        <w:tabs>
          <w:tab w:leader="none" w:pos="64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The Senior Secured Loan with NYDIG with remaining principal of $17.7 million was extnguished;</w:t>
      </w:r>
    </w:p>
    <w:p>
      <w:pPr>
        <w:spacing w:after="0" w:line="217" w:lineRule="exact"/>
        <w:rPr>
          <w:rFonts w:ascii="Calibri" w:cs="Calibri" w:eastAsia="Calibri" w:hAnsi="Calibri"/>
          <w:sz w:val="18"/>
          <w:szCs w:val="18"/>
          <w:color w:val="auto"/>
        </w:rPr>
      </w:pPr>
    </w:p>
    <w:p>
      <w:pPr>
        <w:ind w:left="660" w:right="40" w:hanging="328"/>
        <w:spacing w:after="0" w:line="227" w:lineRule="auto"/>
        <w:tabs>
          <w:tab w:leader="none" w:pos="653"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The B. Riley Commercial Secured Promissory Note with remaining principal of $4.1 million, which NYDIG purchased from B. Riley Commercial on July 20, 2023 at par was extnguished;</w:t>
      </w:r>
    </w:p>
    <w:p>
      <w:pPr>
        <w:spacing w:after="0" w:line="200" w:lineRule="exact"/>
        <w:rPr>
          <w:rFonts w:ascii="Calibri" w:cs="Calibri" w:eastAsia="Calibri" w:hAnsi="Calibri"/>
          <w:sz w:val="18"/>
          <w:szCs w:val="18"/>
          <w:color w:val="auto"/>
        </w:rPr>
      </w:pPr>
    </w:p>
    <w:p>
      <w:pPr>
        <w:ind w:left="640" w:hanging="308"/>
        <w:spacing w:after="0"/>
        <w:tabs>
          <w:tab w:leader="none" w:pos="64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A cash payment of approximately $4.5 million, and</w:t>
      </w:r>
    </w:p>
    <w:p>
      <w:pPr>
        <w:spacing w:after="0" w:line="217" w:lineRule="exact"/>
        <w:rPr>
          <w:rFonts w:ascii="Calibri" w:cs="Calibri" w:eastAsia="Calibri" w:hAnsi="Calibri"/>
          <w:sz w:val="18"/>
          <w:szCs w:val="18"/>
          <w:color w:val="auto"/>
        </w:rPr>
      </w:pPr>
    </w:p>
    <w:p>
      <w:pPr>
        <w:ind w:left="660" w:right="280" w:hanging="328"/>
        <w:spacing w:after="0" w:line="227" w:lineRule="auto"/>
        <w:tabs>
          <w:tab w:leader="none" w:pos="653"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The Company also received bonus payments earned of approximately $1.6 million as a result of the completon of the expansion of the upgraded mining facility and the facility's uptme performance.</w:t>
      </w: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 recognized a gain on the sale of the South Carolina Facility of $8.2 million during the year ended December 31, 2023.</w:t>
      </w:r>
    </w:p>
    <w:p>
      <w:pPr>
        <w:spacing w:after="0" w:line="217" w:lineRule="exact"/>
        <w:rPr>
          <w:sz w:val="20"/>
          <w:szCs w:val="20"/>
          <w:color w:val="auto"/>
        </w:rPr>
      </w:pPr>
    </w:p>
    <w:p>
      <w:pPr>
        <w:ind w:right="20"/>
        <w:spacing w:after="0" w:line="228" w:lineRule="auto"/>
        <w:rPr>
          <w:sz w:val="20"/>
          <w:szCs w:val="20"/>
          <w:color w:val="auto"/>
        </w:rPr>
      </w:pPr>
      <w:r>
        <w:rPr>
          <w:rFonts w:ascii="Calibri" w:cs="Calibri" w:eastAsia="Calibri" w:hAnsi="Calibri"/>
          <w:sz w:val="18"/>
          <w:szCs w:val="18"/>
          <w:color w:val="auto"/>
        </w:rPr>
        <w:t>Following the completon of the South Carolina Facility sale, the Company contnued to own approximately 152 acres of land in South Carolina, which was classifed as Held for Sale as of December 31, 2024. On November 27, 2024, the Company entered into a defnitve agreement to sell the remaining 152-acres to Data Journey LLC ("Data Journey") for $12.1 million in cash and an 8% proft partcipaton in the property's planned data center. We expect the sale to close in 2025.</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Impairment</w:t>
      </w:r>
    </w:p>
    <w:p>
      <w:pPr>
        <w:spacing w:after="0" w:line="204"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The Company reviews its long-lived assets for impairment whenever events or changes in circumstances indicate that the carrying amount of the assets may not be fully recoverable. To determine recoverability of a long-lived asset, management evaluates whether the estmated future undiscounted net cash fows, based on prevailing market conditons, from the asset are less than its carrying amount. If impairment is indicated, the long-lived asset is writen down to fair value.</w:t>
      </w:r>
    </w:p>
    <w:p>
      <w:pPr>
        <w:spacing w:after="0" w:line="21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During 2024, the Company recognized an impairment charge of $0.2 million of property and equipment, net. The impairment was related to miners no longer viable for operaton.</w:t>
      </w:r>
    </w:p>
    <w:p>
      <w:pPr>
        <w:spacing w:after="0" w:line="218"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In 2023, the Company performed an impairment assessment of the remaining real estate assets in South Carolina, which included the land and the original building which was classifed as constructon in process as it was not used in cryptocurrency mining. The impairment assessment was performed using a market approach. An impairment charge of $4.0 million was recorded for the year ended December 31, 2023, which was the remaining value of the building which was determined to no longer be recoverable.</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5. DEBT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provides informaton on the Company's fnancing agreements: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60" w:type="dxa"/>
            <w:vAlign w:val="bottom"/>
            <w:gridSpan w:val="2"/>
            <w:shd w:val="clear" w:color="auto" w:fill="CCEEFF"/>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99"/>
              <w:spacing w:after="0"/>
              <w:rPr>
                <w:sz w:val="20"/>
                <w:szCs w:val="20"/>
                <w:color w:val="auto"/>
              </w:rPr>
            </w:pPr>
            <w:r>
              <w:rPr>
                <w:rFonts w:ascii="Calibri" w:cs="Calibri" w:eastAsia="Calibri" w:hAnsi="Calibri"/>
                <w:sz w:val="14"/>
                <w:szCs w:val="14"/>
                <w:b w:val="1"/>
                <w:bCs w:val="1"/>
                <w:color w:val="auto"/>
              </w:rPr>
              <w:t>As of:</w:t>
            </w: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460" w:type="dxa"/>
            <w:vAlign w:val="bottom"/>
            <w:gridSpan w:val="2"/>
            <w:vMerge w:val="restart"/>
          </w:tcPr>
          <w:p>
            <w:pPr>
              <w:ind w:left="1040"/>
              <w:spacing w:after="0"/>
              <w:rPr>
                <w:sz w:val="20"/>
                <w:szCs w:val="20"/>
                <w:color w:val="auto"/>
              </w:rPr>
            </w:pPr>
            <w:r>
              <w:rPr>
                <w:rFonts w:ascii="Calibri" w:cs="Calibri" w:eastAsia="Calibri" w:hAnsi="Calibri"/>
                <w:sz w:val="14"/>
                <w:szCs w:val="14"/>
                <w:b w:val="1"/>
                <w:bCs w:val="1"/>
                <w:color w:val="auto"/>
              </w:rPr>
              <w:t>Note</w:t>
            </w:r>
          </w:p>
        </w:tc>
        <w:tc>
          <w:tcPr>
            <w:tcW w:w="1780" w:type="dxa"/>
            <w:vAlign w:val="bottom"/>
            <w:gridSpan w:val="2"/>
            <w:vMerge w:val="restart"/>
          </w:tcPr>
          <w:p>
            <w:pPr>
              <w:ind w:left="540"/>
              <w:spacing w:after="0"/>
              <w:rPr>
                <w:sz w:val="20"/>
                <w:szCs w:val="20"/>
                <w:color w:val="auto"/>
              </w:rPr>
            </w:pPr>
            <w:r>
              <w:rPr>
                <w:rFonts w:ascii="Calibri" w:cs="Calibri" w:eastAsia="Calibri" w:hAnsi="Calibri"/>
                <w:sz w:val="14"/>
                <w:szCs w:val="14"/>
                <w:b w:val="1"/>
                <w:bCs w:val="1"/>
                <w:color w:val="auto"/>
              </w:rPr>
              <w:t>Loan Date</w:t>
            </w:r>
          </w:p>
        </w:tc>
        <w:tc>
          <w:tcPr>
            <w:tcW w:w="1740" w:type="dxa"/>
            <w:vAlign w:val="bottom"/>
            <w:gridSpan w:val="2"/>
            <w:vMerge w:val="restart"/>
          </w:tcPr>
          <w:p>
            <w:pPr>
              <w:ind w:left="400"/>
              <w:spacing w:after="0"/>
              <w:rPr>
                <w:sz w:val="20"/>
                <w:szCs w:val="20"/>
                <w:color w:val="auto"/>
              </w:rPr>
            </w:pPr>
            <w:r>
              <w:rPr>
                <w:rFonts w:ascii="Calibri" w:cs="Calibri" w:eastAsia="Calibri" w:hAnsi="Calibri"/>
                <w:sz w:val="14"/>
                <w:szCs w:val="14"/>
                <w:b w:val="1"/>
                <w:bCs w:val="1"/>
                <w:color w:val="auto"/>
              </w:rPr>
              <w:t>Maturity Date</w:t>
            </w:r>
          </w:p>
        </w:tc>
        <w:tc>
          <w:tcPr>
            <w:tcW w:w="1420" w:type="dxa"/>
            <w:vAlign w:val="bottom"/>
            <w:gridSpan w:val="2"/>
          </w:tcPr>
          <w:p>
            <w:pPr>
              <w:jc w:val="center"/>
              <w:ind w:right="80"/>
              <w:spacing w:after="0" w:line="134" w:lineRule="exact"/>
              <w:rPr>
                <w:sz w:val="20"/>
                <w:szCs w:val="20"/>
                <w:color w:val="auto"/>
              </w:rPr>
            </w:pPr>
            <w:r>
              <w:rPr>
                <w:rFonts w:ascii="Calibri" w:cs="Calibri" w:eastAsia="Calibri" w:hAnsi="Calibri"/>
                <w:sz w:val="14"/>
                <w:szCs w:val="14"/>
                <w:b w:val="1"/>
                <w:bCs w:val="1"/>
                <w:color w:val="auto"/>
              </w:rPr>
              <w:t>Interest</w:t>
            </w:r>
          </w:p>
        </w:tc>
        <w:tc>
          <w:tcPr>
            <w:tcW w:w="1320" w:type="dxa"/>
            <w:vAlign w:val="bottom"/>
            <w:gridSpan w:val="2"/>
          </w:tcPr>
          <w:p>
            <w:pPr>
              <w:jc w:val="center"/>
              <w:ind w:right="100"/>
              <w:spacing w:after="0" w:line="134" w:lineRule="exact"/>
              <w:rPr>
                <w:sz w:val="20"/>
                <w:szCs w:val="20"/>
                <w:color w:val="auto"/>
              </w:rPr>
            </w:pPr>
            <w:r>
              <w:rPr>
                <w:rFonts w:ascii="Calibri" w:cs="Calibri" w:eastAsia="Calibri" w:hAnsi="Calibri"/>
                <w:sz w:val="14"/>
                <w:szCs w:val="14"/>
                <w:b w:val="1"/>
                <w:bCs w:val="1"/>
                <w:color w:val="auto"/>
              </w:rPr>
              <w:t>Inital</w:t>
            </w:r>
          </w:p>
        </w:tc>
        <w:tc>
          <w:tcPr>
            <w:tcW w:w="1300" w:type="dxa"/>
            <w:vAlign w:val="bottom"/>
            <w:gridSpan w:val="3"/>
            <w:vMerge w:val="restart"/>
          </w:tcPr>
          <w:p>
            <w:pPr>
              <w:jc w:val="right"/>
              <w:ind w:right="120"/>
              <w:spacing w:after="0"/>
              <w:rPr>
                <w:sz w:val="20"/>
                <w:szCs w:val="20"/>
                <w:color w:val="auto"/>
              </w:rPr>
            </w:pPr>
            <w:r>
              <w:rPr>
                <w:rFonts w:ascii="Calibri" w:cs="Calibri" w:eastAsia="Calibri" w:hAnsi="Calibri"/>
                <w:sz w:val="14"/>
                <w:szCs w:val="14"/>
                <w:b w:val="1"/>
                <w:bCs w:val="1"/>
                <w:color w:val="auto"/>
              </w:rPr>
              <w:t>December 31, 2024</w:t>
            </w:r>
          </w:p>
        </w:tc>
        <w:tc>
          <w:tcPr>
            <w:tcW w:w="1220" w:type="dxa"/>
            <w:vAlign w:val="bottom"/>
            <w:gridSpan w:val="2"/>
            <w:vMerge w:val="restart"/>
          </w:tcPr>
          <w:p>
            <w:pPr>
              <w:jc w:val="right"/>
              <w:spacing w:after="0"/>
              <w:rPr>
                <w:sz w:val="20"/>
                <w:szCs w:val="20"/>
                <w:color w:val="auto"/>
              </w:rPr>
            </w:pPr>
            <w:r>
              <w:rPr>
                <w:rFonts w:ascii="Calibri" w:cs="Calibri" w:eastAsia="Calibri" w:hAnsi="Calibri"/>
                <w:sz w:val="14"/>
                <w:szCs w:val="14"/>
                <w:b w:val="1"/>
                <w:bCs w:val="1"/>
                <w:color w:val="auto"/>
              </w:rPr>
              <w:t>December 31, 2023</w:t>
            </w:r>
          </w:p>
        </w:tc>
        <w:tc>
          <w:tcPr>
            <w:tcW w:w="0" w:type="dxa"/>
            <w:vAlign w:val="bottom"/>
          </w:tcPr>
          <w:p>
            <w:pPr>
              <w:spacing w:after="0"/>
              <w:rPr>
                <w:sz w:val="1"/>
                <w:szCs w:val="1"/>
                <w:color w:val="auto"/>
              </w:rPr>
            </w:pPr>
          </w:p>
        </w:tc>
      </w:tr>
      <w:tr>
        <w:trPr>
          <w:trHeight w:val="170"/>
        </w:trPr>
        <w:tc>
          <w:tcPr>
            <w:tcW w:w="2460" w:type="dxa"/>
            <w:vAlign w:val="bottom"/>
            <w:gridSpan w:val="2"/>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Rate</w:t>
            </w:r>
          </w:p>
        </w:tc>
        <w:tc>
          <w:tcPr>
            <w:tcW w:w="132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Financing</w:t>
            </w:r>
          </w:p>
        </w:tc>
        <w:tc>
          <w:tcPr>
            <w:tcW w:w="130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line="160" w:lineRule="exact"/>
              <w:rPr>
                <w:sz w:val="20"/>
                <w:szCs w:val="20"/>
                <w:color w:val="auto"/>
              </w:rPr>
            </w:pPr>
            <w:r>
              <w:rPr>
                <w:rFonts w:ascii="Calibri" w:cs="Calibri" w:eastAsia="Calibri" w:hAnsi="Calibri"/>
                <w:sz w:val="17"/>
                <w:szCs w:val="17"/>
                <w:color w:val="auto"/>
              </w:rPr>
              <w:t>October</w:t>
            </w: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8"/>
                <w:szCs w:val="18"/>
                <w:color w:val="auto"/>
              </w:rPr>
              <w:t>Senior Unsecured Notes</w:t>
            </w:r>
          </w:p>
        </w:tc>
        <w:tc>
          <w:tcPr>
            <w:tcW w:w="1780" w:type="dxa"/>
            <w:vAlign w:val="bottom"/>
            <w:tcBorders>
              <w:bottom w:val="single" w:sz="8" w:color="CCEEFF"/>
            </w:tcBorders>
            <w:gridSpan w:val="2"/>
            <w:shd w:val="clear" w:color="auto" w:fill="CCEEFF"/>
          </w:tcPr>
          <w:p>
            <w:pPr>
              <w:spacing w:after="0" w:line="215" w:lineRule="exact"/>
              <w:rPr>
                <w:sz w:val="20"/>
                <w:szCs w:val="20"/>
                <w:color w:val="auto"/>
              </w:rPr>
            </w:pPr>
            <w:r>
              <w:rPr>
                <w:rFonts w:ascii="Calibri" w:cs="Calibri" w:eastAsia="Calibri" w:hAnsi="Calibri"/>
                <w:sz w:val="18"/>
                <w:szCs w:val="18"/>
                <w:color w:val="auto"/>
              </w:rPr>
              <w:t>2021/December 2021</w:t>
            </w:r>
          </w:p>
        </w:tc>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8"/>
                <w:szCs w:val="18"/>
                <w:color w:val="auto"/>
              </w:rPr>
              <w:t>October 2026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8.5 %</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72,200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68,541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72,200</w:t>
            </w:r>
          </w:p>
        </w:tc>
        <w:tc>
          <w:tcPr>
            <w:tcW w:w="0" w:type="dxa"/>
            <w:vAlign w:val="bottom"/>
          </w:tcPr>
          <w:p>
            <w:pPr>
              <w:spacing w:after="0"/>
              <w:rPr>
                <w:sz w:val="1"/>
                <w:szCs w:val="1"/>
                <w:color w:val="auto"/>
              </w:rPr>
            </w:pPr>
          </w:p>
        </w:tc>
      </w:tr>
      <w:tr>
        <w:trPr>
          <w:trHeight w:val="216"/>
        </w:trPr>
        <w:tc>
          <w:tcPr>
            <w:tcW w:w="2460" w:type="dxa"/>
            <w:vAlign w:val="bottom"/>
            <w:gridSpan w:val="2"/>
          </w:tcPr>
          <w:p>
            <w:pPr>
              <w:ind w:left="20"/>
              <w:spacing w:after="0" w:line="199" w:lineRule="exact"/>
              <w:rPr>
                <w:sz w:val="20"/>
                <w:szCs w:val="20"/>
                <w:color w:val="auto"/>
              </w:rPr>
            </w:pPr>
            <w:r>
              <w:rPr>
                <w:rFonts w:ascii="Calibri" w:cs="Calibri" w:eastAsia="Calibri" w:hAnsi="Calibri"/>
                <w:sz w:val="18"/>
                <w:szCs w:val="18"/>
                <w:color w:val="auto"/>
              </w:rPr>
              <w:t>Total Debt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68,541</w:t>
            </w: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72,200</w:t>
            </w:r>
          </w:p>
        </w:tc>
        <w:tc>
          <w:tcPr>
            <w:tcW w:w="0" w:type="dxa"/>
            <w:vAlign w:val="bottom"/>
          </w:tcPr>
          <w:p>
            <w:pPr>
              <w:spacing w:after="0"/>
              <w:rPr>
                <w:sz w:val="1"/>
                <w:szCs w:val="1"/>
                <w:color w:val="auto"/>
              </w:rPr>
            </w:pPr>
          </w:p>
        </w:tc>
      </w:tr>
      <w:tr>
        <w:trPr>
          <w:trHeight w:val="237"/>
        </w:trPr>
        <w:tc>
          <w:tcPr>
            <w:tcW w:w="4240" w:type="dxa"/>
            <w:vAlign w:val="bottom"/>
            <w:gridSpan w:val="4"/>
            <w:shd w:val="clear" w:color="auto" w:fill="CCEEFF"/>
          </w:tcPr>
          <w:p>
            <w:pPr>
              <w:ind w:left="240"/>
              <w:spacing w:after="0"/>
              <w:rPr>
                <w:sz w:val="20"/>
                <w:szCs w:val="20"/>
                <w:color w:val="auto"/>
              </w:rPr>
            </w:pPr>
            <w:r>
              <w:rPr>
                <w:rFonts w:ascii="Calibri" w:cs="Calibri" w:eastAsia="Calibri" w:hAnsi="Calibri"/>
                <w:sz w:val="18"/>
                <w:szCs w:val="18"/>
                <w:color w:val="auto"/>
              </w:rPr>
              <w:t>Less: Debt discount and issue costs</w:t>
            </w: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(473)</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(3,490)</w:t>
            </w:r>
          </w:p>
        </w:tc>
        <w:tc>
          <w:tcPr>
            <w:tcW w:w="0" w:type="dxa"/>
            <w:vAlign w:val="bottom"/>
          </w:tcPr>
          <w:p>
            <w:pPr>
              <w:spacing w:after="0"/>
              <w:rPr>
                <w:sz w:val="1"/>
                <w:szCs w:val="1"/>
                <w:color w:val="auto"/>
              </w:rPr>
            </w:pPr>
          </w:p>
        </w:tc>
      </w:tr>
      <w:tr>
        <w:trPr>
          <w:trHeight w:val="216"/>
        </w:trPr>
        <w:tc>
          <w:tcPr>
            <w:tcW w:w="2460" w:type="dxa"/>
            <w:vAlign w:val="bottom"/>
            <w:gridSpan w:val="2"/>
          </w:tcPr>
          <w:p>
            <w:pPr>
              <w:ind w:left="20"/>
              <w:spacing w:after="0" w:line="199" w:lineRule="exact"/>
              <w:rPr>
                <w:sz w:val="20"/>
                <w:szCs w:val="20"/>
                <w:color w:val="auto"/>
              </w:rPr>
            </w:pPr>
            <w:r>
              <w:rPr>
                <w:rFonts w:ascii="Calibri" w:cs="Calibri" w:eastAsia="Calibri" w:hAnsi="Calibri"/>
                <w:sz w:val="18"/>
                <w:szCs w:val="18"/>
                <w:color w:val="auto"/>
              </w:rPr>
              <w:t>Total debt at book value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68,068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68,710</w:t>
            </w: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ind w:left="240"/>
              <w:spacing w:after="0"/>
              <w:rPr>
                <w:sz w:val="20"/>
                <w:szCs w:val="20"/>
                <w:color w:val="auto"/>
              </w:rPr>
            </w:pPr>
            <w:r>
              <w:rPr>
                <w:rFonts w:ascii="Calibri" w:cs="Calibri" w:eastAsia="Calibri" w:hAnsi="Calibri"/>
                <w:sz w:val="18"/>
                <w:szCs w:val="18"/>
                <w:color w:val="auto"/>
              </w:rPr>
              <w:t>Less: Current porton</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Calibri" w:cs="Calibri" w:eastAsia="Calibri" w:hAnsi="Calibri"/>
                <w:sz w:val="18"/>
                <w:szCs w:val="18"/>
                <w:color w:val="auto"/>
              </w:rPr>
              <w:t>Long-term debt, net of current porton</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9"/>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68,068</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9"/>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68,710</w:t>
            </w:r>
          </w:p>
        </w:tc>
        <w:tc>
          <w:tcPr>
            <w:tcW w:w="0" w:type="dxa"/>
            <w:vAlign w:val="bottom"/>
          </w:tcPr>
          <w:p>
            <w:pPr>
              <w:spacing w:after="0"/>
              <w:rPr>
                <w:sz w:val="1"/>
                <w:szCs w:val="1"/>
                <w:color w:val="auto"/>
              </w:rPr>
            </w:pPr>
          </w:p>
        </w:tc>
      </w:tr>
      <w:tr>
        <w:trPr>
          <w:trHeight w:val="21"/>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8"/>
                <w:szCs w:val="18"/>
                <w:color w:val="auto"/>
              </w:rPr>
              <w:t>F-19</w:t>
            </w: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91" w:name="page92"/>
    <w:bookmarkEnd w:id="91"/>
    <w:p>
      <w:pPr>
        <w:ind w:right="80"/>
        <w:spacing w:after="0" w:line="235" w:lineRule="auto"/>
        <w:rPr>
          <w:sz w:val="20"/>
          <w:szCs w:val="20"/>
          <w:color w:val="auto"/>
        </w:rPr>
      </w:pPr>
      <w:r>
        <w:rPr>
          <w:rFonts w:ascii="Calibri" w:cs="Calibri" w:eastAsia="Calibri" w:hAnsi="Calibri"/>
          <w:sz w:val="18"/>
          <w:szCs w:val="18"/>
          <w:color w:val="auto"/>
        </w:rPr>
        <w:t>The Company incurred interest expense of $7.1 million and $12.7 million during the years ended December 31, 2024 and 2023, respectvely, under the terms of these notes payable.</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details our interest expense related to the Senior Notes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40"/>
              <w:spacing w:after="0"/>
              <w:rPr>
                <w:sz w:val="20"/>
                <w:szCs w:val="20"/>
                <w:color w:val="auto"/>
              </w:rPr>
            </w:pPr>
            <w:r>
              <w:rPr>
                <w:rFonts w:ascii="Calibri" w:cs="Calibri" w:eastAsia="Calibri" w:hAnsi="Calibri"/>
                <w:sz w:val="16"/>
                <w:szCs w:val="16"/>
                <w:b w:val="1"/>
                <w:bCs w:val="1"/>
                <w:color w:val="auto"/>
              </w:rPr>
              <w:t>December 31, 2024</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Calibri" w:cs="Calibri" w:eastAsia="Calibri" w:hAnsi="Calibri"/>
                <w:sz w:val="16"/>
                <w:szCs w:val="16"/>
                <w:b w:val="1"/>
                <w:bCs w:val="1"/>
                <w:color w:val="auto"/>
              </w:rPr>
              <w:t>December 31, 2023</w:t>
            </w:r>
          </w:p>
        </w:tc>
      </w:tr>
      <w:tr>
        <w:trPr>
          <w:trHeight w:val="187"/>
        </w:trPr>
        <w:tc>
          <w:tcPr>
            <w:tcW w:w="8180" w:type="dxa"/>
            <w:vAlign w:val="bottom"/>
          </w:tcPr>
          <w:p>
            <w:pPr>
              <w:ind w:left="20"/>
              <w:spacing w:after="0" w:line="182" w:lineRule="exact"/>
              <w:rPr>
                <w:sz w:val="20"/>
                <w:szCs w:val="20"/>
                <w:color w:val="auto"/>
              </w:rPr>
            </w:pPr>
            <w:r>
              <w:rPr>
                <w:rFonts w:ascii="Calibri" w:cs="Calibri" w:eastAsia="Calibri" w:hAnsi="Calibri"/>
                <w:sz w:val="16"/>
                <w:szCs w:val="16"/>
                <w:color w:val="auto"/>
              </w:rPr>
              <w:t>Contractual interest expense</w:t>
            </w:r>
          </w:p>
        </w:tc>
        <w:tc>
          <w:tcPr>
            <w:tcW w:w="1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6,108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10,048</w:t>
            </w:r>
          </w:p>
        </w:tc>
      </w:tr>
      <w:tr>
        <w:trPr>
          <w:trHeight w:val="23"/>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81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Amortzaton of debt discount and issuance costs</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974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2,611</w:t>
            </w:r>
          </w:p>
        </w:tc>
      </w:tr>
      <w:tr>
        <w:trPr>
          <w:trHeight w:val="209"/>
        </w:trPr>
        <w:tc>
          <w:tcPr>
            <w:tcW w:w="8180" w:type="dxa"/>
            <w:vAlign w:val="bottom"/>
          </w:tcPr>
          <w:p>
            <w:pPr>
              <w:ind w:left="20"/>
              <w:spacing w:after="0"/>
              <w:rPr>
                <w:sz w:val="20"/>
                <w:szCs w:val="20"/>
                <w:color w:val="auto"/>
              </w:rPr>
            </w:pPr>
            <w:r>
              <w:rPr>
                <w:rFonts w:ascii="Calibri" w:cs="Calibri" w:eastAsia="Calibri" w:hAnsi="Calibri"/>
                <w:sz w:val="16"/>
                <w:szCs w:val="16"/>
                <w:color w:val="auto"/>
              </w:rPr>
              <w:t>Total interest expense</w:t>
            </w:r>
          </w:p>
        </w:tc>
        <w:tc>
          <w:tcPr>
            <w:tcW w:w="12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w w:val="97"/>
              </w:rPr>
              <w:t>$</w:t>
            </w:r>
          </w:p>
        </w:tc>
        <w:tc>
          <w:tcPr>
            <w:tcW w:w="136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7,082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w w:val="97"/>
              </w:rPr>
              <w:t>$</w:t>
            </w:r>
          </w:p>
        </w:tc>
        <w:tc>
          <w:tcPr>
            <w:tcW w:w="136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12,659</w:t>
            </w:r>
          </w:p>
        </w:tc>
      </w:tr>
      <w:tr>
        <w:trPr>
          <w:trHeight w:val="21"/>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Senior Unsecured Notes</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During the fourth quarter of 2021, the Company sold $72.2 million of 8.50% Senior Notes due October 2026 (the "Senior Notes") pursuant to the Company's registraton statement on Form S-1. Interest on the Senior Notes is payable quarterly in arrears on January 31, April 30, July 31 and October 31 of each year to the holders of record at the close of business on the immediately preceding January 15, April 15, July 15 and October 15, respectvely. The Senior Notes are senior unsecured obligatons of the Company and rank equal in right of payment with the Company's existng and future senior unsecured indebtedness. The Senior Notes trade on the Nasdaq Global Select Market under the symbol "GREEL."</w:t>
      </w:r>
    </w:p>
    <w:p>
      <w:pPr>
        <w:spacing w:after="0" w:line="220" w:lineRule="exact"/>
        <w:rPr>
          <w:sz w:val="20"/>
          <w:szCs w:val="20"/>
          <w:color w:val="auto"/>
        </w:rPr>
      </w:pPr>
    </w:p>
    <w:p>
      <w:pPr>
        <w:ind w:right="60"/>
        <w:spacing w:after="0" w:line="249" w:lineRule="auto"/>
        <w:rPr>
          <w:sz w:val="20"/>
          <w:szCs w:val="20"/>
          <w:color w:val="auto"/>
        </w:rPr>
      </w:pPr>
      <w:r>
        <w:rPr>
          <w:rFonts w:ascii="Calibri" w:cs="Calibri" w:eastAsia="Calibri" w:hAnsi="Calibri"/>
          <w:sz w:val="17"/>
          <w:szCs w:val="17"/>
          <w:color w:val="auto"/>
        </w:rPr>
        <w:t>The Company may redeem the Senior Notes for cash in whole or in part at any tme (i) on or afer October 31, 2023 and prior to October 31, 2024, at a price equal to 102% of their principal amount, plus accrued and unpaid interest to, but excluding, the date of redempton, (ii) on or afer October 31, 2024 and prior to October 31, 2025, at a price equal to 101% of their principal amount, plus accrued and unpaid interest to, but excluding, the date of redempton, and</w:t>
      </w:r>
    </w:p>
    <w:p>
      <w:pPr>
        <w:spacing w:after="0" w:line="2" w:lineRule="exact"/>
        <w:rPr>
          <w:sz w:val="20"/>
          <w:szCs w:val="20"/>
          <w:color w:val="auto"/>
        </w:rPr>
      </w:pPr>
    </w:p>
    <w:p>
      <w:pPr>
        <w:ind w:right="100" w:firstLine="8"/>
        <w:spacing w:after="0" w:line="235" w:lineRule="auto"/>
        <w:tabs>
          <w:tab w:leader="none" w:pos="267"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on or afer October 31, 2025 and prior to maturity, at a price equal to 100% of their principal amount, plus accrued and unpaid interest to, but excluding, the date of redempton. In additon, the Company may redeem the Senior Notes, in whole, but not in part, at any tme at its opton, at a redempton price equal to 100.5% of the principal amount plus accrued and unpaid interest to, but not including, the date of redempton, upon the occurrence of certain change of control events.</w:t>
      </w:r>
    </w:p>
    <w:p>
      <w:pPr>
        <w:spacing w:after="0" w:line="21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 xml:space="preserve">During the fourth quarter of 2024, the Company entered into privately negotated exchange agreements, pursuant to which it issued an aggregate of 692,433 shares of the Company's Class A common stock with a fair value of $1.62 million in exchange for $3.66 million aggregate principal amount of its Senior Notes, the net of which was recorded as a premium to be amortzed over the remaining term of the Senior Notes. The Company concluded the exchanges met the defniton of a troubled debt restructuring under ASC 470-60, </w:t>
      </w:r>
      <w:r>
        <w:rPr>
          <w:rFonts w:ascii="Calibri" w:cs="Calibri" w:eastAsia="Calibri" w:hAnsi="Calibri"/>
          <w:sz w:val="18"/>
          <w:szCs w:val="18"/>
          <w:i w:val="1"/>
          <w:iCs w:val="1"/>
          <w:color w:val="auto"/>
        </w:rPr>
        <w:t>Troubled Debt Restructurings by Debtors</w:t>
      </w:r>
      <w:r>
        <w:rPr>
          <w:rFonts w:ascii="Calibri" w:cs="Calibri" w:eastAsia="Calibri" w:hAnsi="Calibri"/>
          <w:sz w:val="18"/>
          <w:szCs w:val="18"/>
          <w:color w:val="auto"/>
        </w:rPr>
        <w:t>, as the Company was experiencing fnancial difcultes and the creditors granted a concession. The future undiscounted cash fows of the Senior Notes afer the exchanges exceeded the carrying value of the Senior Notes prior to the exchanges. As such, the carrying value of the Senior Notes was reduced by the fair value of the Class A common stock granted and no gain was recognized as a result of the exchanges.</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Minimum Future Principal Payments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Minimum future principal payments on debt as of December 31, 2024 were as follows based on the terms of the debt at that date: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6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47"/>
        </w:trPr>
        <w:tc>
          <w:tcPr>
            <w:tcW w:w="3180" w:type="dxa"/>
            <w:vAlign w:val="bottom"/>
          </w:tcPr>
          <w:p>
            <w:pPr>
              <w:spacing w:after="0"/>
              <w:rPr>
                <w:sz w:val="4"/>
                <w:szCs w:val="4"/>
                <w:color w:val="auto"/>
              </w:rPr>
            </w:pPr>
          </w:p>
        </w:tc>
        <w:tc>
          <w:tcPr>
            <w:tcW w:w="6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29"/>
        </w:trPr>
        <w:tc>
          <w:tcPr>
            <w:tcW w:w="31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2025</w:t>
            </w:r>
          </w:p>
        </w:tc>
        <w:tc>
          <w:tcPr>
            <w:tcW w:w="7100" w:type="dxa"/>
            <w:vAlign w:val="bottom"/>
            <w:gridSpan w:val="2"/>
            <w:shd w:val="clear" w:color="auto" w:fill="CCEEFF"/>
          </w:tcPr>
          <w:p>
            <w:pPr>
              <w:jc w:val="right"/>
              <w:ind w:right="33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22"/>
        </w:trPr>
        <w:tc>
          <w:tcPr>
            <w:tcW w:w="318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6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68,541</w:t>
            </w:r>
          </w:p>
        </w:tc>
      </w:tr>
      <w:tr>
        <w:trPr>
          <w:trHeight w:val="237"/>
        </w:trPr>
        <w:tc>
          <w:tcPr>
            <w:tcW w:w="31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2027</w:t>
            </w:r>
          </w:p>
        </w:tc>
        <w:tc>
          <w:tcPr>
            <w:tcW w:w="65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2"/>
        </w:trPr>
        <w:tc>
          <w:tcPr>
            <w:tcW w:w="3180" w:type="dxa"/>
            <w:vAlign w:val="bottom"/>
          </w:tcPr>
          <w:p>
            <w:pPr>
              <w:ind w:left="20"/>
              <w:spacing w:after="0" w:line="215" w:lineRule="exact"/>
              <w:rPr>
                <w:sz w:val="20"/>
                <w:szCs w:val="20"/>
                <w:color w:val="auto"/>
              </w:rPr>
            </w:pPr>
            <w:r>
              <w:rPr>
                <w:rFonts w:ascii="Calibri" w:cs="Calibri" w:eastAsia="Calibri" w:hAnsi="Calibri"/>
                <w:sz w:val="18"/>
                <w:szCs w:val="18"/>
                <w:color w:val="auto"/>
              </w:rPr>
              <w:t>2028</w:t>
            </w:r>
          </w:p>
        </w:tc>
        <w:tc>
          <w:tcPr>
            <w:tcW w:w="6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31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Thereafer</w:t>
            </w:r>
          </w:p>
        </w:tc>
        <w:tc>
          <w:tcPr>
            <w:tcW w:w="658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3"/>
        </w:trPr>
        <w:tc>
          <w:tcPr>
            <w:tcW w:w="3180" w:type="dxa"/>
            <w:vAlign w:val="bottom"/>
          </w:tcPr>
          <w:p>
            <w:pPr>
              <w:ind w:left="20"/>
              <w:spacing w:after="0"/>
              <w:rPr>
                <w:sz w:val="20"/>
                <w:szCs w:val="20"/>
                <w:color w:val="auto"/>
              </w:rPr>
            </w:pPr>
            <w:r>
              <w:rPr>
                <w:rFonts w:ascii="Calibri" w:cs="Calibri" w:eastAsia="Calibri" w:hAnsi="Calibri"/>
                <w:sz w:val="18"/>
                <w:szCs w:val="18"/>
                <w:color w:val="auto"/>
              </w:rPr>
              <w:t>Total</w:t>
            </w:r>
          </w:p>
        </w:tc>
        <w:tc>
          <w:tcPr>
            <w:tcW w:w="658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68,541</w:t>
            </w:r>
          </w:p>
        </w:tc>
      </w:tr>
      <w:tr>
        <w:trPr>
          <w:trHeight w:val="20"/>
        </w:trPr>
        <w:tc>
          <w:tcPr>
            <w:tcW w:w="31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98"/>
        </w:trPr>
        <w:tc>
          <w:tcPr>
            <w:tcW w:w="3180" w:type="dxa"/>
            <w:vAlign w:val="bottom"/>
          </w:tcPr>
          <w:p>
            <w:pPr>
              <w:spacing w:after="0"/>
              <w:rPr>
                <w:sz w:val="24"/>
                <w:szCs w:val="24"/>
                <w:color w:val="auto"/>
              </w:rPr>
            </w:pPr>
          </w:p>
        </w:tc>
        <w:tc>
          <w:tcPr>
            <w:tcW w:w="7100" w:type="dxa"/>
            <w:vAlign w:val="bottom"/>
            <w:gridSpan w:val="2"/>
          </w:tcPr>
          <w:p>
            <w:pPr>
              <w:jc w:val="right"/>
              <w:ind w:right="4390"/>
              <w:spacing w:after="0"/>
              <w:rPr>
                <w:sz w:val="20"/>
                <w:szCs w:val="20"/>
                <w:color w:val="auto"/>
              </w:rPr>
            </w:pPr>
            <w:r>
              <w:rPr>
                <w:rFonts w:ascii="Times New Roman" w:cs="Times New Roman" w:eastAsia="Times New Roman" w:hAnsi="Times New Roman"/>
                <w:sz w:val="18"/>
                <w:szCs w:val="18"/>
                <w:color w:val="auto"/>
              </w:rPr>
              <w:t>F-20</w:t>
            </w:r>
          </w:p>
        </w:tc>
        <w:tc>
          <w:tcPr>
            <w:tcW w:w="960" w:type="dxa"/>
            <w:vAlign w:val="bottom"/>
          </w:tcPr>
          <w:p>
            <w:pPr>
              <w:spacing w:after="0"/>
              <w:rPr>
                <w:sz w:val="24"/>
                <w:szCs w:val="24"/>
                <w:color w:val="auto"/>
              </w:rPr>
            </w:pPr>
          </w:p>
        </w:tc>
      </w:tr>
      <w:tr>
        <w:trPr>
          <w:trHeight w:val="102"/>
        </w:trPr>
        <w:tc>
          <w:tcPr>
            <w:tcW w:w="3180" w:type="dxa"/>
            <w:vAlign w:val="bottom"/>
            <w:tcBorders>
              <w:bottom w:val="single" w:sz="8" w:color="9A9A9A"/>
            </w:tcBorders>
          </w:tcPr>
          <w:p>
            <w:pPr>
              <w:spacing w:after="0"/>
              <w:rPr>
                <w:sz w:val="8"/>
                <w:szCs w:val="8"/>
                <w:color w:val="auto"/>
              </w:rPr>
            </w:pPr>
          </w:p>
        </w:tc>
        <w:tc>
          <w:tcPr>
            <w:tcW w:w="65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2" w:name="page93"/>
    <w:bookmarkEnd w:id="92"/>
    <w:p>
      <w:pPr>
        <w:spacing w:after="0"/>
        <w:rPr>
          <w:sz w:val="20"/>
          <w:szCs w:val="20"/>
          <w:color w:val="auto"/>
        </w:rPr>
      </w:pPr>
      <w:r>
        <w:rPr>
          <w:rFonts w:ascii="Calibri" w:cs="Calibri" w:eastAsia="Calibri" w:hAnsi="Calibri"/>
          <w:sz w:val="18"/>
          <w:szCs w:val="18"/>
          <w:b w:val="1"/>
          <w:bCs w:val="1"/>
          <w:color w:val="auto"/>
        </w:rPr>
        <w:t>Fair Value Disclosure</w:t>
      </w:r>
    </w:p>
    <w:p>
      <w:pPr>
        <w:spacing w:after="0" w:line="109" w:lineRule="exact"/>
        <w:rPr>
          <w:sz w:val="20"/>
          <w:szCs w:val="20"/>
          <w:color w:val="auto"/>
        </w:rPr>
      </w:pPr>
    </w:p>
    <w:p>
      <w:pPr>
        <w:ind w:right="380"/>
        <w:spacing w:after="0" w:line="249" w:lineRule="auto"/>
        <w:rPr>
          <w:sz w:val="20"/>
          <w:szCs w:val="20"/>
          <w:color w:val="auto"/>
        </w:rPr>
      </w:pPr>
      <w:r>
        <w:rPr>
          <w:rFonts w:ascii="Calibri" w:cs="Calibri" w:eastAsia="Calibri" w:hAnsi="Calibri"/>
          <w:sz w:val="17"/>
          <w:szCs w:val="17"/>
          <w:color w:val="auto"/>
        </w:rPr>
        <w:t>The notonal value and estmated fair value of the Company's debt totaled $68.5 million and $24.8 million, respectvely at December 31, 2024 and $72.2 million and $29.3 million, respectvely at December 31, 2023. The notonal value does not include unamortzed discounts and debt issuance costs of</w:t>
      </w:r>
    </w:p>
    <w:p>
      <w:pPr>
        <w:spacing w:after="0" w:line="1"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$0.5 million and $3.5 million at December 31, 2024 and 2023, respectvely. The estmated fair value of the Bonds Payable, representng the fair value of the Senior Notes, was measured using quoted market prices at the reportng date. Such instruments were valued using Level 1 inputs.</w:t>
      </w:r>
    </w:p>
    <w:p>
      <w:pPr>
        <w:spacing w:after="0" w:line="218" w:lineRule="exact"/>
        <w:rPr>
          <w:sz w:val="20"/>
          <w:szCs w:val="20"/>
          <w:color w:val="auto"/>
        </w:rPr>
      </w:pPr>
    </w:p>
    <w:p>
      <w:pPr>
        <w:ind w:right="9240" w:firstLine="8"/>
        <w:spacing w:after="0" w:line="466" w:lineRule="auto"/>
        <w:tabs>
          <w:tab w:leader="none" w:pos="175" w:val="left"/>
        </w:tabs>
        <w:numPr>
          <w:ilvl w:val="0"/>
          <w:numId w:val="42"/>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STOCKHOLDERS’ DEFICIT Common Stock</w:t>
      </w:r>
    </w:p>
    <w:p>
      <w:pPr>
        <w:spacing w:after="0" w:line="11" w:lineRule="exact"/>
        <w:rPr>
          <w:sz w:val="20"/>
          <w:szCs w:val="20"/>
          <w:color w:val="auto"/>
        </w:rPr>
      </w:pPr>
    </w:p>
    <w:p>
      <w:pPr>
        <w:ind w:right="80"/>
        <w:spacing w:after="0" w:line="227" w:lineRule="auto"/>
        <w:rPr>
          <w:sz w:val="20"/>
          <w:szCs w:val="20"/>
          <w:color w:val="auto"/>
        </w:rPr>
      </w:pPr>
      <w:r>
        <w:rPr>
          <w:rFonts w:ascii="Calibri" w:cs="Calibri" w:eastAsia="Calibri" w:hAnsi="Calibri"/>
          <w:sz w:val="18"/>
          <w:szCs w:val="18"/>
          <w:color w:val="auto"/>
        </w:rPr>
        <w:t>On April 11, 2023, the stockholders approved a reverse stock split of the Company's issued and outstanding Class A common stock, par value $0.0001 per share and Class B common stock, par value $0.0001 per share, such that every ten (10) outstanding shares of Class A common stock would be combined and reclassifed into one (1) share of Class A common stock and every ten (10) outstanding shares of Class B common stock would be combined and reclassifed into one (1) share of Class B common stock. On the efectve date specifed in the Certfcate of Amendment, every holder of outstanding shares of common stock was enttled to receive, subject to the treatment of fractonal shares described in the Certfcate of Amendment, one share of Class A common stock or Class B common stock, as applicable, in exchange for ten shares of Class A common stock or Class B common stock, as applicable, held by such holder (the “Reverse Stock Split”). The Reverse Stock Split became efectve on May 16, 2023.</w:t>
      </w:r>
    </w:p>
    <w:p>
      <w:pPr>
        <w:spacing w:after="0" w:line="206"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Holders of Greenidge’s Class A common stock are enttled to one vote per share. Holders of Class B common stock are enttled to ten votes per share. Class A and Class B shares issued and outstanding as of December 31, 2024 are 10,292,233 and 2,733,394, respectvely.</w:t>
      </w:r>
    </w:p>
    <w:p>
      <w:pPr>
        <w:spacing w:after="0" w:line="204" w:lineRule="exact"/>
        <w:rPr>
          <w:sz w:val="20"/>
          <w:szCs w:val="20"/>
          <w:color w:val="auto"/>
        </w:rPr>
      </w:pPr>
    </w:p>
    <w:p>
      <w:pPr>
        <w:jc w:val="both"/>
        <w:ind w:right="180"/>
        <w:spacing w:after="0" w:line="230" w:lineRule="auto"/>
        <w:rPr>
          <w:sz w:val="20"/>
          <w:szCs w:val="20"/>
          <w:color w:val="auto"/>
        </w:rPr>
      </w:pPr>
      <w:r>
        <w:rPr>
          <w:rFonts w:ascii="Calibri" w:cs="Calibri" w:eastAsia="Calibri" w:hAnsi="Calibri"/>
          <w:sz w:val="18"/>
          <w:szCs w:val="18"/>
          <w:color w:val="auto"/>
        </w:rPr>
        <w:t>Each share of Class B common stock is convertble into one share of Class A common stock at the opton of the holder upon writen notce to the Company. Shares of Class B common stock will automatcally convert to shares of Class A common stock upon a mandatory conversion event as defned in the second amended and restated certfcate of incorporaton dated September 6, 2022.</w:t>
      </w: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Common Stock Purchase Agreement with B. Riley Principal Capital II, LLC</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On July 30, 2024, the Company entered into the Common Stock Purchase Agreement with B. Riley Principal II, an afliate of B. Riley Principal. Pursuant to the Common Stock Purchase Agreement, the Company has the right to sell to B. Riley Principal II up to $20 million in shares of its Class A common stock, subject to certain limitatons and the satsfacton of specifed conditons in the Common Stock Purchase Agreement, from tme to tme over the 36-month period commencing September 24, 2024.</w:t>
      </w:r>
    </w:p>
    <w:p>
      <w:pPr>
        <w:spacing w:after="0" w:line="219" w:lineRule="exact"/>
        <w:rPr>
          <w:sz w:val="20"/>
          <w:szCs w:val="20"/>
          <w:color w:val="auto"/>
        </w:rPr>
      </w:pPr>
    </w:p>
    <w:p>
      <w:pPr>
        <w:ind w:right="20"/>
        <w:spacing w:after="0" w:line="242" w:lineRule="auto"/>
        <w:rPr>
          <w:sz w:val="20"/>
          <w:szCs w:val="20"/>
          <w:color w:val="auto"/>
        </w:rPr>
      </w:pPr>
      <w:r>
        <w:rPr>
          <w:rFonts w:ascii="Calibri" w:cs="Calibri" w:eastAsia="Calibri" w:hAnsi="Calibri"/>
          <w:sz w:val="17"/>
          <w:szCs w:val="17"/>
          <w:color w:val="auto"/>
        </w:rPr>
        <w:t>In connecton with the Common Stock Purchase Agreement, the Company entered into a registraton rights agreement with B. Riley Principal II, pursuant to which the Company agreed to prepare and fle a registraton statement registering the resale by B. Riley Principal II of those shares of the Company's Class A common stock to be issued under the Common Stock Purchase Agreement. The registraton statement became efectve on September 24, 2024 (the "Efectve Date"), relatng to the resale of 7,300,000 shares of Greenidge's Class A common stock in connecton with the Common Stock Purchase Agreement.</w:t>
      </w:r>
    </w:p>
    <w:p>
      <w:pPr>
        <w:spacing w:after="0" w:line="203"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color w:val="auto"/>
        </w:rPr>
        <w:t>From the Efectve Date through March 25, 2025, Greenidge issued 1,595,855 shares under the Common Stock Purchase Agreement for net proceeds of $4.3 million, all of which were issued, and net proceeds were received, during the year ended December 31, 2024.</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Armistce Capital Agreement</w:t>
      </w:r>
    </w:p>
    <w:p>
      <w:pPr>
        <w:spacing w:after="0" w:line="177" w:lineRule="exact"/>
        <w:rPr>
          <w:sz w:val="20"/>
          <w:szCs w:val="20"/>
          <w:color w:val="auto"/>
        </w:rPr>
      </w:pPr>
    </w:p>
    <w:p>
      <w:pPr>
        <w:spacing w:after="0" w:line="223" w:lineRule="auto"/>
        <w:rPr>
          <w:sz w:val="20"/>
          <w:szCs w:val="20"/>
          <w:color w:val="auto"/>
        </w:rPr>
      </w:pPr>
      <w:r>
        <w:rPr>
          <w:rFonts w:ascii="Calibri" w:cs="Calibri" w:eastAsia="Calibri" w:hAnsi="Calibri"/>
          <w:sz w:val="18"/>
          <w:szCs w:val="18"/>
          <w:color w:val="auto"/>
        </w:rPr>
        <w:t>On February 12, 2024, the Company entered into a securites purchase agreement (the “Armistce SPA”) with Armistce Capital Master Fund Ltd. (“Armistce”). Pursuant to the Armistce SPA, Armistce purchased (i) 450,300 shares (the “Shares”) of the Company’s Class A common stock, and (ii) a pre-funded warrant (the "Pre-Funded Warrant") to purchase 810,205 shares of the Company’s Class A common stock (the “Pre-Funded Warrant Shares”). The per share purchase price of the Shares and the Pre-Funded Warrant Shares was $4.76, resultng in aggregate gross proceeds of $6.0 million, and afer giving efect to the exercise price of $0.0001 per Pre-Funded Warrant Share, the Company received net proceeds of $6.0 million. The Pre-Funded Warrant was exercised in full during the year ended December 31, 2024. In additon, the Company issued to Armistce a fve-year Class A common stock purchase warrant ("5-Year Warrant") enttling Armistce,</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6" w:right="379" w:bottom="1440" w:gutter="0" w:footer="0" w:header="0"/>
        </w:sectPr>
      </w:pPr>
    </w:p>
    <w:bookmarkStart w:id="93" w:name="page94"/>
    <w:bookmarkEnd w:id="93"/>
    <w:p>
      <w:pPr>
        <w:ind w:right="200"/>
        <w:spacing w:after="0" w:line="227" w:lineRule="auto"/>
        <w:rPr>
          <w:sz w:val="20"/>
          <w:szCs w:val="20"/>
          <w:color w:val="auto"/>
        </w:rPr>
      </w:pPr>
      <w:r>
        <w:rPr>
          <w:rFonts w:ascii="Calibri" w:cs="Calibri" w:eastAsia="Calibri" w:hAnsi="Calibri"/>
          <w:sz w:val="18"/>
          <w:szCs w:val="18"/>
          <w:color w:val="auto"/>
        </w:rPr>
        <w:t>commencing on August 14, 2024, to acquire up to 1,260,505 shares of the Company’s Class A common stock from tme to tme at an exercise price of $5.25 per share (the “Warrant Shares”). The Warrant Shares remained unexercised as of December 31, 2024.</w:t>
      </w:r>
    </w:p>
    <w:p>
      <w:pPr>
        <w:spacing w:after="0" w:line="219" w:lineRule="exact"/>
        <w:rPr>
          <w:sz w:val="20"/>
          <w:szCs w:val="20"/>
          <w:color w:val="auto"/>
        </w:rPr>
      </w:pPr>
    </w:p>
    <w:p>
      <w:pPr>
        <w:spacing w:after="0" w:line="227" w:lineRule="auto"/>
        <w:rPr>
          <w:sz w:val="20"/>
          <w:szCs w:val="20"/>
          <w:color w:val="auto"/>
        </w:rPr>
      </w:pPr>
      <w:r>
        <w:rPr>
          <w:rFonts w:ascii="Calibri" w:cs="Calibri" w:eastAsia="Calibri" w:hAnsi="Calibri"/>
          <w:sz w:val="18"/>
          <w:szCs w:val="18"/>
          <w:color w:val="auto"/>
        </w:rPr>
        <w:t>The Pre-Funded Warrant and 5-Year Warrant were classifed as a component of permanent stockholders’ equity within additonal paid-in capital and were recorded at the issuance date using a relatve fair value allocaton method. The Company valued the Pre-Funded Warrant at issuance, concluding that its sale price approximated their fair value, and allocated the aggregate net proceeds from the sale proportonately to the 5-Year Warrant and Pre-Funded Warrant, including approximately $2.0 million allocated to the Pre-Funded Warrant and recorded as a component of additonal paid-in capital. The Company valued the 5-Year Warrant using the Black-Scholes-Merton opton pricing model and recorded as a component of additonal paid-in capital with an allocated amount of $2.8 million. By analogy to ASC 505-20-30-3, the Company would have recorded a charge to retained earnings, however, as the Company is in a defcit positon it was recorded as a component of additonal paid-in capital.</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Infnite Reality, Inc. Equity Exchange Agreement</w:t>
      </w:r>
    </w:p>
    <w:p>
      <w:pPr>
        <w:spacing w:after="0" w:line="231" w:lineRule="exact"/>
        <w:rPr>
          <w:sz w:val="20"/>
          <w:szCs w:val="20"/>
          <w:color w:val="auto"/>
        </w:rPr>
      </w:pPr>
    </w:p>
    <w:p>
      <w:pPr>
        <w:ind w:right="260"/>
        <w:spacing w:after="0" w:line="256" w:lineRule="auto"/>
        <w:rPr>
          <w:sz w:val="20"/>
          <w:szCs w:val="20"/>
          <w:color w:val="auto"/>
        </w:rPr>
      </w:pPr>
      <w:r>
        <w:rPr>
          <w:rFonts w:ascii="Calibri" w:cs="Calibri" w:eastAsia="Calibri" w:hAnsi="Calibri"/>
          <w:sz w:val="18"/>
          <w:szCs w:val="18"/>
          <w:color w:val="auto"/>
        </w:rPr>
        <w:t>On December 11, 2023, Greenidge entered into an equity exchange agreement (the "Equity Exchange Agreement") with Infnite Reality, Inc. ("Infnite Reality"), pursuant to which, among other things, (i) the Company issued to Infnite Reality a one-year warrant (the "1-Year Warrant") to purchase 180,000 shares of our Class A common stock at an exercise price of $7.00 per share, which expired unexercised on December 11, 2024, and (ii) the Company issued 180,000 shares of our Class A common stock to Infnite Reality. The Company valued the shares issued under the Equity Exchange Agreement using the closing price on December 11, 2023, $4.83 per share, for an aggregate value of $0.9 million.</w:t>
      </w:r>
    </w:p>
    <w:p>
      <w:pPr>
        <w:spacing w:after="0" w:line="219" w:lineRule="exact"/>
        <w:rPr>
          <w:sz w:val="20"/>
          <w:szCs w:val="20"/>
          <w:color w:val="auto"/>
        </w:rPr>
      </w:pPr>
    </w:p>
    <w:p>
      <w:pPr>
        <w:spacing w:after="0" w:line="268" w:lineRule="auto"/>
        <w:rPr>
          <w:sz w:val="20"/>
          <w:szCs w:val="20"/>
          <w:color w:val="auto"/>
        </w:rPr>
      </w:pPr>
      <w:r>
        <w:rPr>
          <w:rFonts w:ascii="Calibri" w:cs="Calibri" w:eastAsia="Calibri" w:hAnsi="Calibri"/>
          <w:sz w:val="18"/>
          <w:szCs w:val="18"/>
          <w:color w:val="auto"/>
        </w:rPr>
        <w:t>In exchange for issuing the 1-Year Warrant and Class A common stock, we received (i) a 1-year warrant (the "Infnite Reality Warrant") to purchase 235,754 shares of Infnite Reality's common stock at an exercise price of $5.35 per share, recognized as a derivatve asset in the amount of $0.5 million and included in prepaid expenses and other current assets as of December 31, 2023 and (ii) 280,374 shares of Infnite Reality's common stock, recognized as an investment in equity securites and included in Other long-term assets. The Infnite Reality Warrant was automatcally exercised on a net setlement basis immediately prior to expiraton on December 11, 2024. During the fourth quarter of 2024, Greenidge performed a qualitatve assessment of impairment indicators for the shares of Infnite Reality's common stock. An impairment charge of $0.9 million was recorded for the year ended December 31, 2024, which was the entre carrying amount of the Infnite Reality common stock. We have assigned no value to the exercised shares and recognized a loss on the value of the warrants of $0.5 million during the year ended December 31, 2024.</w:t>
      </w:r>
    </w:p>
    <w:p>
      <w:pPr>
        <w:spacing w:after="0" w:line="2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At Market Issuance Sales Agreement with B. Riley Securites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September 19, 2022, as amended on October 3, 2022, Greenidge entered into an At Market Issuance Sales Agreement (the "ATM Agreement") with B. Riley Securites, Inc. ("B. Riley") and Northland Securites, Inc., relatng to shares of Greenidge’s Class A common stock. Under the ATM Agreement, B. Riley agreed to use its commercially reasonable eforts to sell on Greenidge’s behalf the shares of Greenidge’s Class A common stock requested to be sold by Greenidge, consistent with B. Riley’s normal trading and sales practces, under the terms and subject to the conditons set forth in the ATM Agreement. Greenidge has the discreton, subject to market demand, to vary the tming, prices and number of shares sold in accordance with the ATM Agreement. B. Riley may sell the Company’s Class A common stock by any method permited by law deemed to be an "at the market ofering" as defned in Rule 415(a)(4) promulgated under the Securites Act. Greenidge will pay B. Riley commissions for its services in actng as sales agent, in an amount equal to up to 3.0% of the gross proceeds of all Class A common stock sold through it as sales agent under the ATM Agreement. Pursuant to the registraton statement on Form S-3 fled registering shares to be sold in accordance with the terms of the ATM Agreement, Greenidge may ofer and sell shares of its Class A common stock up to a maximum aggregate ofering price of $22,800,000.</w:t>
      </w:r>
    </w:p>
    <w:p>
      <w:pPr>
        <w:spacing w:after="0" w:line="224" w:lineRule="exact"/>
        <w:rPr>
          <w:sz w:val="20"/>
          <w:szCs w:val="20"/>
          <w:color w:val="auto"/>
        </w:rPr>
      </w:pPr>
    </w:p>
    <w:p>
      <w:pPr>
        <w:spacing w:after="0"/>
        <w:rPr>
          <w:sz w:val="20"/>
          <w:szCs w:val="20"/>
          <w:color w:val="auto"/>
        </w:rPr>
      </w:pPr>
      <w:r>
        <w:rPr>
          <w:rFonts w:ascii="Calibri" w:cs="Calibri" w:eastAsia="Calibri" w:hAnsi="Calibri"/>
          <w:sz w:val="17"/>
          <w:szCs w:val="17"/>
          <w:color w:val="auto"/>
        </w:rPr>
        <w:t>From October 1, 2022 through March 25, 2025, Greenidge issued 4,167,463 shares under the ATM Agreement for net proceeds of $20.7 million. Under the</w:t>
      </w:r>
    </w:p>
    <w:p>
      <w:pPr>
        <w:spacing w:after="0" w:line="62" w:lineRule="exact"/>
        <w:rPr>
          <w:sz w:val="20"/>
          <w:szCs w:val="20"/>
          <w:color w:val="auto"/>
        </w:rPr>
      </w:pPr>
    </w:p>
    <w:p>
      <w:pPr>
        <w:ind w:right="1000"/>
        <w:spacing w:after="0" w:line="235" w:lineRule="auto"/>
        <w:rPr>
          <w:sz w:val="20"/>
          <w:szCs w:val="20"/>
          <w:color w:val="auto"/>
        </w:rPr>
      </w:pPr>
      <w:r>
        <w:rPr>
          <w:rFonts w:ascii="Calibri" w:cs="Calibri" w:eastAsia="Calibri" w:hAnsi="Calibri"/>
          <w:sz w:val="18"/>
          <w:szCs w:val="18"/>
          <w:color w:val="auto"/>
        </w:rPr>
        <w:t>ATM Agreement, Greenidge issued no and 3,879,309 shares and received net proceeds of $0.0 million and $18.7 million during the years ended December 31, 2024 and 2023, respectvely.</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Equity Purchase Agreement with B. Riley Principal Capital, LLC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4" w:name="page95"/>
    <w:bookmarkEnd w:id="94"/>
    <w:p>
      <w:pPr>
        <w:spacing w:after="0" w:line="228" w:lineRule="auto"/>
        <w:rPr>
          <w:sz w:val="20"/>
          <w:szCs w:val="20"/>
          <w:color w:val="auto"/>
        </w:rPr>
      </w:pPr>
      <w:r>
        <w:rPr>
          <w:rFonts w:ascii="Calibri" w:cs="Calibri" w:eastAsia="Calibri" w:hAnsi="Calibri"/>
          <w:sz w:val="18"/>
          <w:szCs w:val="18"/>
          <w:color w:val="auto"/>
        </w:rPr>
        <w:t>On September 15, 2021, as amended on April 7, 2022, Greenidge entered into an equity purchase agreement (the "Equity Purchase Agreement") with B. Riley Principal. Pursuant to the Equity Purchase Agreement, Greenidge has the right to sell to B. Riley up to $500 million in shares of its Class A common stock, subject to certain limitatons and the satsfacton of specifed conditons in the Equity Purchase Agreement, from tme to tme over the 24-month period commencing on April 28, 2022.</w:t>
      </w:r>
    </w:p>
    <w:p>
      <w:pPr>
        <w:spacing w:after="0" w:line="205"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color w:val="auto"/>
        </w:rPr>
        <w:t>In connecton with the Equity Purchase Agreement, Greenidge entered into a registraton rights agreement with the Investor, pursuant to which Greenidge agreed to prepare and fle a registraton statement registering the resale by the Investor of those shares of Greenidge’s Class A common stock to be issued under the Equity Purchase Agreement. The registraton statement became efectve on April 28, 2022 (the "April 2022 Efectve Date"), relatng to the resale of 572,095 shares of Greenidge’s Class A common stock in connecton with the Equity Purchase Agreement.</w:t>
      </w:r>
    </w:p>
    <w:p>
      <w:pPr>
        <w:spacing w:after="0" w:line="218" w:lineRule="exact"/>
        <w:rPr>
          <w:sz w:val="20"/>
          <w:szCs w:val="20"/>
          <w:color w:val="auto"/>
        </w:rPr>
      </w:pPr>
    </w:p>
    <w:p>
      <w:pPr>
        <w:ind w:right="620"/>
        <w:spacing w:after="0" w:line="241" w:lineRule="auto"/>
        <w:rPr>
          <w:sz w:val="20"/>
          <w:szCs w:val="20"/>
          <w:color w:val="auto"/>
        </w:rPr>
      </w:pPr>
      <w:r>
        <w:rPr>
          <w:rFonts w:ascii="Calibri" w:cs="Calibri" w:eastAsia="Calibri" w:hAnsi="Calibri"/>
          <w:sz w:val="17"/>
          <w:szCs w:val="17"/>
          <w:color w:val="auto"/>
        </w:rPr>
        <w:t>From the April 2022 Efectve Date to April 28, 2024, Greenidge issued 549,285 shares of Class A common stock to the Investor pursuant to the Equity Purchase Agreement for aggregate proceeds of $8.0 million, net of discounts, of which there were 45,269 shares issued for aggregate proceeds of</w:t>
      </w:r>
    </w:p>
    <w:p>
      <w:pPr>
        <w:spacing w:after="0" w:line="1" w:lineRule="exact"/>
        <w:rPr>
          <w:sz w:val="20"/>
          <w:szCs w:val="20"/>
          <w:color w:val="auto"/>
        </w:rPr>
      </w:pPr>
    </w:p>
    <w:p>
      <w:pPr>
        <w:ind w:right="200"/>
        <w:spacing w:after="0" w:line="228" w:lineRule="auto"/>
        <w:rPr>
          <w:sz w:val="20"/>
          <w:szCs w:val="20"/>
          <w:color w:val="auto"/>
        </w:rPr>
      </w:pPr>
      <w:r>
        <w:rPr>
          <w:rFonts w:ascii="Calibri" w:cs="Calibri" w:eastAsia="Calibri" w:hAnsi="Calibri"/>
          <w:sz w:val="18"/>
          <w:szCs w:val="18"/>
          <w:color w:val="auto"/>
        </w:rPr>
        <w:t>$1.0 million, net of discounts, from January 1, 2024 through April 28, 2024. The Equity Purchase Agreement automatcally terminated pursuant to its terms on April 28,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20" w:type="dxa"/>
            <w:vAlign w:val="bottom"/>
          </w:tcPr>
          <w:p>
            <w:pPr>
              <w:spacing w:after="0"/>
              <w:rPr>
                <w:sz w:val="20"/>
                <w:szCs w:val="20"/>
                <w:color w:val="auto"/>
              </w:rPr>
            </w:pPr>
            <w:r>
              <w:rPr>
                <w:rFonts w:ascii="Calibri" w:cs="Calibri" w:eastAsia="Calibri" w:hAnsi="Calibri"/>
                <w:sz w:val="18"/>
                <w:szCs w:val="18"/>
                <w:b w:val="1"/>
                <w:bCs w:val="1"/>
                <w:color w:val="auto"/>
              </w:rPr>
              <w:t>Warrants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020" w:type="dxa"/>
            <w:vAlign w:val="bottom"/>
          </w:tcPr>
          <w:p>
            <w:pPr>
              <w:spacing w:after="0"/>
              <w:rPr>
                <w:sz w:val="20"/>
                <w:szCs w:val="20"/>
                <w:color w:val="auto"/>
              </w:rPr>
            </w:pPr>
            <w:r>
              <w:rPr>
                <w:rFonts w:ascii="Calibri" w:cs="Calibri" w:eastAsia="Calibri" w:hAnsi="Calibri"/>
                <w:sz w:val="18"/>
                <w:szCs w:val="18"/>
                <w:color w:val="auto"/>
              </w:rPr>
              <w:t>The following table summarizes the Company's warrant actvity:</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0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5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auto"/>
            </w:tcBorders>
          </w:tcPr>
          <w:p>
            <w:pPr>
              <w:jc w:val="center"/>
              <w:spacing w:after="0" w:line="160" w:lineRule="exact"/>
              <w:rPr>
                <w:sz w:val="20"/>
                <w:szCs w:val="20"/>
                <w:color w:val="auto"/>
              </w:rPr>
            </w:pPr>
            <w:r>
              <w:rPr>
                <w:rFonts w:ascii="Calibri" w:cs="Calibri" w:eastAsia="Calibri" w:hAnsi="Calibri"/>
                <w:sz w:val="17"/>
                <w:szCs w:val="17"/>
                <w:b w:val="1"/>
                <w:bCs w:val="1"/>
                <w:color w:val="auto"/>
              </w:rPr>
              <w:t>Number of</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auto"/>
            </w:tcBorders>
            <w:gridSpan w:val="2"/>
          </w:tcPr>
          <w:p>
            <w:pPr>
              <w:jc w:val="center"/>
              <w:spacing w:after="0" w:line="160" w:lineRule="exact"/>
              <w:rPr>
                <w:sz w:val="20"/>
                <w:szCs w:val="20"/>
                <w:color w:val="auto"/>
              </w:rPr>
            </w:pPr>
            <w:r>
              <w:rPr>
                <w:rFonts w:ascii="Calibri" w:cs="Calibri" w:eastAsia="Calibri" w:hAnsi="Calibri"/>
                <w:sz w:val="17"/>
                <w:szCs w:val="17"/>
                <w:b w:val="1"/>
                <w:bCs w:val="1"/>
                <w:color w:val="auto"/>
              </w:rPr>
              <w:t>Weighted Average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3"/>
          </w:tcPr>
          <w:p>
            <w:pPr>
              <w:jc w:val="center"/>
              <w:ind w:right="80"/>
              <w:spacing w:after="0" w:line="215" w:lineRule="exact"/>
              <w:rPr>
                <w:sz w:val="20"/>
                <w:szCs w:val="20"/>
                <w:color w:val="auto"/>
              </w:rPr>
            </w:pPr>
            <w:r>
              <w:rPr>
                <w:rFonts w:ascii="Calibri" w:cs="Calibri" w:eastAsia="Calibri" w:hAnsi="Calibri"/>
                <w:sz w:val="18"/>
                <w:szCs w:val="18"/>
                <w:b w:val="1"/>
                <w:bCs w:val="1"/>
                <w:color w:val="auto"/>
                <w:w w:val="98"/>
              </w:rPr>
              <w:t>warrants</w:t>
            </w:r>
          </w:p>
        </w:tc>
        <w:tc>
          <w:tcPr>
            <w:tcW w:w="80" w:type="dxa"/>
            <w:vAlign w:val="bottom"/>
          </w:tcPr>
          <w:p>
            <w:pPr>
              <w:spacing w:after="0"/>
              <w:rPr>
                <w:sz w:val="18"/>
                <w:szCs w:val="18"/>
                <w:color w:val="auto"/>
              </w:rPr>
            </w:pPr>
          </w:p>
        </w:tc>
        <w:tc>
          <w:tcPr>
            <w:tcW w:w="1460" w:type="dxa"/>
            <w:vAlign w:val="bottom"/>
            <w:gridSpan w:val="2"/>
          </w:tcPr>
          <w:p>
            <w:pPr>
              <w:jc w:val="center"/>
              <w:ind w:right="240"/>
              <w:spacing w:after="0" w:line="215" w:lineRule="exact"/>
              <w:rPr>
                <w:sz w:val="20"/>
                <w:szCs w:val="20"/>
                <w:color w:val="auto"/>
              </w:rPr>
            </w:pPr>
            <w:r>
              <w:rPr>
                <w:rFonts w:ascii="Calibri" w:cs="Calibri" w:eastAsia="Calibri" w:hAnsi="Calibri"/>
                <w:sz w:val="18"/>
                <w:szCs w:val="18"/>
                <w:b w:val="1"/>
                <w:bCs w:val="1"/>
                <w:color w:val="auto"/>
                <w:w w:val="96"/>
              </w:rPr>
              <w:t>Exercise Price</w:t>
            </w:r>
          </w:p>
        </w:tc>
        <w:tc>
          <w:tcPr>
            <w:tcW w:w="0" w:type="dxa"/>
            <w:vAlign w:val="bottom"/>
          </w:tcPr>
          <w:p>
            <w:pPr>
              <w:spacing w:after="0"/>
              <w:rPr>
                <w:sz w:val="1"/>
                <w:szCs w:val="1"/>
                <w:color w:val="auto"/>
              </w:rPr>
            </w:pPr>
          </w:p>
        </w:tc>
      </w:tr>
      <w:tr>
        <w:trPr>
          <w:trHeight w:val="37"/>
        </w:trPr>
        <w:tc>
          <w:tcPr>
            <w:tcW w:w="502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Warrants outstanding at December 31, 2023</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180,000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20" w:type="dxa"/>
            <w:vAlign w:val="bottom"/>
          </w:tcPr>
          <w:p>
            <w:pPr>
              <w:ind w:left="20"/>
              <w:spacing w:after="0" w:line="215" w:lineRule="exact"/>
              <w:rPr>
                <w:sz w:val="20"/>
                <w:szCs w:val="20"/>
                <w:color w:val="auto"/>
              </w:rPr>
            </w:pPr>
            <w:r>
              <w:rPr>
                <w:rFonts w:ascii="Calibri" w:cs="Calibri" w:eastAsia="Calibri" w:hAnsi="Calibri"/>
                <w:sz w:val="18"/>
                <w:szCs w:val="18"/>
                <w:color w:val="auto"/>
              </w:rPr>
              <w:t>Issued</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2,070,710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Exercised</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810,205</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Expired</w:t>
            </w: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180,000</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gridSpan w:val="2"/>
          </w:tcPr>
          <w:p>
            <w:pPr>
              <w:jc w:val="right"/>
              <w:spacing w:after="0" w:line="215" w:lineRule="exact"/>
              <w:rPr>
                <w:sz w:val="20"/>
                <w:szCs w:val="20"/>
                <w:color w:val="auto"/>
              </w:rPr>
            </w:pPr>
            <w:r>
              <w:rPr>
                <w:rFonts w:ascii="Calibri" w:cs="Calibri" w:eastAsia="Calibri" w:hAnsi="Calibri"/>
                <w:sz w:val="18"/>
                <w:szCs w:val="18"/>
                <w:color w:val="auto"/>
              </w:rPr>
              <w:t>7.00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0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Warrants outstanding at December 31, 2024</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1,260,505</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$5.25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gridSpan w:val="4"/>
            <w:vMerge w:val="restart"/>
          </w:tcPr>
          <w:p>
            <w:pPr>
              <w:spacing w:after="0"/>
              <w:rPr>
                <w:sz w:val="20"/>
                <w:szCs w:val="20"/>
                <w:color w:val="auto"/>
              </w:rPr>
            </w:pPr>
            <w:r>
              <w:rPr>
                <w:rFonts w:ascii="Calibri" w:cs="Calibri" w:eastAsia="Calibri" w:hAnsi="Calibri"/>
                <w:sz w:val="18"/>
                <w:szCs w:val="18"/>
                <w:color w:val="auto"/>
                <w:w w:val="98"/>
              </w:rPr>
              <w:t>The following table summarizes informaton about warrants outstanding at December 31, 2024:</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6880" w:type="dxa"/>
            <w:vAlign w:val="bottom"/>
            <w:gridSpan w:val="4"/>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020" w:type="dxa"/>
            <w:vAlign w:val="bottom"/>
          </w:tcPr>
          <w:p>
            <w:pPr>
              <w:spacing w:after="0"/>
              <w:rPr>
                <w:sz w:val="23"/>
                <w:szCs w:val="23"/>
                <w:color w:val="auto"/>
              </w:rPr>
            </w:pPr>
          </w:p>
        </w:tc>
        <w:tc>
          <w:tcPr>
            <w:tcW w:w="1860" w:type="dxa"/>
            <w:vAlign w:val="bottom"/>
            <w:gridSpan w:val="3"/>
          </w:tcPr>
          <w:p>
            <w:pPr>
              <w:spacing w:after="0"/>
              <w:rPr>
                <w:sz w:val="23"/>
                <w:szCs w:val="23"/>
                <w:color w:val="auto"/>
              </w:rPr>
            </w:pPr>
          </w:p>
        </w:tc>
        <w:tc>
          <w:tcPr>
            <w:tcW w:w="1300" w:type="dxa"/>
            <w:vAlign w:val="bottom"/>
            <w:gridSpan w:val="3"/>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5020" w:type="dxa"/>
            <w:vAlign w:val="bottom"/>
          </w:tcPr>
          <w:p>
            <w:pPr>
              <w:spacing w:after="0"/>
              <w:rPr>
                <w:sz w:val="13"/>
                <w:szCs w:val="13"/>
                <w:color w:val="auto"/>
              </w:rPr>
            </w:pPr>
          </w:p>
        </w:tc>
        <w:tc>
          <w:tcPr>
            <w:tcW w:w="1480" w:type="dxa"/>
            <w:vAlign w:val="bottom"/>
            <w:tcBorders>
              <w:top w:val="single" w:sz="8" w:color="auto"/>
            </w:tcBorders>
          </w:tcPr>
          <w:p>
            <w:pPr>
              <w:jc w:val="center"/>
              <w:spacing w:after="0" w:line="160" w:lineRule="exact"/>
              <w:rPr>
                <w:sz w:val="20"/>
                <w:szCs w:val="20"/>
                <w:color w:val="auto"/>
              </w:rPr>
            </w:pPr>
            <w:r>
              <w:rPr>
                <w:rFonts w:ascii="Calibri" w:cs="Calibri" w:eastAsia="Calibri" w:hAnsi="Calibri"/>
                <w:sz w:val="17"/>
                <w:szCs w:val="17"/>
                <w:b w:val="1"/>
                <w:bCs w:val="1"/>
                <w:color w:val="auto"/>
              </w:rPr>
              <w:t>Number of</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191"/>
              <w:spacing w:after="0" w:line="160" w:lineRule="exact"/>
              <w:rPr>
                <w:sz w:val="20"/>
                <w:szCs w:val="20"/>
                <w:color w:val="auto"/>
              </w:rPr>
            </w:pPr>
            <w:r>
              <w:rPr>
                <w:rFonts w:ascii="Calibri" w:cs="Calibri" w:eastAsia="Calibri" w:hAnsi="Calibri"/>
                <w:sz w:val="17"/>
                <w:szCs w:val="17"/>
                <w:b w:val="1"/>
                <w:bCs w:val="1"/>
                <w:color w:val="auto"/>
              </w:rPr>
              <w:t>Number of</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860" w:type="dxa"/>
            <w:vAlign w:val="bottom"/>
            <w:gridSpan w:val="3"/>
          </w:tcPr>
          <w:p>
            <w:pPr>
              <w:jc w:val="center"/>
              <w:ind w:right="360"/>
              <w:spacing w:after="0" w:line="175" w:lineRule="exact"/>
              <w:rPr>
                <w:sz w:val="20"/>
                <w:szCs w:val="20"/>
                <w:color w:val="auto"/>
              </w:rPr>
            </w:pPr>
            <w:r>
              <w:rPr>
                <w:rFonts w:ascii="Calibri" w:cs="Calibri" w:eastAsia="Calibri" w:hAnsi="Calibri"/>
                <w:sz w:val="18"/>
                <w:szCs w:val="18"/>
                <w:b w:val="1"/>
                <w:bCs w:val="1"/>
                <w:color w:val="auto"/>
                <w:w w:val="94"/>
              </w:rPr>
              <w:t>Warrants</w:t>
            </w:r>
          </w:p>
        </w:tc>
        <w:tc>
          <w:tcPr>
            <w:tcW w:w="1300" w:type="dxa"/>
            <w:vAlign w:val="bottom"/>
            <w:gridSpan w:val="3"/>
          </w:tcPr>
          <w:p>
            <w:pPr>
              <w:jc w:val="center"/>
              <w:ind w:right="400"/>
              <w:spacing w:after="0" w:line="175" w:lineRule="exact"/>
              <w:rPr>
                <w:sz w:val="20"/>
                <w:szCs w:val="20"/>
                <w:color w:val="auto"/>
              </w:rPr>
            </w:pPr>
            <w:r>
              <w:rPr>
                <w:rFonts w:ascii="Calibri" w:cs="Calibri" w:eastAsia="Calibri" w:hAnsi="Calibri"/>
                <w:sz w:val="18"/>
                <w:szCs w:val="18"/>
                <w:b w:val="1"/>
                <w:bCs w:val="1"/>
                <w:color w:val="auto"/>
                <w:w w:val="94"/>
              </w:rPr>
              <w:t>Warrants</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020" w:type="dxa"/>
            <w:vAlign w:val="bottom"/>
          </w:tcPr>
          <w:p>
            <w:pPr>
              <w:spacing w:after="0"/>
              <w:rPr>
                <w:sz w:val="19"/>
                <w:szCs w:val="19"/>
                <w:color w:val="auto"/>
              </w:rPr>
            </w:pPr>
          </w:p>
        </w:tc>
        <w:tc>
          <w:tcPr>
            <w:tcW w:w="1860" w:type="dxa"/>
            <w:vAlign w:val="bottom"/>
            <w:gridSpan w:val="3"/>
          </w:tcPr>
          <w:p>
            <w:pPr>
              <w:jc w:val="center"/>
              <w:ind w:right="360"/>
              <w:spacing w:after="0" w:line="215" w:lineRule="exact"/>
              <w:rPr>
                <w:sz w:val="20"/>
                <w:szCs w:val="20"/>
                <w:color w:val="auto"/>
              </w:rPr>
            </w:pPr>
            <w:r>
              <w:rPr>
                <w:rFonts w:ascii="Calibri" w:cs="Calibri" w:eastAsia="Calibri" w:hAnsi="Calibri"/>
                <w:sz w:val="18"/>
                <w:szCs w:val="18"/>
                <w:b w:val="1"/>
                <w:bCs w:val="1"/>
                <w:color w:val="auto"/>
                <w:w w:val="97"/>
              </w:rPr>
              <w:t>Outstanding</w:t>
            </w:r>
          </w:p>
        </w:tc>
        <w:tc>
          <w:tcPr>
            <w:tcW w:w="1300" w:type="dxa"/>
            <w:vAlign w:val="bottom"/>
            <w:gridSpan w:val="3"/>
          </w:tcPr>
          <w:p>
            <w:pPr>
              <w:jc w:val="center"/>
              <w:ind w:right="400"/>
              <w:spacing w:after="0" w:line="215" w:lineRule="exact"/>
              <w:rPr>
                <w:sz w:val="20"/>
                <w:szCs w:val="20"/>
                <w:color w:val="auto"/>
              </w:rPr>
            </w:pPr>
            <w:r>
              <w:rPr>
                <w:rFonts w:ascii="Calibri" w:cs="Calibri" w:eastAsia="Calibri" w:hAnsi="Calibri"/>
                <w:sz w:val="18"/>
                <w:szCs w:val="18"/>
                <w:b w:val="1"/>
                <w:bCs w:val="1"/>
                <w:color w:val="auto"/>
                <w:w w:val="97"/>
              </w:rPr>
              <w:t>Exercisable</w:t>
            </w:r>
          </w:p>
        </w:tc>
        <w:tc>
          <w:tcPr>
            <w:tcW w:w="1460" w:type="dxa"/>
            <w:vAlign w:val="bottom"/>
            <w:gridSpan w:val="3"/>
          </w:tcPr>
          <w:p>
            <w:pPr>
              <w:jc w:val="center"/>
              <w:ind w:right="40"/>
              <w:spacing w:after="0"/>
              <w:rPr>
                <w:sz w:val="20"/>
                <w:szCs w:val="20"/>
                <w:color w:val="auto"/>
              </w:rPr>
            </w:pPr>
            <w:r>
              <w:rPr>
                <w:rFonts w:ascii="Calibri" w:cs="Calibri" w:eastAsia="Calibri" w:hAnsi="Calibri"/>
                <w:sz w:val="18"/>
                <w:szCs w:val="18"/>
                <w:b w:val="1"/>
                <w:bCs w:val="1"/>
                <w:color w:val="auto"/>
                <w:w w:val="96"/>
              </w:rPr>
              <w:t>Exercise Price</w:t>
            </w:r>
          </w:p>
        </w:tc>
        <w:tc>
          <w:tcPr>
            <w:tcW w:w="80" w:type="dxa"/>
            <w:vAlign w:val="bottom"/>
          </w:tcPr>
          <w:p>
            <w:pPr>
              <w:spacing w:after="0"/>
              <w:rPr>
                <w:sz w:val="19"/>
                <w:szCs w:val="19"/>
                <w:color w:val="auto"/>
              </w:rPr>
            </w:pPr>
          </w:p>
        </w:tc>
        <w:tc>
          <w:tcPr>
            <w:tcW w:w="1460" w:type="dxa"/>
            <w:vAlign w:val="bottom"/>
            <w:gridSpan w:val="2"/>
          </w:tcPr>
          <w:p>
            <w:pPr>
              <w:ind w:left="180"/>
              <w:spacing w:after="0"/>
              <w:rPr>
                <w:sz w:val="20"/>
                <w:szCs w:val="20"/>
                <w:color w:val="auto"/>
              </w:rPr>
            </w:pPr>
            <w:r>
              <w:rPr>
                <w:rFonts w:ascii="Calibri" w:cs="Calibri" w:eastAsia="Calibri" w:hAnsi="Calibri"/>
                <w:sz w:val="18"/>
                <w:szCs w:val="18"/>
                <w:b w:val="1"/>
                <w:bCs w:val="1"/>
                <w:color w:val="auto"/>
              </w:rPr>
              <w:t>Expiraton Date</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February 2024 Warrants</w:t>
            </w:r>
          </w:p>
        </w:tc>
        <w:tc>
          <w:tcPr>
            <w:tcW w:w="1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1,260,505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1,260,505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line="215" w:lineRule="exact"/>
              <w:rPr>
                <w:sz w:val="20"/>
                <w:szCs w:val="20"/>
                <w:color w:val="auto"/>
              </w:rPr>
            </w:pPr>
            <w:r>
              <w:rPr>
                <w:rFonts w:ascii="Calibri" w:cs="Calibri" w:eastAsia="Calibri" w:hAnsi="Calibri"/>
                <w:sz w:val="18"/>
                <w:szCs w:val="18"/>
                <w:color w:val="auto"/>
              </w:rPr>
              <w:t>$5.25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300"/>
              <w:spacing w:after="0" w:line="215" w:lineRule="exact"/>
              <w:rPr>
                <w:sz w:val="20"/>
                <w:szCs w:val="20"/>
                <w:color w:val="auto"/>
              </w:rPr>
            </w:pPr>
            <w:r>
              <w:rPr>
                <w:rFonts w:ascii="Calibri" w:cs="Calibri" w:eastAsia="Calibri" w:hAnsi="Calibri"/>
                <w:sz w:val="18"/>
                <w:szCs w:val="18"/>
                <w:color w:val="auto"/>
                <w:w w:val="96"/>
              </w:rPr>
              <w:t>August 14, 2029</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Class B Common Stock Conversion</w:t>
      </w:r>
    </w:p>
    <w:p>
      <w:pPr>
        <w:spacing w:after="0" w:line="231" w:lineRule="exact"/>
        <w:rPr>
          <w:sz w:val="20"/>
          <w:szCs w:val="20"/>
          <w:color w:val="auto"/>
        </w:rPr>
      </w:pPr>
    </w:p>
    <w:p>
      <w:pPr>
        <w:ind w:right="420"/>
        <w:spacing w:after="0" w:line="227" w:lineRule="auto"/>
        <w:rPr>
          <w:sz w:val="20"/>
          <w:szCs w:val="20"/>
          <w:color w:val="auto"/>
        </w:rPr>
      </w:pPr>
      <w:r>
        <w:rPr>
          <w:rFonts w:ascii="Calibri" w:cs="Calibri" w:eastAsia="Calibri" w:hAnsi="Calibri"/>
          <w:sz w:val="18"/>
          <w:szCs w:val="18"/>
          <w:color w:val="auto"/>
        </w:rPr>
        <w:t>On January 30, 2024 and February 9, 2024, the Company received notces of conversion from holders of its Class B common stock to convert 77,245 and 42,000 shares of Class B common stock, respectvely, in exchange for 77,245 and 42,000 shares of Class A common stock, respectvely.</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Debt Exchange Agreements</w:t>
      </w:r>
    </w:p>
    <w:p>
      <w:pPr>
        <w:spacing w:after="0" w:line="231" w:lineRule="exact"/>
        <w:rPr>
          <w:sz w:val="20"/>
          <w:szCs w:val="20"/>
          <w:color w:val="auto"/>
        </w:rPr>
      </w:pPr>
    </w:p>
    <w:p>
      <w:pPr>
        <w:jc w:val="both"/>
        <w:ind w:right="40"/>
        <w:spacing w:after="0" w:line="258" w:lineRule="auto"/>
        <w:rPr>
          <w:sz w:val="20"/>
          <w:szCs w:val="20"/>
          <w:color w:val="auto"/>
        </w:rPr>
      </w:pPr>
      <w:r>
        <w:rPr>
          <w:rFonts w:ascii="Calibri" w:cs="Calibri" w:eastAsia="Calibri" w:hAnsi="Calibri"/>
          <w:sz w:val="17"/>
          <w:szCs w:val="17"/>
          <w:color w:val="auto"/>
        </w:rPr>
        <w:t>During the fourth quarter of 2024, the Company entered into privately negotated exchange agreements, pursuant to which it issued an aggregate of 692,433 shares of the Company's Class A common stock with a fair value of $1.62 million in exchange for $3.66 million aggregate principal amount of its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95" w:name="page96"/>
    <w:bookmarkEnd w:id="95"/>
    <w:p>
      <w:pPr>
        <w:spacing w:after="0"/>
        <w:rPr>
          <w:sz w:val="20"/>
          <w:szCs w:val="20"/>
          <w:color w:val="auto"/>
        </w:rPr>
      </w:pPr>
      <w:r>
        <w:rPr>
          <w:rFonts w:ascii="Calibri" w:cs="Calibri" w:eastAsia="Calibri" w:hAnsi="Calibri"/>
          <w:sz w:val="18"/>
          <w:szCs w:val="18"/>
          <w:b w:val="1"/>
          <w:bCs w:val="1"/>
          <w:color w:val="auto"/>
        </w:rPr>
        <w:t>7. LOSS PER SHARE</w:t>
      </w:r>
    </w:p>
    <w:p>
      <w:pPr>
        <w:spacing w:after="0" w:line="109"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color w:val="auto"/>
        </w:rPr>
        <w:t>The Company calculates basic net loss per share by dividing the net loss by the weighted average number of shares of common stock outstanding for the period. The diluted net loss per share is computed by assuming the exercise, setlement, and vestng of all potental dilutve common stock equivalents outstanding for the period using the treasury stock method. The following table sets forth a reconciliaton of the numerator and denominator used to compute basic and diluted net loss per share of common stock (In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4"/>
          </w:tcPr>
          <w:p>
            <w:pPr>
              <w:jc w:val="right"/>
              <w:ind w:right="432"/>
              <w:spacing w:after="0"/>
              <w:rPr>
                <w:sz w:val="20"/>
                <w:szCs w:val="20"/>
                <w:color w:val="auto"/>
              </w:rPr>
            </w:pPr>
            <w:r>
              <w:rPr>
                <w:rFonts w:ascii="Calibri" w:cs="Calibri" w:eastAsia="Calibri" w:hAnsi="Calibri"/>
                <w:sz w:val="14"/>
                <w:szCs w:val="14"/>
                <w:b w:val="1"/>
                <w:bCs w:val="1"/>
                <w:color w:val="auto"/>
              </w:rPr>
              <w:t>For the Year Ended December 31,</w:t>
            </w:r>
          </w:p>
        </w:tc>
      </w:tr>
      <w:tr>
        <w:trPr>
          <w:trHeight w:val="203"/>
        </w:trPr>
        <w:tc>
          <w:tcPr>
            <w:tcW w:w="8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513"/>
              <w:spacing w:after="0"/>
              <w:rPr>
                <w:sz w:val="20"/>
                <w:szCs w:val="20"/>
                <w:color w:val="auto"/>
              </w:rPr>
            </w:pPr>
            <w:r>
              <w:rPr>
                <w:rFonts w:ascii="Calibri" w:cs="Calibri" w:eastAsia="Calibri" w:hAnsi="Calibri"/>
                <w:sz w:val="14"/>
                <w:szCs w:val="14"/>
                <w:b w:val="1"/>
                <w:bCs w:val="1"/>
                <w:color w:val="auto"/>
              </w:rPr>
              <w:t>2024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92"/>
              <w:spacing w:after="0"/>
              <w:rPr>
                <w:sz w:val="20"/>
                <w:szCs w:val="20"/>
                <w:color w:val="auto"/>
              </w:rPr>
            </w:pPr>
            <w:r>
              <w:rPr>
                <w:rFonts w:ascii="Calibri" w:cs="Calibri" w:eastAsia="Calibri" w:hAnsi="Calibri"/>
                <w:sz w:val="14"/>
                <w:szCs w:val="14"/>
                <w:b w:val="1"/>
                <w:bCs w:val="1"/>
                <w:color w:val="auto"/>
              </w:rPr>
              <w:t>2023</w:t>
            </w:r>
          </w:p>
        </w:tc>
      </w:tr>
      <w:tr>
        <w:trPr>
          <w:trHeight w:val="47"/>
        </w:trPr>
        <w:tc>
          <w:tcPr>
            <w:tcW w:w="82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9"/>
        </w:trPr>
        <w:tc>
          <w:tcPr>
            <w:tcW w:w="820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2"/>
        </w:trPr>
        <w:tc>
          <w:tcPr>
            <w:tcW w:w="8200" w:type="dxa"/>
            <w:vAlign w:val="bottom"/>
          </w:tcPr>
          <w:p>
            <w:pPr>
              <w:ind w:left="180"/>
              <w:spacing w:after="0" w:line="215" w:lineRule="exact"/>
              <w:rPr>
                <w:sz w:val="20"/>
                <w:szCs w:val="20"/>
                <w:color w:val="auto"/>
              </w:rPr>
            </w:pPr>
            <w:r>
              <w:rPr>
                <w:rFonts w:ascii="Calibri" w:cs="Calibri" w:eastAsia="Calibri" w:hAnsi="Calibri"/>
                <w:sz w:val="18"/>
                <w:szCs w:val="18"/>
                <w:color w:val="auto"/>
              </w:rPr>
              <w:t>Net loss from contnuing operatons</w:t>
            </w: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(19,785)</w:t>
            </w:r>
          </w:p>
        </w:tc>
        <w:tc>
          <w:tcPr>
            <w:tcW w:w="80" w:type="dxa"/>
            <w:vAlign w:val="bottom"/>
          </w:tcPr>
          <w:p>
            <w:pPr>
              <w:spacing w:after="0"/>
              <w:rPr>
                <w:sz w:val="19"/>
                <w:szCs w:val="19"/>
                <w:color w:val="auto"/>
              </w:rPr>
            </w:pPr>
          </w:p>
        </w:tc>
        <w:tc>
          <w:tcPr>
            <w:tcW w:w="3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(29,039)</w:t>
            </w:r>
          </w:p>
        </w:tc>
      </w:tr>
      <w:tr>
        <w:trPr>
          <w:trHeight w:val="230"/>
        </w:trPr>
        <w:tc>
          <w:tcPr>
            <w:tcW w:w="820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Loss from discontnued operatons, net of tax</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(471)</w:t>
            </w:r>
          </w:p>
        </w:tc>
      </w:tr>
      <w:tr>
        <w:trPr>
          <w:trHeight w:val="229"/>
        </w:trPr>
        <w:tc>
          <w:tcPr>
            <w:tcW w:w="8200" w:type="dxa"/>
            <w:vAlign w:val="bottom"/>
          </w:tcPr>
          <w:p>
            <w:pPr>
              <w:ind w:left="180"/>
              <w:spacing w:after="0"/>
              <w:rPr>
                <w:sz w:val="20"/>
                <w:szCs w:val="20"/>
                <w:color w:val="auto"/>
              </w:rPr>
            </w:pPr>
            <w:r>
              <w:rPr>
                <w:rFonts w:ascii="Calibri" w:cs="Calibri" w:eastAsia="Calibri" w:hAnsi="Calibri"/>
                <w:sz w:val="18"/>
                <w:szCs w:val="18"/>
                <w:color w:val="auto"/>
              </w:rPr>
              <w:t>Net loss</w:t>
            </w:r>
          </w:p>
        </w:tc>
        <w:tc>
          <w:tcPr>
            <w:tcW w:w="320" w:type="dxa"/>
            <w:vAlign w:val="bottom"/>
            <w:tcBorders>
              <w:top w:val="single" w:sz="8" w:color="auto"/>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(19,785)</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(29,510)</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2"/>
        </w:trPr>
        <w:tc>
          <w:tcPr>
            <w:tcW w:w="820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Denominator</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7"/>
        </w:trPr>
        <w:tc>
          <w:tcPr>
            <w:tcW w:w="820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Basic weighted average shares outstanding</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10,504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6,660</w:t>
            </w:r>
          </w:p>
        </w:tc>
      </w:tr>
      <w:tr>
        <w:trPr>
          <w:trHeight w:val="223"/>
        </w:trPr>
        <w:tc>
          <w:tcPr>
            <w:tcW w:w="8200" w:type="dxa"/>
            <w:vAlign w:val="bottom"/>
          </w:tcPr>
          <w:p>
            <w:pPr>
              <w:ind w:left="240"/>
              <w:spacing w:after="0" w:line="215" w:lineRule="exact"/>
              <w:rPr>
                <w:sz w:val="20"/>
                <w:szCs w:val="20"/>
                <w:color w:val="auto"/>
              </w:rPr>
            </w:pPr>
            <w:r>
              <w:rPr>
                <w:rFonts w:ascii="Calibri" w:cs="Calibri" w:eastAsia="Calibri" w:hAnsi="Calibri"/>
                <w:sz w:val="18"/>
                <w:szCs w:val="18"/>
                <w:color w:val="auto"/>
              </w:rPr>
              <w:t>Efect of dilutve securites</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55"/>
        </w:trPr>
        <w:tc>
          <w:tcPr>
            <w:tcW w:w="82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Calibri" w:cs="Calibri" w:eastAsia="Calibri" w:hAnsi="Calibri"/>
                <w:sz w:val="18"/>
                <w:szCs w:val="18"/>
                <w:color w:val="auto"/>
              </w:rPr>
              <w:t>Diluted weighted average shares outstanding</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10,504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6,660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2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Net loss per share, basic and diluted:</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2"/>
        </w:trPr>
        <w:tc>
          <w:tcPr>
            <w:tcW w:w="8200" w:type="dxa"/>
            <w:vAlign w:val="bottom"/>
          </w:tcPr>
          <w:p>
            <w:pPr>
              <w:ind w:left="240"/>
              <w:spacing w:after="0" w:line="215" w:lineRule="exact"/>
              <w:rPr>
                <w:sz w:val="20"/>
                <w:szCs w:val="20"/>
                <w:color w:val="auto"/>
              </w:rPr>
            </w:pPr>
            <w:r>
              <w:rPr>
                <w:rFonts w:ascii="Calibri" w:cs="Calibri" w:eastAsia="Calibri" w:hAnsi="Calibri"/>
                <w:sz w:val="18"/>
                <w:szCs w:val="18"/>
                <w:color w:val="auto"/>
              </w:rPr>
              <w:t>Net loss per share from contnuing operatons, basic and diluted</w:t>
            </w: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(1.88)</w:t>
            </w:r>
          </w:p>
        </w:tc>
        <w:tc>
          <w:tcPr>
            <w:tcW w:w="80" w:type="dxa"/>
            <w:vAlign w:val="bottom"/>
          </w:tcPr>
          <w:p>
            <w:pPr>
              <w:spacing w:after="0"/>
              <w:rPr>
                <w:sz w:val="19"/>
                <w:szCs w:val="19"/>
                <w:color w:val="auto"/>
              </w:rPr>
            </w:pPr>
          </w:p>
        </w:tc>
        <w:tc>
          <w:tcPr>
            <w:tcW w:w="3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(4.36)</w:t>
            </w:r>
          </w:p>
        </w:tc>
      </w:tr>
      <w:tr>
        <w:trPr>
          <w:trHeight w:val="230"/>
        </w:trPr>
        <w:tc>
          <w:tcPr>
            <w:tcW w:w="820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Loss per share from discontnued operatons, basic and diluted</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(0.07)</w:t>
            </w:r>
          </w:p>
        </w:tc>
      </w:tr>
      <w:tr>
        <w:trPr>
          <w:trHeight w:val="230"/>
        </w:trPr>
        <w:tc>
          <w:tcPr>
            <w:tcW w:w="8200" w:type="dxa"/>
            <w:vAlign w:val="bottom"/>
          </w:tcPr>
          <w:p>
            <w:pPr>
              <w:ind w:left="20"/>
              <w:spacing w:after="0"/>
              <w:rPr>
                <w:sz w:val="20"/>
                <w:szCs w:val="20"/>
                <w:color w:val="auto"/>
              </w:rPr>
            </w:pPr>
            <w:r>
              <w:rPr>
                <w:rFonts w:ascii="Calibri" w:cs="Calibri" w:eastAsia="Calibri" w:hAnsi="Calibri"/>
                <w:sz w:val="18"/>
                <w:szCs w:val="18"/>
                <w:color w:val="auto"/>
              </w:rPr>
              <w:t>Net loss per share, basic and diluted</w:t>
            </w:r>
          </w:p>
        </w:tc>
        <w:tc>
          <w:tcPr>
            <w:tcW w:w="320" w:type="dxa"/>
            <w:vAlign w:val="bottom"/>
            <w:tcBorders>
              <w:top w:val="single" w:sz="8" w:color="auto"/>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(1.88)</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(4.43)</w:t>
            </w:r>
          </w:p>
        </w:tc>
      </w:tr>
      <w:tr>
        <w:trPr>
          <w:trHeight w:val="20"/>
        </w:trPr>
        <w:tc>
          <w:tcPr>
            <w:tcW w:w="8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For the years ended December 31, 2024 and 2023, because the Company was in a loss positon, basic net loss per share is the same as diluted net loss per share, as the inclusion of the potental common shares would have been ant-dilutve.</w:t>
      </w:r>
    </w:p>
    <w:p>
      <w:pPr>
        <w:spacing w:after="0" w:line="218"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The following table sets forth potental shares of common stock that are not included in the diluted net loss per share calculaton above because to do so would be ant-dilutve for the period indicated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020" w:type="dxa"/>
            <w:vAlign w:val="bottom"/>
            <w:gridSpan w:val="3"/>
          </w:tcPr>
          <w:p>
            <w:pPr>
              <w:ind w:left="1900"/>
              <w:spacing w:after="0"/>
              <w:rPr>
                <w:sz w:val="20"/>
                <w:szCs w:val="20"/>
                <w:color w:val="auto"/>
              </w:rPr>
            </w:pPr>
            <w:r>
              <w:rPr>
                <w:rFonts w:ascii="Calibri" w:cs="Calibri" w:eastAsia="Calibri" w:hAnsi="Calibri"/>
                <w:sz w:val="14"/>
                <w:szCs w:val="14"/>
                <w:b w:val="1"/>
                <w:bCs w:val="1"/>
                <w:color w:val="auto"/>
              </w:rPr>
              <w:t>December 31,</w:t>
            </w:r>
          </w:p>
        </w:tc>
        <w:tc>
          <w:tcPr>
            <w:tcW w:w="1580" w:type="dxa"/>
            <w:vAlign w:val="bottom"/>
          </w:tcPr>
          <w:p>
            <w:pPr>
              <w:spacing w:after="0"/>
              <w:rPr>
                <w:sz w:val="14"/>
                <w:szCs w:val="14"/>
                <w:color w:val="auto"/>
              </w:rPr>
            </w:pPr>
          </w:p>
        </w:tc>
      </w:tr>
      <w:tr>
        <w:trPr>
          <w:trHeight w:val="203"/>
        </w:trPr>
        <w:tc>
          <w:tcPr>
            <w:tcW w:w="6640" w:type="dxa"/>
            <w:vAlign w:val="bottom"/>
          </w:tcPr>
          <w:p>
            <w:pPr>
              <w:ind w:left="20"/>
              <w:spacing w:after="0"/>
              <w:rPr>
                <w:sz w:val="20"/>
                <w:szCs w:val="20"/>
                <w:color w:val="auto"/>
              </w:rPr>
            </w:pPr>
            <w:r>
              <w:rPr>
                <w:rFonts w:ascii="Calibri" w:cs="Calibri" w:eastAsia="Calibri" w:hAnsi="Calibri"/>
                <w:sz w:val="14"/>
                <w:szCs w:val="14"/>
                <w:b w:val="1"/>
                <w:bCs w:val="1"/>
                <w:color w:val="auto"/>
              </w:rPr>
              <w:t>Ant-dilutve securites</w:t>
            </w:r>
          </w:p>
        </w:tc>
        <w:tc>
          <w:tcPr>
            <w:tcW w:w="2260" w:type="dxa"/>
            <w:vAlign w:val="bottom"/>
          </w:tcPr>
          <w:p>
            <w:pPr>
              <w:jc w:val="right"/>
              <w:ind w:right="896"/>
              <w:spacing w:after="0"/>
              <w:rPr>
                <w:sz w:val="20"/>
                <w:szCs w:val="20"/>
                <w:color w:val="auto"/>
              </w:rPr>
            </w:pPr>
            <w:r>
              <w:rPr>
                <w:rFonts w:ascii="Calibri" w:cs="Calibri" w:eastAsia="Calibri" w:hAnsi="Calibri"/>
                <w:sz w:val="14"/>
                <w:szCs w:val="14"/>
                <w:b w:val="1"/>
                <w:bCs w:val="1"/>
                <w:color w:val="auto"/>
              </w:rPr>
              <w:t>2024</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jc w:val="right"/>
              <w:ind w:right="894"/>
              <w:spacing w:after="0"/>
              <w:rPr>
                <w:sz w:val="20"/>
                <w:szCs w:val="20"/>
                <w:color w:val="auto"/>
              </w:rPr>
            </w:pPr>
            <w:r>
              <w:rPr>
                <w:rFonts w:ascii="Calibri" w:cs="Calibri" w:eastAsia="Calibri" w:hAnsi="Calibri"/>
                <w:sz w:val="14"/>
                <w:szCs w:val="14"/>
                <w:b w:val="1"/>
                <w:bCs w:val="1"/>
                <w:color w:val="auto"/>
              </w:rPr>
              <w:t>2023</w:t>
            </w:r>
          </w:p>
        </w:tc>
      </w:tr>
      <w:tr>
        <w:trPr>
          <w:trHeight w:val="47"/>
        </w:trPr>
        <w:tc>
          <w:tcPr>
            <w:tcW w:w="6640" w:type="dxa"/>
            <w:vAlign w:val="bottom"/>
            <w:tcBorders>
              <w:bottom w:val="single" w:sz="8" w:color="CCEEFF"/>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23"/>
        </w:trPr>
        <w:tc>
          <w:tcPr>
            <w:tcW w:w="664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Restricted stock awards</w:t>
            </w:r>
          </w:p>
        </w:tc>
        <w:tc>
          <w:tcPr>
            <w:tcW w:w="2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131</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w:t>
            </w:r>
          </w:p>
        </w:tc>
      </w:tr>
      <w:tr>
        <w:trPr>
          <w:trHeight w:val="222"/>
        </w:trPr>
        <w:tc>
          <w:tcPr>
            <w:tcW w:w="6640" w:type="dxa"/>
            <w:vAlign w:val="bottom"/>
          </w:tcPr>
          <w:p>
            <w:pPr>
              <w:ind w:left="20"/>
              <w:spacing w:after="0" w:line="215" w:lineRule="exact"/>
              <w:rPr>
                <w:sz w:val="20"/>
                <w:szCs w:val="20"/>
                <w:color w:val="auto"/>
              </w:rPr>
            </w:pPr>
            <w:r>
              <w:rPr>
                <w:rFonts w:ascii="Calibri" w:cs="Calibri" w:eastAsia="Calibri" w:hAnsi="Calibri"/>
                <w:sz w:val="18"/>
                <w:szCs w:val="18"/>
                <w:color w:val="auto"/>
              </w:rPr>
              <w:t>Common shares issuable upon exercise of stock optons</w:t>
            </w:r>
          </w:p>
        </w:tc>
        <w:tc>
          <w:tcPr>
            <w:tcW w:w="2260" w:type="dxa"/>
            <w:vAlign w:val="bottom"/>
          </w:tcPr>
          <w:p>
            <w:pPr>
              <w:jc w:val="right"/>
              <w:spacing w:after="0" w:line="215" w:lineRule="exact"/>
              <w:rPr>
                <w:sz w:val="20"/>
                <w:szCs w:val="20"/>
                <w:color w:val="auto"/>
              </w:rPr>
            </w:pPr>
            <w:r>
              <w:rPr>
                <w:rFonts w:ascii="Calibri" w:cs="Calibri" w:eastAsia="Calibri" w:hAnsi="Calibri"/>
                <w:sz w:val="18"/>
                <w:szCs w:val="18"/>
                <w:color w:val="auto"/>
              </w:rPr>
              <w:t>482</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459</w:t>
            </w:r>
          </w:p>
        </w:tc>
      </w:tr>
      <w:tr>
        <w:trPr>
          <w:trHeight w:val="230"/>
        </w:trPr>
        <w:tc>
          <w:tcPr>
            <w:tcW w:w="66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Common shares issuable upon exercise of warrants</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1,261</w:t>
            </w:r>
          </w:p>
        </w:tc>
        <w:tc>
          <w:tcPr>
            <w:tcW w:w="8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180</w:t>
            </w:r>
          </w:p>
        </w:tc>
      </w:tr>
      <w:tr>
        <w:trPr>
          <w:trHeight w:val="230"/>
        </w:trPr>
        <w:tc>
          <w:tcPr>
            <w:tcW w:w="6640" w:type="dxa"/>
            <w:vAlign w:val="bottom"/>
          </w:tcPr>
          <w:p>
            <w:pPr>
              <w:ind w:left="20"/>
              <w:spacing w:after="0"/>
              <w:rPr>
                <w:sz w:val="20"/>
                <w:szCs w:val="20"/>
                <w:color w:val="auto"/>
              </w:rPr>
            </w:pPr>
            <w:r>
              <w:rPr>
                <w:rFonts w:ascii="Calibri" w:cs="Calibri" w:eastAsia="Calibri" w:hAnsi="Calibri"/>
                <w:sz w:val="18"/>
                <w:szCs w:val="18"/>
                <w:color w:val="auto"/>
              </w:rPr>
              <w:t>Total</w:t>
            </w:r>
          </w:p>
        </w:tc>
        <w:tc>
          <w:tcPr>
            <w:tcW w:w="2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1,874</w:t>
            </w:r>
          </w:p>
        </w:tc>
        <w:tc>
          <w:tcPr>
            <w:tcW w:w="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648</w:t>
            </w:r>
          </w:p>
        </w:tc>
      </w:tr>
      <w:tr>
        <w:trPr>
          <w:trHeight w:val="20"/>
        </w:trPr>
        <w:tc>
          <w:tcPr>
            <w:tcW w:w="664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right="8760" w:firstLine="8"/>
        <w:spacing w:after="0" w:line="383" w:lineRule="auto"/>
        <w:tabs>
          <w:tab w:leader="none" w:pos="175" w:val="left"/>
        </w:tabs>
        <w:numPr>
          <w:ilvl w:val="0"/>
          <w:numId w:val="43"/>
        </w:numPr>
        <w:rPr>
          <w:rFonts w:ascii="Calibri" w:cs="Calibri" w:eastAsia="Calibri" w:hAnsi="Calibri"/>
          <w:sz w:val="17"/>
          <w:szCs w:val="17"/>
          <w:b w:val="1"/>
          <w:bCs w:val="1"/>
          <w:color w:val="auto"/>
        </w:rPr>
      </w:pPr>
      <w:r>
        <w:rPr>
          <w:rFonts w:ascii="Calibri" w:cs="Calibri" w:eastAsia="Calibri" w:hAnsi="Calibri"/>
          <w:sz w:val="17"/>
          <w:szCs w:val="17"/>
          <w:b w:val="1"/>
          <w:bCs w:val="1"/>
          <w:color w:val="auto"/>
        </w:rPr>
        <w:t>EQUITY BASED COMPENSATION Equity Incentve Plans</w:t>
      </w:r>
    </w:p>
    <w:p>
      <w:pPr>
        <w:spacing w:after="0" w:line="94"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In February 2021, Greenidge adopted an equity incentve plan and reserved 383,111 shares of Class A common stock for issuance under the plan (as amended and restated, the “2021 Equity Plan”), applicable to employees and non-employee directors. In April 2023, the stockholders approved an amendment and restatement of the 2021 Equity Plan to increase the maximum aggregate number of shares of Class A common stock that may be issued for all purposes under the Plan by 500,000 shares of Class A common stock from 383,111 to 883,111 shares of Class A common stock and to remove the countng of shares of Class A common stock granted in connecton with awards other than stock optons and stock appreciaton rights against the total number of shares available under the Plan as two shares of Class A common stock for every one share of Class A common stock granted in connecton with such award. In November 2024, the stockholders approved an amendment and restatement of the 2021 Equity Plan to increase the maximum aggregate number of shares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96" w:name="page97"/>
    <w:bookmarkEnd w:id="96"/>
    <w:p>
      <w:pPr>
        <w:ind w:right="320"/>
        <w:spacing w:after="0" w:line="235" w:lineRule="auto"/>
        <w:rPr>
          <w:sz w:val="20"/>
          <w:szCs w:val="20"/>
          <w:color w:val="auto"/>
        </w:rPr>
      </w:pPr>
      <w:r>
        <w:rPr>
          <w:rFonts w:ascii="Calibri" w:cs="Calibri" w:eastAsia="Calibri" w:hAnsi="Calibri"/>
          <w:sz w:val="18"/>
          <w:szCs w:val="18"/>
          <w:color w:val="auto"/>
        </w:rPr>
        <w:t>of Class A common stock that may be issued for all purposes under the 2021 Equity Plan by 700,000 shares of Class A common stock from 883,111 to 1,583,111 shares of Class A common stock. In October 2022, the Company registered 307,684 shares of Class A common stock, outside of the 2021 Equity Plan, that were reserved for issuance upon the vestng and exercise of non-qualifed stock opton inducement grants.</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RSAs and RSUs</w:t>
      </w:r>
    </w:p>
    <w:p>
      <w:pPr>
        <w:spacing w:after="0" w:line="109"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During the year ended December 31, 2024, the Company awarded 392,028 restricted stock awards ("RSAs") and restricted stock units ("RSUs") under the 2021 Equity Plan. RSAs and RSUs are generally granted with an eligible vestng range from upon grant to over a two-year period.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180" w:type="dxa"/>
            <w:vAlign w:val="bottom"/>
          </w:tcPr>
          <w:p>
            <w:pPr>
              <w:spacing w:after="0"/>
              <w:rPr>
                <w:sz w:val="20"/>
                <w:szCs w:val="20"/>
                <w:color w:val="auto"/>
              </w:rPr>
            </w:pPr>
            <w:r>
              <w:rPr>
                <w:rFonts w:ascii="Calibri" w:cs="Calibri" w:eastAsia="Calibri" w:hAnsi="Calibri"/>
                <w:sz w:val="18"/>
                <w:szCs w:val="18"/>
                <w:color w:val="auto"/>
                <w:w w:val="97"/>
              </w:rPr>
              <w:t>The Company’s unvested RSA and RSU award actvity for the year ended December 31, 2024 is summarized below:</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3"/>
        </w:trPr>
        <w:tc>
          <w:tcPr>
            <w:tcW w:w="8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Calibri" w:cs="Calibri" w:eastAsia="Calibri" w:hAnsi="Calibri"/>
                <w:sz w:val="18"/>
                <w:szCs w:val="18"/>
                <w:b w:val="1"/>
                <w:bCs w:val="1"/>
                <w:color w:val="auto"/>
                <w:w w:val="95"/>
              </w:rPr>
              <w:t>Weighted Average</w:t>
            </w:r>
          </w:p>
        </w:tc>
      </w:tr>
      <w:tr>
        <w:trPr>
          <w:trHeight w:val="189"/>
        </w:trPr>
        <w:tc>
          <w:tcPr>
            <w:tcW w:w="8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0"/>
              <w:spacing w:after="0" w:line="189" w:lineRule="exact"/>
              <w:rPr>
                <w:sz w:val="20"/>
                <w:szCs w:val="20"/>
                <w:color w:val="auto"/>
              </w:rPr>
            </w:pPr>
            <w:r>
              <w:rPr>
                <w:rFonts w:ascii="Calibri" w:cs="Calibri" w:eastAsia="Calibri" w:hAnsi="Calibri"/>
                <w:sz w:val="18"/>
                <w:szCs w:val="18"/>
                <w:b w:val="1"/>
                <w:bCs w:val="1"/>
                <w:color w:val="auto"/>
                <w:w w:val="97"/>
              </w:rPr>
              <w:t>Grant Date</w:t>
            </w:r>
          </w:p>
        </w:tc>
      </w:tr>
      <w:tr>
        <w:trPr>
          <w:trHeight w:val="215"/>
        </w:trPr>
        <w:tc>
          <w:tcPr>
            <w:tcW w:w="8180" w:type="dxa"/>
            <w:vAlign w:val="bottom"/>
          </w:tcPr>
          <w:p>
            <w:pPr>
              <w:spacing w:after="0"/>
              <w:rPr>
                <w:sz w:val="18"/>
                <w:szCs w:val="18"/>
                <w:color w:val="auto"/>
              </w:rPr>
            </w:pPr>
          </w:p>
        </w:tc>
        <w:tc>
          <w:tcPr>
            <w:tcW w:w="14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RSAs &amp; RSUs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0"/>
              <w:spacing w:after="0" w:line="215" w:lineRule="exact"/>
              <w:rPr>
                <w:sz w:val="20"/>
                <w:szCs w:val="20"/>
                <w:color w:val="auto"/>
              </w:rPr>
            </w:pPr>
            <w:r>
              <w:rPr>
                <w:rFonts w:ascii="Calibri" w:cs="Calibri" w:eastAsia="Calibri" w:hAnsi="Calibri"/>
                <w:sz w:val="18"/>
                <w:szCs w:val="18"/>
                <w:b w:val="1"/>
                <w:bCs w:val="1"/>
                <w:color w:val="auto"/>
                <w:w w:val="96"/>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Unvested at December 31, 2023</w:t>
            </w:r>
          </w:p>
        </w:tc>
        <w:tc>
          <w:tcPr>
            <w:tcW w:w="1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62.99</w:t>
            </w:r>
          </w:p>
        </w:tc>
      </w:tr>
      <w:tr>
        <w:trPr>
          <w:trHeight w:val="222"/>
        </w:trPr>
        <w:tc>
          <w:tcPr>
            <w:tcW w:w="8180" w:type="dxa"/>
            <w:vAlign w:val="bottom"/>
          </w:tcPr>
          <w:p>
            <w:pPr>
              <w:ind w:left="240"/>
              <w:spacing w:after="0" w:line="215" w:lineRule="exact"/>
              <w:rPr>
                <w:sz w:val="20"/>
                <w:szCs w:val="20"/>
                <w:color w:val="auto"/>
              </w:rPr>
            </w:pPr>
            <w:r>
              <w:rPr>
                <w:rFonts w:ascii="Calibri" w:cs="Calibri" w:eastAsia="Calibri" w:hAnsi="Calibri"/>
                <w:sz w:val="18"/>
                <w:szCs w:val="18"/>
                <w:color w:val="auto"/>
              </w:rPr>
              <w:t>Granted</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392,028</w:t>
            </w:r>
          </w:p>
        </w:tc>
        <w:tc>
          <w:tcPr>
            <w:tcW w:w="32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3.88</w:t>
            </w:r>
          </w:p>
        </w:tc>
      </w:tr>
      <w:tr>
        <w:trPr>
          <w:trHeight w:val="237"/>
        </w:trPr>
        <w:tc>
          <w:tcPr>
            <w:tcW w:w="818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Vested</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(265,451)</w:t>
            </w:r>
          </w:p>
        </w:tc>
        <w:tc>
          <w:tcPr>
            <w:tcW w:w="320" w:type="dxa"/>
            <w:vAlign w:val="bottom"/>
            <w:gridSpan w:val="2"/>
            <w:shd w:val="clear" w:color="auto" w:fill="CCEEFF"/>
          </w:tcPr>
          <w:p>
            <w:pPr>
              <w:jc w:val="right"/>
              <w:ind w:right="30"/>
              <w:spacing w:after="0"/>
              <w:rPr>
                <w:sz w:val="20"/>
                <w:szCs w:val="20"/>
                <w:color w:val="auto"/>
              </w:rPr>
            </w:pPr>
            <w:r>
              <w:rPr>
                <w:rFonts w:ascii="Calibri" w:cs="Calibri" w:eastAsia="Calibri" w:hAnsi="Calibri"/>
                <w:sz w:val="18"/>
                <w:szCs w:val="18"/>
                <w:color w:val="auto"/>
              </w:rPr>
              <w:t>$</w:t>
            </w: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6.85</w:t>
            </w:r>
          </w:p>
        </w:tc>
      </w:tr>
      <w:tr>
        <w:trPr>
          <w:trHeight w:val="223"/>
        </w:trPr>
        <w:tc>
          <w:tcPr>
            <w:tcW w:w="8180" w:type="dxa"/>
            <w:vAlign w:val="bottom"/>
            <w:tcBorders>
              <w:bottom w:val="single" w:sz="8" w:color="CCEEFF"/>
            </w:tcBorders>
          </w:tcPr>
          <w:p>
            <w:pPr>
              <w:ind w:left="240"/>
              <w:spacing w:after="0" w:line="215" w:lineRule="exact"/>
              <w:rPr>
                <w:sz w:val="20"/>
                <w:szCs w:val="20"/>
                <w:color w:val="auto"/>
              </w:rPr>
            </w:pPr>
            <w:r>
              <w:rPr>
                <w:rFonts w:ascii="Calibri" w:cs="Calibri" w:eastAsia="Calibri" w:hAnsi="Calibri"/>
                <w:sz w:val="18"/>
                <w:szCs w:val="18"/>
                <w:color w:val="auto"/>
              </w:rPr>
              <w:t>Forfeited</w:t>
            </w:r>
          </w:p>
        </w:tc>
        <w:tc>
          <w:tcPr>
            <w:tcW w:w="1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(4,346)</w:t>
            </w:r>
          </w:p>
        </w:tc>
        <w:tc>
          <w:tcPr>
            <w:tcW w:w="320" w:type="dxa"/>
            <w:vAlign w:val="bottom"/>
            <w:tcBorders>
              <w:bottom w:val="single" w:sz="8" w:color="CCEEFF"/>
            </w:tcBorders>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3.74</w:t>
            </w: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Unvested at December 31, 2024</w:t>
            </w:r>
          </w:p>
        </w:tc>
        <w:tc>
          <w:tcPr>
            <w:tcW w:w="14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131,347</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Calibri" w:cs="Calibri" w:eastAsia="Calibri" w:hAnsi="Calibri"/>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3.31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88"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value of RSA and RSU grants is measured based on their fair market value on the date of grant and amortzed over their requisite service periods. The fair market value of the awards granted totaled $1.5 million and $0.2 million during the years ended December 31, 2024 and 2023, respectvely. There was $0.3 million of total unrecognized compensaton cost related to unvested restricted stock rights as of December 31, 2024, which is expected to be recognized over a remaining weighted-average vestng period of less than 1 year.</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Common Stock Optons</w:t>
      </w:r>
    </w:p>
    <w:p>
      <w:pPr>
        <w:spacing w:after="0" w:line="217" w:lineRule="exact"/>
        <w:rPr>
          <w:sz w:val="20"/>
          <w:szCs w:val="20"/>
          <w:color w:val="auto"/>
        </w:rPr>
      </w:pPr>
    </w:p>
    <w:p>
      <w:pPr>
        <w:jc w:val="both"/>
        <w:ind w:right="160"/>
        <w:spacing w:after="0" w:line="235" w:lineRule="auto"/>
        <w:rPr>
          <w:sz w:val="20"/>
          <w:szCs w:val="20"/>
          <w:color w:val="auto"/>
        </w:rPr>
      </w:pPr>
      <w:r>
        <w:rPr>
          <w:rFonts w:ascii="Calibri" w:cs="Calibri" w:eastAsia="Calibri" w:hAnsi="Calibri"/>
          <w:sz w:val="18"/>
          <w:szCs w:val="18"/>
          <w:color w:val="auto"/>
        </w:rPr>
        <w:t>During the year ended December 31, 2024, the Company awarded 25,000 optons that vest over a two-year period at a rate of 50% per year and are subject to forfeiture restrictons which lapse over tme. These were issued from the 2021 Equity Plan. Optons granted to ofcers, employees and consultants expire ten years afer the date of grant.</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stock optons actvity for the year ended December 31, 2024 is summarized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Weighted Average</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48"/>
        </w:trPr>
        <w:tc>
          <w:tcPr>
            <w:tcW w:w="4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Calibri" w:cs="Calibri" w:eastAsia="Calibri" w:hAnsi="Calibri"/>
                <w:sz w:val="14"/>
                <w:szCs w:val="14"/>
                <w:b w:val="1"/>
                <w:bCs w:val="1"/>
                <w:color w:val="auto"/>
              </w:rPr>
              <w:t>Weighted Average</w:t>
            </w:r>
          </w:p>
        </w:tc>
        <w:tc>
          <w:tcPr>
            <w:tcW w:w="1700" w:type="dxa"/>
            <w:vAlign w:val="bottom"/>
            <w:gridSpan w:val="2"/>
          </w:tcPr>
          <w:p>
            <w:pPr>
              <w:jc w:val="center"/>
              <w:ind w:right="100"/>
              <w:spacing w:after="0" w:line="149" w:lineRule="exact"/>
              <w:rPr>
                <w:sz w:val="20"/>
                <w:szCs w:val="20"/>
                <w:color w:val="auto"/>
              </w:rPr>
            </w:pPr>
            <w:r>
              <w:rPr>
                <w:rFonts w:ascii="Calibri" w:cs="Calibri" w:eastAsia="Calibri" w:hAnsi="Calibri"/>
                <w:sz w:val="14"/>
                <w:szCs w:val="14"/>
                <w:b w:val="1"/>
                <w:bCs w:val="1"/>
                <w:color w:val="auto"/>
              </w:rPr>
              <w:t>Remaining</w:t>
            </w:r>
          </w:p>
        </w:tc>
        <w:tc>
          <w:tcPr>
            <w:tcW w:w="28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Calibri" w:cs="Calibri" w:eastAsia="Calibri" w:hAnsi="Calibri"/>
                <w:sz w:val="14"/>
                <w:szCs w:val="14"/>
                <w:b w:val="1"/>
                <w:bCs w:val="1"/>
                <w:color w:val="auto"/>
              </w:rPr>
              <w:t>Aggregate</w:t>
            </w:r>
          </w:p>
        </w:tc>
      </w:tr>
      <w:tr>
        <w:trPr>
          <w:trHeight w:val="148"/>
        </w:trPr>
        <w:tc>
          <w:tcPr>
            <w:tcW w:w="4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280"/>
              <w:spacing w:after="0" w:line="148" w:lineRule="exact"/>
              <w:rPr>
                <w:sz w:val="20"/>
                <w:szCs w:val="20"/>
                <w:color w:val="auto"/>
              </w:rPr>
            </w:pPr>
            <w:r>
              <w:rPr>
                <w:rFonts w:ascii="Calibri" w:cs="Calibri" w:eastAsia="Calibri" w:hAnsi="Calibri"/>
                <w:sz w:val="14"/>
                <w:szCs w:val="14"/>
                <w:b w:val="1"/>
                <w:bCs w:val="1"/>
                <w:color w:val="auto"/>
              </w:rPr>
              <w:t>Exercise Price</w:t>
            </w:r>
          </w:p>
        </w:tc>
        <w:tc>
          <w:tcPr>
            <w:tcW w:w="1700" w:type="dxa"/>
            <w:vAlign w:val="bottom"/>
            <w:gridSpan w:val="2"/>
          </w:tcPr>
          <w:p>
            <w:pPr>
              <w:jc w:val="center"/>
              <w:ind w:right="80"/>
              <w:spacing w:after="0" w:line="148" w:lineRule="exact"/>
              <w:rPr>
                <w:sz w:val="20"/>
                <w:szCs w:val="20"/>
                <w:color w:val="auto"/>
              </w:rPr>
            </w:pPr>
            <w:r>
              <w:rPr>
                <w:rFonts w:ascii="Calibri" w:cs="Calibri" w:eastAsia="Calibri" w:hAnsi="Calibri"/>
                <w:sz w:val="14"/>
                <w:szCs w:val="14"/>
                <w:b w:val="1"/>
                <w:bCs w:val="1"/>
                <w:color w:val="auto"/>
              </w:rPr>
              <w:t>Contractual Life</w:t>
            </w:r>
          </w:p>
        </w:tc>
        <w:tc>
          <w:tcPr>
            <w:tcW w:w="280" w:type="dxa"/>
            <w:vAlign w:val="bottom"/>
          </w:tcPr>
          <w:p>
            <w:pPr>
              <w:spacing w:after="0"/>
              <w:rPr>
                <w:sz w:val="12"/>
                <w:szCs w:val="12"/>
                <w:color w:val="auto"/>
              </w:rPr>
            </w:pPr>
          </w:p>
        </w:tc>
        <w:tc>
          <w:tcPr>
            <w:tcW w:w="1200" w:type="dxa"/>
            <w:vAlign w:val="bottom"/>
          </w:tcPr>
          <w:p>
            <w:pPr>
              <w:jc w:val="center"/>
              <w:ind w:right="201"/>
              <w:spacing w:after="0" w:line="148" w:lineRule="exact"/>
              <w:rPr>
                <w:sz w:val="20"/>
                <w:szCs w:val="20"/>
                <w:color w:val="auto"/>
              </w:rPr>
            </w:pPr>
            <w:r>
              <w:rPr>
                <w:rFonts w:ascii="Calibri" w:cs="Calibri" w:eastAsia="Calibri" w:hAnsi="Calibri"/>
                <w:sz w:val="14"/>
                <w:szCs w:val="14"/>
                <w:b w:val="1"/>
                <w:bCs w:val="1"/>
                <w:color w:val="auto"/>
              </w:rPr>
              <w:t>Intrinsic</w:t>
            </w:r>
          </w:p>
        </w:tc>
      </w:tr>
      <w:tr>
        <w:trPr>
          <w:trHeight w:val="170"/>
        </w:trPr>
        <w:tc>
          <w:tcPr>
            <w:tcW w:w="4820" w:type="dxa"/>
            <w:vAlign w:val="bottom"/>
          </w:tcPr>
          <w:p>
            <w:pPr>
              <w:spacing w:after="0"/>
              <w:rPr>
                <w:sz w:val="14"/>
                <w:szCs w:val="14"/>
                <w:color w:val="auto"/>
              </w:rPr>
            </w:pPr>
          </w:p>
        </w:tc>
        <w:tc>
          <w:tcPr>
            <w:tcW w:w="1480" w:type="dxa"/>
            <w:vAlign w:val="bottom"/>
          </w:tcPr>
          <w:p>
            <w:pPr>
              <w:jc w:val="right"/>
              <w:ind w:right="413"/>
              <w:spacing w:after="0"/>
              <w:rPr>
                <w:sz w:val="20"/>
                <w:szCs w:val="20"/>
                <w:color w:val="auto"/>
              </w:rPr>
            </w:pPr>
            <w:r>
              <w:rPr>
                <w:rFonts w:ascii="Calibri" w:cs="Calibri" w:eastAsia="Calibri" w:hAnsi="Calibri"/>
                <w:sz w:val="14"/>
                <w:szCs w:val="14"/>
                <w:b w:val="1"/>
                <w:bCs w:val="1"/>
                <w:color w:val="auto"/>
              </w:rPr>
              <w:t>Optons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Per Share</w:t>
            </w:r>
          </w:p>
        </w:tc>
        <w:tc>
          <w:tcPr>
            <w:tcW w:w="17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(in years)</w:t>
            </w:r>
          </w:p>
        </w:tc>
        <w:tc>
          <w:tcPr>
            <w:tcW w:w="280" w:type="dxa"/>
            <w:vAlign w:val="bottom"/>
          </w:tcPr>
          <w:p>
            <w:pPr>
              <w:spacing w:after="0"/>
              <w:rPr>
                <w:sz w:val="14"/>
                <w:szCs w:val="14"/>
                <w:color w:val="auto"/>
              </w:rPr>
            </w:pPr>
          </w:p>
        </w:tc>
        <w:tc>
          <w:tcPr>
            <w:tcW w:w="1200" w:type="dxa"/>
            <w:vAlign w:val="bottom"/>
          </w:tcPr>
          <w:p>
            <w:pPr>
              <w:jc w:val="center"/>
              <w:ind w:right="201"/>
              <w:spacing w:after="0"/>
              <w:rPr>
                <w:sz w:val="20"/>
                <w:szCs w:val="20"/>
                <w:color w:val="auto"/>
              </w:rPr>
            </w:pPr>
            <w:r>
              <w:rPr>
                <w:rFonts w:ascii="Calibri" w:cs="Calibri" w:eastAsia="Calibri" w:hAnsi="Calibri"/>
                <w:sz w:val="14"/>
                <w:szCs w:val="14"/>
                <w:b w:val="1"/>
                <w:bCs w:val="1"/>
                <w:color w:val="auto"/>
                <w:w w:val="96"/>
              </w:rPr>
              <w:t>Value</w:t>
            </w:r>
          </w:p>
        </w:tc>
      </w:tr>
      <w:tr>
        <w:trPr>
          <w:trHeight w:val="47"/>
        </w:trPr>
        <w:tc>
          <w:tcPr>
            <w:tcW w:w="482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23"/>
        </w:trPr>
        <w:tc>
          <w:tcPr>
            <w:tcW w:w="482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Outstanding at December 31, 2023</w:t>
            </w:r>
          </w:p>
        </w:tc>
        <w:tc>
          <w:tcPr>
            <w:tcW w:w="1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458,982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16.59</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2"/>
        </w:trPr>
        <w:tc>
          <w:tcPr>
            <w:tcW w:w="4820" w:type="dxa"/>
            <w:vAlign w:val="bottom"/>
          </w:tcPr>
          <w:p>
            <w:pPr>
              <w:ind w:left="240"/>
              <w:spacing w:after="0" w:line="215" w:lineRule="exact"/>
              <w:rPr>
                <w:sz w:val="20"/>
                <w:szCs w:val="20"/>
                <w:color w:val="auto"/>
              </w:rPr>
            </w:pPr>
            <w:r>
              <w:rPr>
                <w:rFonts w:ascii="Calibri" w:cs="Calibri" w:eastAsia="Calibri" w:hAnsi="Calibri"/>
                <w:sz w:val="18"/>
                <w:szCs w:val="18"/>
                <w:color w:val="auto"/>
              </w:rPr>
              <w:t>Granted</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25,000</w:t>
            </w:r>
          </w:p>
        </w:tc>
        <w:tc>
          <w:tcPr>
            <w:tcW w:w="2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3.00</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7"/>
        </w:trPr>
        <w:tc>
          <w:tcPr>
            <w:tcW w:w="482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(266)</w:t>
            </w:r>
          </w:p>
        </w:tc>
        <w:tc>
          <w:tcPr>
            <w:tcW w:w="28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62.50</w:t>
            </w: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3"/>
        </w:trPr>
        <w:tc>
          <w:tcPr>
            <w:tcW w:w="4820" w:type="dxa"/>
            <w:vAlign w:val="bottom"/>
            <w:tcBorders>
              <w:bottom w:val="single" w:sz="8" w:color="CCEEFF"/>
            </w:tcBorders>
          </w:tcPr>
          <w:p>
            <w:pPr>
              <w:ind w:left="240"/>
              <w:spacing w:after="0" w:line="215" w:lineRule="exact"/>
              <w:rPr>
                <w:sz w:val="20"/>
                <w:szCs w:val="20"/>
                <w:color w:val="auto"/>
              </w:rPr>
            </w:pPr>
            <w:r>
              <w:rPr>
                <w:rFonts w:ascii="Calibri" w:cs="Calibri" w:eastAsia="Calibri" w:hAnsi="Calibri"/>
                <w:sz w:val="18"/>
                <w:szCs w:val="18"/>
                <w:color w:val="auto"/>
              </w:rPr>
              <w:t>Expired</w:t>
            </w:r>
          </w:p>
        </w:tc>
        <w:tc>
          <w:tcPr>
            <w:tcW w:w="1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(1,224)</w:t>
            </w:r>
          </w:p>
        </w:tc>
        <w:tc>
          <w:tcPr>
            <w:tcW w:w="280" w:type="dxa"/>
            <w:vAlign w:val="bottom"/>
            <w:tcBorders>
              <w:bottom w:val="single" w:sz="8" w:color="CCEEFF"/>
            </w:tcBorders>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63.52</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r>
      <w:tr>
        <w:trPr>
          <w:trHeight w:val="229"/>
        </w:trPr>
        <w:tc>
          <w:tcPr>
            <w:tcW w:w="482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Outstanding at December 31, 2024</w:t>
            </w:r>
          </w:p>
        </w:tc>
        <w:tc>
          <w:tcPr>
            <w:tcW w:w="1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482,492</w:t>
            </w:r>
          </w:p>
        </w:tc>
        <w:tc>
          <w:tcPr>
            <w:tcW w:w="280" w:type="dxa"/>
            <w:vAlign w:val="bottom"/>
            <w:gridSpan w:val="2"/>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w:t>
            </w:r>
          </w:p>
        </w:tc>
        <w:tc>
          <w:tcPr>
            <w:tcW w:w="1400" w:type="dxa"/>
            <w:vAlign w:val="bottom"/>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15.75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line="206"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CEEFF"/>
          </w:tcPr>
          <w:p>
            <w:pPr>
              <w:ind w:left="980"/>
              <w:spacing w:after="0" w:line="206" w:lineRule="exact"/>
              <w:rPr>
                <w:sz w:val="20"/>
                <w:szCs w:val="20"/>
                <w:color w:val="auto"/>
              </w:rPr>
            </w:pPr>
            <w:r>
              <w:rPr>
                <w:rFonts w:ascii="Calibri" w:cs="Calibri" w:eastAsia="Calibri" w:hAnsi="Calibri"/>
                <w:sz w:val="18"/>
                <w:szCs w:val="18"/>
                <w:color w:val="auto"/>
              </w:rPr>
              <w:t>—</w:t>
            </w:r>
          </w:p>
        </w:tc>
      </w:tr>
      <w:tr>
        <w:trPr>
          <w:trHeight w:val="215"/>
        </w:trPr>
        <w:tc>
          <w:tcPr>
            <w:tcW w:w="4820" w:type="dxa"/>
            <w:vAlign w:val="bottom"/>
          </w:tcPr>
          <w:p>
            <w:pPr>
              <w:ind w:left="20"/>
              <w:spacing w:after="0" w:line="215" w:lineRule="exact"/>
              <w:rPr>
                <w:sz w:val="20"/>
                <w:szCs w:val="20"/>
                <w:color w:val="auto"/>
              </w:rPr>
            </w:pPr>
            <w:r>
              <w:rPr>
                <w:rFonts w:ascii="Calibri" w:cs="Calibri" w:eastAsia="Calibri" w:hAnsi="Calibri"/>
                <w:sz w:val="18"/>
                <w:szCs w:val="18"/>
                <w:color w:val="auto"/>
              </w:rPr>
              <w:t>Exercisable as of December 31, 2024</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335,316</w:t>
            </w:r>
          </w:p>
        </w:tc>
        <w:tc>
          <w:tcPr>
            <w:tcW w:w="2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19.07</w:t>
            </w:r>
          </w:p>
        </w:tc>
        <w:tc>
          <w:tcPr>
            <w:tcW w:w="80" w:type="dxa"/>
            <w:vAlign w:val="bottom"/>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7.6</w:t>
            </w:r>
          </w:p>
        </w:tc>
        <w:tc>
          <w:tcPr>
            <w:tcW w:w="100" w:type="dxa"/>
            <w:vAlign w:val="bottom"/>
          </w:tcPr>
          <w:p>
            <w:pPr>
              <w:spacing w:after="0"/>
              <w:rPr>
                <w:sz w:val="18"/>
                <w:szCs w:val="18"/>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Pr>
          <w:p>
            <w:pPr>
              <w:ind w:left="980"/>
              <w:spacing w:after="0" w:line="215" w:lineRule="exact"/>
              <w:rPr>
                <w:sz w:val="20"/>
                <w:szCs w:val="20"/>
                <w:color w:val="auto"/>
              </w:rPr>
            </w:pPr>
            <w:r>
              <w:rPr>
                <w:rFonts w:ascii="Calibri" w:cs="Calibri" w:eastAsia="Calibri" w:hAnsi="Calibri"/>
                <w:sz w:val="18"/>
                <w:szCs w:val="18"/>
                <w:color w:val="auto"/>
              </w:rPr>
              <w:t>—</w:t>
            </w:r>
          </w:p>
        </w:tc>
      </w:tr>
    </w:tbl>
    <w:p>
      <w:pPr>
        <w:spacing w:after="0" w:line="28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value of common stock opton grants is measured based on their fair market value on the date of grant and amortzed over their requisite service periods. During the year ended December 31, 2024 and 2023, the fair market value of the awards granted totaled $0.1 million and $0.5 million, respectvely. As of December 31, 2024, there was $0.8 million of total unrecognized compensaton cost related to unvested optons, which is expected to be recognized over a remaining weighted-average vestng period of approximately 1.4 years.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7" w:name="page98"/>
    <w:bookmarkEnd w:id="97"/>
    <w:p>
      <w:pPr>
        <w:ind w:right="120"/>
        <w:spacing w:after="0" w:line="235" w:lineRule="auto"/>
        <w:rPr>
          <w:sz w:val="20"/>
          <w:szCs w:val="20"/>
          <w:color w:val="auto"/>
        </w:rPr>
      </w:pPr>
      <w:r>
        <w:rPr>
          <w:rFonts w:ascii="Calibri" w:cs="Calibri" w:eastAsia="Calibri" w:hAnsi="Calibri"/>
          <w:sz w:val="18"/>
          <w:szCs w:val="18"/>
          <w:color w:val="auto"/>
        </w:rPr>
        <w:t>We determine the fair value of each grant using the Black-Scholes-Merton opton pricing model. The weighted average assumptons relatng to the valuaton of stock optons granted for the year ended December 31, 2024 and 2023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b w:val="1"/>
                <w:bCs w:val="1"/>
                <w:color w:val="auto"/>
              </w:rPr>
              <w:t>2024</w:t>
            </w:r>
          </w:p>
        </w:tc>
        <w:tc>
          <w:tcPr>
            <w:tcW w:w="5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53"/>
              <w:spacing w:after="0"/>
              <w:rPr>
                <w:sz w:val="20"/>
                <w:szCs w:val="20"/>
                <w:color w:val="auto"/>
              </w:rPr>
            </w:pPr>
            <w:r>
              <w:rPr>
                <w:rFonts w:ascii="Calibri" w:cs="Calibri" w:eastAsia="Calibri" w:hAnsi="Calibri"/>
                <w:sz w:val="14"/>
                <w:szCs w:val="14"/>
                <w:b w:val="1"/>
                <w:bCs w:val="1"/>
                <w:color w:val="auto"/>
              </w:rPr>
              <w:t>2023</w:t>
            </w:r>
          </w:p>
        </w:tc>
      </w:tr>
      <w:tr>
        <w:trPr>
          <w:trHeight w:val="216"/>
        </w:trPr>
        <w:tc>
          <w:tcPr>
            <w:tcW w:w="8020" w:type="dxa"/>
            <w:vAlign w:val="bottom"/>
          </w:tcPr>
          <w:p>
            <w:pPr>
              <w:ind w:left="20"/>
              <w:spacing w:after="0" w:line="199" w:lineRule="exact"/>
              <w:rPr>
                <w:sz w:val="20"/>
                <w:szCs w:val="20"/>
                <w:color w:val="auto"/>
              </w:rPr>
            </w:pPr>
            <w:r>
              <w:rPr>
                <w:rFonts w:ascii="Calibri" w:cs="Calibri" w:eastAsia="Calibri" w:hAnsi="Calibri"/>
                <w:sz w:val="18"/>
                <w:szCs w:val="18"/>
                <w:color w:val="auto"/>
              </w:rPr>
              <w:t>Weighted average exercise price of optons granted</w:t>
            </w:r>
          </w:p>
        </w:tc>
        <w:tc>
          <w:tcPr>
            <w:tcW w:w="1000" w:type="dxa"/>
            <w:vAlign w:val="bottom"/>
          </w:tcPr>
          <w:p>
            <w:pPr>
              <w:jc w:val="right"/>
              <w:ind w:right="819"/>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3.00</w:t>
            </w:r>
          </w:p>
        </w:tc>
        <w:tc>
          <w:tcPr>
            <w:tcW w:w="100" w:type="dxa"/>
            <w:vAlign w:val="bottom"/>
          </w:tcPr>
          <w:p>
            <w:pPr>
              <w:spacing w:after="0"/>
              <w:rPr>
                <w:sz w:val="18"/>
                <w:szCs w:val="18"/>
                <w:color w:val="auto"/>
              </w:rPr>
            </w:pP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Pr>
          <w:p>
            <w:pPr>
              <w:jc w:val="right"/>
              <w:ind w:right="93"/>
              <w:spacing w:after="0" w:line="215" w:lineRule="exact"/>
              <w:rPr>
                <w:sz w:val="20"/>
                <w:szCs w:val="20"/>
                <w:color w:val="auto"/>
              </w:rPr>
            </w:pPr>
            <w:r>
              <w:rPr>
                <w:rFonts w:ascii="Calibri" w:cs="Calibri" w:eastAsia="Calibri" w:hAnsi="Calibri"/>
                <w:sz w:val="18"/>
                <w:szCs w:val="18"/>
                <w:color w:val="auto"/>
              </w:rPr>
              <w:t>4.94</w:t>
            </w:r>
          </w:p>
        </w:tc>
      </w:tr>
      <w:tr>
        <w:trPr>
          <w:trHeight w:val="237"/>
        </w:trPr>
        <w:tc>
          <w:tcPr>
            <w:tcW w:w="80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Expected volatlity</w:t>
            </w: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109 %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211 %</w:t>
            </w:r>
          </w:p>
        </w:tc>
      </w:tr>
      <w:tr>
        <w:trPr>
          <w:trHeight w:val="222"/>
        </w:trPr>
        <w:tc>
          <w:tcPr>
            <w:tcW w:w="8020" w:type="dxa"/>
            <w:vAlign w:val="bottom"/>
          </w:tcPr>
          <w:p>
            <w:pPr>
              <w:ind w:left="20"/>
              <w:spacing w:after="0" w:line="215" w:lineRule="exact"/>
              <w:rPr>
                <w:sz w:val="20"/>
                <w:szCs w:val="20"/>
                <w:color w:val="auto"/>
              </w:rPr>
            </w:pPr>
            <w:r>
              <w:rPr>
                <w:rFonts w:ascii="Calibri" w:cs="Calibri" w:eastAsia="Calibri" w:hAnsi="Calibri"/>
                <w:sz w:val="18"/>
                <w:szCs w:val="18"/>
                <w:color w:val="auto"/>
              </w:rPr>
              <w:t>Expected term (years)</w:t>
            </w:r>
          </w:p>
        </w:tc>
        <w:tc>
          <w:tcPr>
            <w:tcW w:w="1000" w:type="dxa"/>
            <w:vAlign w:val="bottom"/>
          </w:tcPr>
          <w:p>
            <w:pPr>
              <w:spacing w:after="0"/>
              <w:rPr>
                <w:sz w:val="19"/>
                <w:szCs w:val="19"/>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10.0</w:t>
            </w:r>
          </w:p>
        </w:tc>
      </w:tr>
      <w:tr>
        <w:trPr>
          <w:trHeight w:val="237"/>
        </w:trPr>
        <w:tc>
          <w:tcPr>
            <w:tcW w:w="80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Risk-free interest rate</w:t>
            </w: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4.5 %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4.5 %</w:t>
            </w:r>
          </w:p>
        </w:tc>
      </w:tr>
      <w:tr>
        <w:trPr>
          <w:trHeight w:val="215"/>
        </w:trPr>
        <w:tc>
          <w:tcPr>
            <w:tcW w:w="8020" w:type="dxa"/>
            <w:vAlign w:val="bottom"/>
          </w:tcPr>
          <w:p>
            <w:pPr>
              <w:ind w:left="20"/>
              <w:spacing w:after="0" w:line="215" w:lineRule="exact"/>
              <w:rPr>
                <w:sz w:val="20"/>
                <w:szCs w:val="20"/>
                <w:color w:val="auto"/>
              </w:rPr>
            </w:pPr>
            <w:r>
              <w:rPr>
                <w:rFonts w:ascii="Calibri" w:cs="Calibri" w:eastAsia="Calibri" w:hAnsi="Calibri"/>
                <w:sz w:val="18"/>
                <w:szCs w:val="18"/>
                <w:color w:val="auto"/>
              </w:rPr>
              <w:t>Expected dividend yield</w:t>
            </w:r>
          </w:p>
        </w:tc>
        <w:tc>
          <w:tcPr>
            <w:tcW w:w="100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0.0 %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0.0 %</w:t>
            </w:r>
          </w:p>
        </w:tc>
      </w:tr>
    </w:tbl>
    <w:p>
      <w:pPr>
        <w:spacing w:after="0" w:line="200" w:lineRule="exact"/>
        <w:rPr>
          <w:sz w:val="20"/>
          <w:szCs w:val="20"/>
          <w:color w:val="auto"/>
        </w:rPr>
      </w:pPr>
    </w:p>
    <w:p>
      <w:pPr>
        <w:spacing w:after="0" w:line="211"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On April 26, 2024, the Company entered into a Release Agreement with a former executve ofcer to allow for an acceleraton of vestng of remaining unvested optons and extended post terminaton exercise period. The stock opton modifcaton resulted in $0.2 million of incremental compensaton cost during the year ended December 31, 2024, which was calculated using the Black-Scholes opton-pricing model. The following assumptons were used for the Black-Scholes valuaton: risk-free rate of 4.67%, expected life of 8.46 years, exercise price of $13.20, annualized volatlity of 133.96%, and a dividend rate of 0.0%.</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Stock-based Compensaton</w:t>
      </w:r>
    </w:p>
    <w:p>
      <w:pPr>
        <w:spacing w:after="0" w:line="109"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Company recognized stock-based compensaton expense of $2.2 million and $2.3 million during the years ended December 31, 2024 and 2023, respectvely. Stock-based compensaton expense is included in selling, general and administratve expenses in the accompanying Consolidated Statements of Operatons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9. INCOME TAXES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components of loss from contnuing operatons before the beneft from income taxes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4"/>
          </w:tcPr>
          <w:p>
            <w:pPr>
              <w:jc w:val="right"/>
              <w:ind w:right="455"/>
              <w:spacing w:after="0"/>
              <w:rPr>
                <w:sz w:val="20"/>
                <w:szCs w:val="20"/>
                <w:color w:val="auto"/>
              </w:rPr>
            </w:pPr>
            <w:r>
              <w:rPr>
                <w:rFonts w:ascii="Calibri" w:cs="Calibri" w:eastAsia="Calibri" w:hAnsi="Calibri"/>
                <w:sz w:val="14"/>
                <w:szCs w:val="14"/>
                <w:b w:val="1"/>
                <w:bCs w:val="1"/>
                <w:color w:val="auto"/>
              </w:rPr>
              <w:t>For the Year Ended December 31,</w:t>
            </w:r>
          </w:p>
        </w:tc>
      </w:tr>
      <w:tr>
        <w:trPr>
          <w:trHeight w:val="203"/>
        </w:trPr>
        <w:tc>
          <w:tcPr>
            <w:tcW w:w="3180" w:type="dxa"/>
            <w:vAlign w:val="bottom"/>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5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517"/>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Calibri" w:cs="Calibri" w:eastAsia="Calibri" w:hAnsi="Calibri"/>
                <w:sz w:val="14"/>
                <w:szCs w:val="14"/>
                <w:b w:val="1"/>
                <w:bCs w:val="1"/>
                <w:color w:val="auto"/>
              </w:rPr>
              <w:t>2023</w:t>
            </w:r>
          </w:p>
        </w:tc>
      </w:tr>
      <w:tr>
        <w:trPr>
          <w:trHeight w:val="47"/>
        </w:trPr>
        <w:tc>
          <w:tcPr>
            <w:tcW w:w="3180" w:type="dxa"/>
            <w:vAlign w:val="bottom"/>
            <w:tcBorders>
              <w:bottom w:val="single" w:sz="8" w:color="CCEEFF"/>
            </w:tcBorders>
          </w:tcPr>
          <w:p>
            <w:pPr>
              <w:spacing w:after="0"/>
              <w:rPr>
                <w:sz w:val="4"/>
                <w:szCs w:val="4"/>
                <w:color w:val="auto"/>
              </w:rPr>
            </w:pPr>
          </w:p>
        </w:tc>
        <w:tc>
          <w:tcPr>
            <w:tcW w:w="50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23"/>
        </w:trPr>
        <w:tc>
          <w:tcPr>
            <w:tcW w:w="318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Domestc</w:t>
            </w:r>
          </w:p>
        </w:tc>
        <w:tc>
          <w:tcPr>
            <w:tcW w:w="50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(19,854)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(29,039)</w:t>
            </w:r>
          </w:p>
        </w:tc>
      </w:tr>
      <w:tr>
        <w:trPr>
          <w:trHeight w:val="223"/>
        </w:trPr>
        <w:tc>
          <w:tcPr>
            <w:tcW w:w="3180" w:type="dxa"/>
            <w:vAlign w:val="bottom"/>
          </w:tcPr>
          <w:p>
            <w:pPr>
              <w:ind w:left="20"/>
              <w:spacing w:after="0" w:line="215" w:lineRule="exact"/>
              <w:rPr>
                <w:sz w:val="20"/>
                <w:szCs w:val="20"/>
                <w:color w:val="auto"/>
              </w:rPr>
            </w:pPr>
            <w:r>
              <w:rPr>
                <w:rFonts w:ascii="Calibri" w:cs="Calibri" w:eastAsia="Calibri" w:hAnsi="Calibri"/>
                <w:sz w:val="18"/>
                <w:szCs w:val="18"/>
                <w:color w:val="auto"/>
              </w:rPr>
              <w:t>Foreign</w:t>
            </w:r>
          </w:p>
        </w:tc>
        <w:tc>
          <w:tcPr>
            <w:tcW w:w="5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94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54"/>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Total</w:t>
            </w:r>
          </w:p>
        </w:tc>
        <w:tc>
          <w:tcPr>
            <w:tcW w:w="50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(29,039)</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3180" w:type="dxa"/>
            <w:vAlign w:val="bottom"/>
          </w:tcPr>
          <w:p>
            <w:pPr>
              <w:spacing w:after="0"/>
              <w:rPr>
                <w:sz w:val="24"/>
                <w:szCs w:val="24"/>
                <w:color w:val="auto"/>
              </w:rPr>
            </w:pPr>
          </w:p>
        </w:tc>
        <w:tc>
          <w:tcPr>
            <w:tcW w:w="5320" w:type="dxa"/>
            <w:vAlign w:val="bottom"/>
            <w:gridSpan w:val="2"/>
          </w:tcPr>
          <w:p>
            <w:pPr>
              <w:jc w:val="right"/>
              <w:ind w:right="2610"/>
              <w:spacing w:after="0"/>
              <w:rPr>
                <w:sz w:val="20"/>
                <w:szCs w:val="20"/>
                <w:color w:val="auto"/>
              </w:rPr>
            </w:pPr>
            <w:r>
              <w:rPr>
                <w:rFonts w:ascii="Times New Roman" w:cs="Times New Roman" w:eastAsia="Times New Roman" w:hAnsi="Times New Roman"/>
                <w:sz w:val="18"/>
                <w:szCs w:val="18"/>
                <w:color w:val="auto"/>
              </w:rPr>
              <w:t>F-26</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3180" w:type="dxa"/>
            <w:vAlign w:val="bottom"/>
            <w:tcBorders>
              <w:bottom w:val="single" w:sz="8" w:color="9A9A9A"/>
            </w:tcBorders>
          </w:tcPr>
          <w:p>
            <w:pPr>
              <w:spacing w:after="0"/>
              <w:rPr>
                <w:sz w:val="8"/>
                <w:szCs w:val="8"/>
                <w:color w:val="auto"/>
              </w:rPr>
            </w:pPr>
          </w:p>
        </w:tc>
        <w:tc>
          <w:tcPr>
            <w:tcW w:w="50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8" w:name="page99"/>
    <w:bookmarkEnd w:id="98"/>
    <w:p>
      <w:pPr>
        <w:spacing w:after="0"/>
        <w:rPr>
          <w:sz w:val="20"/>
          <w:szCs w:val="20"/>
          <w:color w:val="auto"/>
        </w:rPr>
      </w:pPr>
      <w:r>
        <w:rPr>
          <w:rFonts w:ascii="Calibri" w:cs="Calibri" w:eastAsia="Calibri" w:hAnsi="Calibri"/>
          <w:sz w:val="18"/>
          <w:szCs w:val="18"/>
          <w:color w:val="auto"/>
        </w:rPr>
        <w:t>The components of the beneft from income taxes from contnuing operatons consist of the following: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4"/>
          </w:tcPr>
          <w:p>
            <w:pPr>
              <w:ind w:left="200"/>
              <w:spacing w:after="0"/>
              <w:rPr>
                <w:sz w:val="20"/>
                <w:szCs w:val="20"/>
                <w:color w:val="auto"/>
              </w:rPr>
            </w:pPr>
            <w:r>
              <w:rPr>
                <w:rFonts w:ascii="Calibri" w:cs="Calibri" w:eastAsia="Calibri" w:hAnsi="Calibri"/>
                <w:sz w:val="14"/>
                <w:szCs w:val="14"/>
                <w:b w:val="1"/>
                <w:bCs w:val="1"/>
                <w:color w:val="auto"/>
              </w:rPr>
              <w:t>For the Year Ended December 31,</w:t>
            </w:r>
          </w:p>
        </w:tc>
      </w:tr>
      <w:tr>
        <w:trPr>
          <w:trHeight w:val="203"/>
        </w:trPr>
        <w:tc>
          <w:tcPr>
            <w:tcW w:w="8200" w:type="dxa"/>
            <w:vAlign w:val="bottom"/>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320" w:type="dxa"/>
            <w:vAlign w:val="bottom"/>
          </w:tcPr>
          <w:p>
            <w:pPr>
              <w:spacing w:after="0"/>
              <w:rPr>
                <w:sz w:val="17"/>
                <w:szCs w:val="17"/>
                <w:color w:val="auto"/>
              </w:rPr>
            </w:pPr>
          </w:p>
        </w:tc>
        <w:tc>
          <w:tcPr>
            <w:tcW w:w="1160" w:type="dxa"/>
            <w:vAlign w:val="bottom"/>
          </w:tcPr>
          <w:p>
            <w:pPr>
              <w:ind w:left="280"/>
              <w:spacing w:after="0"/>
              <w:rPr>
                <w:sz w:val="20"/>
                <w:szCs w:val="20"/>
                <w:color w:val="auto"/>
              </w:rPr>
            </w:pPr>
            <w:r>
              <w:rPr>
                <w:rFonts w:ascii="Calibri" w:cs="Calibri" w:eastAsia="Calibri" w:hAnsi="Calibri"/>
                <w:sz w:val="14"/>
                <w:szCs w:val="14"/>
                <w:b w:val="1"/>
                <w:bCs w:val="1"/>
                <w:color w:val="auto"/>
              </w:rPr>
              <w:t>2024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Calibri" w:cs="Calibri" w:eastAsia="Calibri" w:hAnsi="Calibri"/>
                <w:sz w:val="14"/>
                <w:szCs w:val="14"/>
                <w:b w:val="1"/>
                <w:bCs w:val="1"/>
                <w:color w:val="auto"/>
              </w:rPr>
              <w:t>2023</w:t>
            </w:r>
          </w:p>
        </w:tc>
      </w:tr>
      <w:tr>
        <w:trPr>
          <w:trHeight w:val="47"/>
        </w:trPr>
        <w:tc>
          <w:tcPr>
            <w:tcW w:w="82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9"/>
        </w:trPr>
        <w:tc>
          <w:tcPr>
            <w:tcW w:w="820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Current tax provision: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2"/>
        </w:trPr>
        <w:tc>
          <w:tcPr>
            <w:tcW w:w="8200" w:type="dxa"/>
            <w:vAlign w:val="bottom"/>
          </w:tcPr>
          <w:p>
            <w:pPr>
              <w:ind w:left="240"/>
              <w:spacing w:after="0" w:line="215" w:lineRule="exact"/>
              <w:rPr>
                <w:sz w:val="20"/>
                <w:szCs w:val="20"/>
                <w:color w:val="auto"/>
              </w:rPr>
            </w:pPr>
            <w:r>
              <w:rPr>
                <w:rFonts w:ascii="Calibri" w:cs="Calibri" w:eastAsia="Calibri" w:hAnsi="Calibri"/>
                <w:sz w:val="18"/>
                <w:szCs w:val="18"/>
                <w:color w:val="auto"/>
              </w:rPr>
              <w:t>Federal</w:t>
            </w: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gridSpan w:val="2"/>
          </w:tcPr>
          <w:p>
            <w:pPr>
              <w:ind w:left="92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ind w:left="900"/>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820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State</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ind w:left="840"/>
              <w:spacing w:after="0"/>
              <w:rPr>
                <w:sz w:val="20"/>
                <w:szCs w:val="20"/>
                <w:color w:val="auto"/>
              </w:rPr>
            </w:pPr>
            <w:r>
              <w:rPr>
                <w:rFonts w:ascii="Calibri" w:cs="Calibri" w:eastAsia="Calibri" w:hAnsi="Calibri"/>
                <w:sz w:val="18"/>
                <w:szCs w:val="18"/>
                <w:color w:val="auto"/>
              </w:rPr>
              <w:t>(69)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ind w:left="900"/>
              <w:spacing w:after="0"/>
              <w:rPr>
                <w:sz w:val="20"/>
                <w:szCs w:val="20"/>
                <w:color w:val="auto"/>
              </w:rPr>
            </w:pPr>
            <w:r>
              <w:rPr>
                <w:rFonts w:ascii="Calibri" w:cs="Calibri" w:eastAsia="Calibri" w:hAnsi="Calibri"/>
                <w:sz w:val="18"/>
                <w:szCs w:val="18"/>
                <w:color w:val="auto"/>
              </w:rPr>
              <w:t>—</w:t>
            </w:r>
          </w:p>
        </w:tc>
      </w:tr>
      <w:tr>
        <w:trPr>
          <w:trHeight w:val="223"/>
        </w:trPr>
        <w:tc>
          <w:tcPr>
            <w:tcW w:w="8200" w:type="dxa"/>
            <w:vAlign w:val="bottom"/>
          </w:tcPr>
          <w:p>
            <w:pPr>
              <w:ind w:left="240"/>
              <w:spacing w:after="0" w:line="215" w:lineRule="exact"/>
              <w:rPr>
                <w:sz w:val="20"/>
                <w:szCs w:val="20"/>
                <w:color w:val="auto"/>
              </w:rPr>
            </w:pPr>
            <w:r>
              <w:rPr>
                <w:rFonts w:ascii="Calibri" w:cs="Calibri" w:eastAsia="Calibri" w:hAnsi="Calibri"/>
                <w:sz w:val="18"/>
                <w:szCs w:val="18"/>
                <w:color w:val="auto"/>
              </w:rPr>
              <w:t>Foreign</w:t>
            </w:r>
          </w:p>
        </w:tc>
        <w:tc>
          <w:tcPr>
            <w:tcW w:w="320" w:type="dxa"/>
            <w:vAlign w:val="bottom"/>
          </w:tcPr>
          <w:p>
            <w:pPr>
              <w:spacing w:after="0"/>
              <w:rPr>
                <w:sz w:val="19"/>
                <w:szCs w:val="19"/>
                <w:color w:val="auto"/>
              </w:rPr>
            </w:pPr>
          </w:p>
        </w:tc>
        <w:tc>
          <w:tcPr>
            <w:tcW w:w="1240" w:type="dxa"/>
            <w:vAlign w:val="bottom"/>
            <w:gridSpan w:val="2"/>
          </w:tcPr>
          <w:p>
            <w:pPr>
              <w:ind w:left="92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120" w:type="dxa"/>
            <w:vAlign w:val="bottom"/>
          </w:tcPr>
          <w:p>
            <w:pPr>
              <w:ind w:left="900"/>
              <w:spacing w:after="0" w:line="215" w:lineRule="exact"/>
              <w:rPr>
                <w:sz w:val="20"/>
                <w:szCs w:val="20"/>
                <w:color w:val="auto"/>
              </w:rPr>
            </w:pPr>
            <w:r>
              <w:rPr>
                <w:rFonts w:ascii="Calibri" w:cs="Calibri" w:eastAsia="Calibri" w:hAnsi="Calibri"/>
                <w:sz w:val="18"/>
                <w:szCs w:val="18"/>
                <w:color w:val="auto"/>
              </w:rPr>
              <w:t>—</w:t>
            </w:r>
          </w:p>
        </w:tc>
      </w:tr>
      <w:tr>
        <w:trPr>
          <w:trHeight w:val="229"/>
        </w:trPr>
        <w:tc>
          <w:tcPr>
            <w:tcW w:w="8200" w:type="dxa"/>
            <w:vAlign w:val="bottom"/>
            <w:tcBorders>
              <w:top w:val="single" w:sz="8" w:color="CCEEFF"/>
            </w:tcBorders>
            <w:shd w:val="clear" w:color="auto" w:fill="CCEEFF"/>
          </w:tcPr>
          <w:p>
            <w:pPr>
              <w:ind w:left="460"/>
              <w:spacing w:after="0" w:line="206" w:lineRule="exact"/>
              <w:rPr>
                <w:sz w:val="20"/>
                <w:szCs w:val="20"/>
                <w:color w:val="auto"/>
              </w:rPr>
            </w:pPr>
            <w:r>
              <w:rPr>
                <w:rFonts w:ascii="Calibri" w:cs="Calibri" w:eastAsia="Calibri" w:hAnsi="Calibri"/>
                <w:sz w:val="18"/>
                <w:szCs w:val="18"/>
                <w:color w:val="auto"/>
              </w:rPr>
              <w:t>Total current tax beneft</w:t>
            </w: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ind w:left="840"/>
              <w:spacing w:after="0" w:line="215" w:lineRule="exact"/>
              <w:rPr>
                <w:sz w:val="20"/>
                <w:szCs w:val="20"/>
                <w:color w:val="auto"/>
              </w:rPr>
            </w:pPr>
            <w:r>
              <w:rPr>
                <w:rFonts w:ascii="Calibri" w:cs="Calibri" w:eastAsia="Calibri" w:hAnsi="Calibri"/>
                <w:sz w:val="18"/>
                <w:szCs w:val="18"/>
                <w:color w:val="auto"/>
              </w:rPr>
              <w:t>(69)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ind w:left="900"/>
              <w:spacing w:after="0" w:line="215" w:lineRule="exact"/>
              <w:rPr>
                <w:sz w:val="20"/>
                <w:szCs w:val="20"/>
                <w:color w:val="auto"/>
              </w:rPr>
            </w:pPr>
            <w:r>
              <w:rPr>
                <w:rFonts w:ascii="Calibri" w:cs="Calibri" w:eastAsia="Calibri" w:hAnsi="Calibri"/>
                <w:sz w:val="18"/>
                <w:szCs w:val="18"/>
                <w:color w:val="auto"/>
              </w:rPr>
              <w:t>—</w:t>
            </w:r>
          </w:p>
        </w:tc>
      </w:tr>
      <w:tr>
        <w:trPr>
          <w:trHeight w:val="222"/>
        </w:trPr>
        <w:tc>
          <w:tcPr>
            <w:tcW w:w="8200" w:type="dxa"/>
            <w:vAlign w:val="bottom"/>
          </w:tcPr>
          <w:p>
            <w:pPr>
              <w:ind w:left="20"/>
              <w:spacing w:after="0" w:line="215" w:lineRule="exact"/>
              <w:rPr>
                <w:sz w:val="20"/>
                <w:szCs w:val="20"/>
                <w:color w:val="auto"/>
              </w:rPr>
            </w:pPr>
            <w:r>
              <w:rPr>
                <w:rFonts w:ascii="Calibri" w:cs="Calibri" w:eastAsia="Calibri" w:hAnsi="Calibri"/>
                <w:sz w:val="18"/>
                <w:szCs w:val="18"/>
                <w:color w:val="auto"/>
              </w:rPr>
              <w:t>Deferred tax provision:</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7"/>
        </w:trPr>
        <w:tc>
          <w:tcPr>
            <w:tcW w:w="820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Federal</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ind w:left="900"/>
              <w:spacing w:after="0"/>
              <w:rPr>
                <w:sz w:val="20"/>
                <w:szCs w:val="20"/>
                <w:color w:val="auto"/>
              </w:rPr>
            </w:pPr>
            <w:r>
              <w:rPr>
                <w:rFonts w:ascii="Calibri" w:cs="Calibri" w:eastAsia="Calibri" w:hAnsi="Calibri"/>
                <w:sz w:val="18"/>
                <w:szCs w:val="18"/>
                <w:color w:val="auto"/>
              </w:rPr>
              <w:t>—</w:t>
            </w:r>
          </w:p>
        </w:tc>
      </w:tr>
      <w:tr>
        <w:trPr>
          <w:trHeight w:val="222"/>
        </w:trPr>
        <w:tc>
          <w:tcPr>
            <w:tcW w:w="8200" w:type="dxa"/>
            <w:vAlign w:val="bottom"/>
          </w:tcPr>
          <w:p>
            <w:pPr>
              <w:ind w:left="240"/>
              <w:spacing w:after="0" w:line="215" w:lineRule="exact"/>
              <w:rPr>
                <w:sz w:val="20"/>
                <w:szCs w:val="20"/>
                <w:color w:val="auto"/>
              </w:rPr>
            </w:pPr>
            <w:r>
              <w:rPr>
                <w:rFonts w:ascii="Calibri" w:cs="Calibri" w:eastAsia="Calibri" w:hAnsi="Calibri"/>
                <w:sz w:val="18"/>
                <w:szCs w:val="18"/>
                <w:color w:val="auto"/>
              </w:rPr>
              <w:t>State</w:t>
            </w:r>
          </w:p>
        </w:tc>
        <w:tc>
          <w:tcPr>
            <w:tcW w:w="320" w:type="dxa"/>
            <w:vAlign w:val="bottom"/>
          </w:tcPr>
          <w:p>
            <w:pPr>
              <w:spacing w:after="0"/>
              <w:rPr>
                <w:sz w:val="19"/>
                <w:szCs w:val="19"/>
                <w:color w:val="auto"/>
              </w:rPr>
            </w:pPr>
          </w:p>
        </w:tc>
        <w:tc>
          <w:tcPr>
            <w:tcW w:w="1240" w:type="dxa"/>
            <w:vAlign w:val="bottom"/>
            <w:gridSpan w:val="2"/>
          </w:tcPr>
          <w:p>
            <w:pPr>
              <w:ind w:left="92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120" w:type="dxa"/>
            <w:vAlign w:val="bottom"/>
          </w:tcPr>
          <w:p>
            <w:pPr>
              <w:ind w:left="900"/>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820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Foreign</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ind w:left="900"/>
              <w:spacing w:after="0"/>
              <w:rPr>
                <w:sz w:val="20"/>
                <w:szCs w:val="20"/>
                <w:color w:val="auto"/>
              </w:rPr>
            </w:pPr>
            <w:r>
              <w:rPr>
                <w:rFonts w:ascii="Calibri" w:cs="Calibri" w:eastAsia="Calibri" w:hAnsi="Calibri"/>
                <w:sz w:val="18"/>
                <w:szCs w:val="18"/>
                <w:color w:val="auto"/>
              </w:rPr>
              <w:t>—</w:t>
            </w:r>
          </w:p>
        </w:tc>
      </w:tr>
      <w:tr>
        <w:trPr>
          <w:trHeight w:val="216"/>
        </w:trPr>
        <w:tc>
          <w:tcPr>
            <w:tcW w:w="8200" w:type="dxa"/>
            <w:vAlign w:val="bottom"/>
            <w:tcBorders>
              <w:bottom w:val="single" w:sz="8" w:color="CCEEFF"/>
            </w:tcBorders>
          </w:tcPr>
          <w:p>
            <w:pPr>
              <w:ind w:left="460"/>
              <w:spacing w:after="0" w:line="199" w:lineRule="exact"/>
              <w:rPr>
                <w:sz w:val="20"/>
                <w:szCs w:val="20"/>
                <w:color w:val="auto"/>
              </w:rPr>
            </w:pPr>
            <w:r>
              <w:rPr>
                <w:rFonts w:ascii="Calibri" w:cs="Calibri" w:eastAsia="Calibri" w:hAnsi="Calibri"/>
                <w:sz w:val="18"/>
                <w:szCs w:val="18"/>
                <w:color w:val="auto"/>
              </w:rPr>
              <w:t>Total deferred tax provision</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92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900"/>
              <w:spacing w:after="0" w:line="215" w:lineRule="exact"/>
              <w:rPr>
                <w:sz w:val="20"/>
                <w:szCs w:val="20"/>
                <w:color w:val="auto"/>
              </w:rPr>
            </w:pPr>
            <w:r>
              <w:rPr>
                <w:rFonts w:ascii="Calibri" w:cs="Calibri" w:eastAsia="Calibri" w:hAnsi="Calibri"/>
                <w:sz w:val="18"/>
                <w:szCs w:val="18"/>
                <w:color w:val="auto"/>
              </w:rPr>
              <w:t>—</w:t>
            </w:r>
          </w:p>
        </w:tc>
      </w:tr>
      <w:tr>
        <w:trPr>
          <w:trHeight w:val="255"/>
        </w:trPr>
        <w:tc>
          <w:tcPr>
            <w:tcW w:w="82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Total beneft from income taxes</w:t>
            </w:r>
          </w:p>
        </w:tc>
        <w:tc>
          <w:tcPr>
            <w:tcW w:w="32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shd w:val="clear" w:color="auto" w:fill="CCEEFF"/>
          </w:tcPr>
          <w:p>
            <w:pPr>
              <w:ind w:left="840"/>
              <w:spacing w:after="0" w:line="215" w:lineRule="exact"/>
              <w:rPr>
                <w:sz w:val="20"/>
                <w:szCs w:val="20"/>
                <w:color w:val="auto"/>
              </w:rPr>
            </w:pPr>
            <w:r>
              <w:rPr>
                <w:rFonts w:ascii="Calibri" w:cs="Calibri" w:eastAsia="Calibri" w:hAnsi="Calibri"/>
                <w:sz w:val="18"/>
                <w:szCs w:val="18"/>
                <w:color w:val="auto"/>
              </w:rPr>
              <w:t>(69)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shd w:val="clear" w:color="auto" w:fill="CCEEFF"/>
          </w:tcPr>
          <w:p>
            <w:pPr>
              <w:ind w:left="900"/>
              <w:spacing w:after="0" w:line="215" w:lineRule="exact"/>
              <w:rPr>
                <w:sz w:val="20"/>
                <w:szCs w:val="20"/>
                <w:color w:val="auto"/>
              </w:rPr>
            </w:pPr>
            <w:r>
              <w:rPr>
                <w:rFonts w:ascii="Calibri" w:cs="Calibri" w:eastAsia="Calibri" w:hAnsi="Calibri"/>
                <w:sz w:val="18"/>
                <w:szCs w:val="18"/>
                <w:color w:val="auto"/>
              </w:rPr>
              <w:t>—</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color w:val="auto"/>
        </w:rPr>
        <w:t>A reconciliaton of the amounts at U.S. federal statutory tax rate to the Company’s efectve tax rate for contnuing operatons is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4"/>
          </w:tcPr>
          <w:p>
            <w:pPr>
              <w:jc w:val="right"/>
              <w:ind w:right="453"/>
              <w:spacing w:after="0"/>
              <w:rPr>
                <w:sz w:val="20"/>
                <w:szCs w:val="20"/>
                <w:color w:val="auto"/>
              </w:rPr>
            </w:pPr>
            <w:r>
              <w:rPr>
                <w:rFonts w:ascii="Calibri" w:cs="Calibri" w:eastAsia="Calibri" w:hAnsi="Calibri"/>
                <w:sz w:val="14"/>
                <w:szCs w:val="14"/>
                <w:b w:val="1"/>
                <w:bCs w:val="1"/>
                <w:color w:val="auto"/>
              </w:rPr>
              <w:t>For the Year Ended December 31,</w:t>
            </w:r>
          </w:p>
        </w:tc>
      </w:tr>
      <w:tr>
        <w:trPr>
          <w:trHeight w:val="203"/>
        </w:trPr>
        <w:tc>
          <w:tcPr>
            <w:tcW w:w="8180" w:type="dxa"/>
            <w:vAlign w:val="bottom"/>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320" w:type="dxa"/>
            <w:vAlign w:val="bottom"/>
          </w:tcPr>
          <w:p>
            <w:pPr>
              <w:spacing w:after="0"/>
              <w:rPr>
                <w:sz w:val="17"/>
                <w:szCs w:val="17"/>
                <w:color w:val="auto"/>
              </w:rPr>
            </w:pPr>
          </w:p>
        </w:tc>
        <w:tc>
          <w:tcPr>
            <w:tcW w:w="1160" w:type="dxa"/>
            <w:vAlign w:val="bottom"/>
          </w:tcPr>
          <w:p>
            <w:pPr>
              <w:jc w:val="right"/>
              <w:ind w:right="515"/>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Calibri" w:cs="Calibri" w:eastAsia="Calibri" w:hAnsi="Calibri"/>
                <w:sz w:val="14"/>
                <w:szCs w:val="14"/>
                <w:b w:val="1"/>
                <w:bCs w:val="1"/>
                <w:color w:val="auto"/>
              </w:rPr>
              <w:t>2023</w:t>
            </w:r>
          </w:p>
        </w:tc>
      </w:tr>
      <w:tr>
        <w:trPr>
          <w:trHeight w:val="47"/>
        </w:trPr>
        <w:tc>
          <w:tcPr>
            <w:tcW w:w="81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23"/>
        </w:trPr>
        <w:tc>
          <w:tcPr>
            <w:tcW w:w="818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Beneft at federal statutory rate</w:t>
            </w: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(6,248)</w:t>
            </w:r>
          </w:p>
        </w:tc>
      </w:tr>
      <w:tr>
        <w:trPr>
          <w:trHeight w:val="222"/>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State income taxes, net of federal tax benefts</w:t>
            </w:r>
          </w:p>
        </w:tc>
        <w:tc>
          <w:tcPr>
            <w:tcW w:w="32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81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Change in valuaton allowance</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4,430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(13,002)</w:t>
            </w:r>
          </w:p>
        </w:tc>
      </w:tr>
      <w:tr>
        <w:trPr>
          <w:trHeight w:val="223"/>
        </w:trPr>
        <w:tc>
          <w:tcPr>
            <w:tcW w:w="81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19,250</w:t>
            </w:r>
          </w:p>
        </w:tc>
      </w:tr>
      <w:tr>
        <w:trPr>
          <w:trHeight w:val="255"/>
        </w:trPr>
        <w:tc>
          <w:tcPr>
            <w:tcW w:w="818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8"/>
                <w:szCs w:val="18"/>
                <w:color w:val="auto"/>
              </w:rPr>
              <w:t>Beneft from income taxes</w:t>
            </w:r>
          </w:p>
        </w:tc>
        <w:tc>
          <w:tcPr>
            <w:tcW w:w="32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The Company’s efectve tax rate of 0.35% for the year ended December 31, 2024 was lower than the U.S. federal statutory income tax rate of 21% primarily due to a change in the valuaton allowance and state taxes.</w:t>
      </w:r>
    </w:p>
    <w:p>
      <w:pPr>
        <w:spacing w:after="0" w:line="218"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Company’s efectve tax rate of 0.0% for the year ended December 31, 2023 was lower than the U.S. federal statutory income tax rate 21% primarily due to a change in the valuaton allowance and state taxes.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99" w:name="page100"/>
    <w:bookmarkEnd w:id="99"/>
    <w:p>
      <w:pPr>
        <w:spacing w:after="0"/>
        <w:rPr>
          <w:sz w:val="20"/>
          <w:szCs w:val="20"/>
          <w:color w:val="auto"/>
        </w:rPr>
      </w:pPr>
      <w:r>
        <w:rPr>
          <w:rFonts w:ascii="Calibri" w:cs="Calibri" w:eastAsia="Calibri" w:hAnsi="Calibri"/>
          <w:sz w:val="17"/>
          <w:szCs w:val="17"/>
          <w:color w:val="auto"/>
        </w:rPr>
        <w:t>Deferred income taxes are provided for the tax efect of temporary diferences between the fnancial reportng basis and the tax basis of assets and liabilites.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Signifcant components of the Company’s deferred tax assets (liabilites)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As of December 31,</w:t>
            </w:r>
          </w:p>
        </w:tc>
        <w:tc>
          <w:tcPr>
            <w:tcW w:w="920" w:type="dxa"/>
            <w:vAlign w:val="bottom"/>
          </w:tcPr>
          <w:p>
            <w:pPr>
              <w:spacing w:after="0"/>
              <w:rPr>
                <w:sz w:val="14"/>
                <w:szCs w:val="14"/>
                <w:color w:val="auto"/>
              </w:rPr>
            </w:pPr>
          </w:p>
        </w:tc>
      </w:tr>
      <w:tr>
        <w:trPr>
          <w:trHeight w:val="203"/>
        </w:trPr>
        <w:tc>
          <w:tcPr>
            <w:tcW w:w="8180" w:type="dxa"/>
            <w:vAlign w:val="bottom"/>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ind w:right="511"/>
              <w:spacing w:after="0"/>
              <w:rPr>
                <w:sz w:val="20"/>
                <w:szCs w:val="20"/>
                <w:color w:val="auto"/>
              </w:rPr>
            </w:pPr>
            <w:r>
              <w:rPr>
                <w:rFonts w:ascii="Calibri" w:cs="Calibri" w:eastAsia="Calibri" w:hAnsi="Calibri"/>
                <w:sz w:val="14"/>
                <w:szCs w:val="14"/>
                <w:b w:val="1"/>
                <w:bCs w:val="1"/>
                <w:color w:val="auto"/>
              </w:rPr>
              <w:t>2023</w:t>
            </w:r>
          </w:p>
        </w:tc>
      </w:tr>
      <w:tr>
        <w:trPr>
          <w:trHeight w:val="47"/>
        </w:trPr>
        <w:tc>
          <w:tcPr>
            <w:tcW w:w="81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0"/>
        </w:trPr>
        <w:tc>
          <w:tcPr>
            <w:tcW w:w="818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Deferred tax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2"/>
        </w:trPr>
        <w:tc>
          <w:tcPr>
            <w:tcW w:w="8180" w:type="dxa"/>
            <w:vAlign w:val="bottom"/>
          </w:tcPr>
          <w:p>
            <w:pPr>
              <w:ind w:left="240"/>
              <w:spacing w:after="0" w:line="215" w:lineRule="exact"/>
              <w:rPr>
                <w:sz w:val="20"/>
                <w:szCs w:val="20"/>
                <w:color w:val="auto"/>
              </w:rPr>
            </w:pPr>
            <w:r>
              <w:rPr>
                <w:rFonts w:ascii="Calibri" w:cs="Calibri" w:eastAsia="Calibri" w:hAnsi="Calibri"/>
                <w:sz w:val="18"/>
                <w:szCs w:val="18"/>
                <w:color w:val="auto"/>
              </w:rPr>
              <w:t>Net operatng loss carryforwards</w:t>
            </w: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38,263</w:t>
            </w:r>
          </w:p>
        </w:tc>
        <w:tc>
          <w:tcPr>
            <w:tcW w:w="100" w:type="dxa"/>
            <w:vAlign w:val="bottom"/>
          </w:tcPr>
          <w:p>
            <w:pPr>
              <w:spacing w:after="0"/>
              <w:rPr>
                <w:sz w:val="19"/>
                <w:szCs w:val="19"/>
                <w:color w:val="auto"/>
              </w:rPr>
            </w:pPr>
          </w:p>
        </w:tc>
        <w:tc>
          <w:tcPr>
            <w:tcW w:w="560" w:type="dxa"/>
            <w:vAlign w:val="bottom"/>
          </w:tcPr>
          <w:p>
            <w:pPr>
              <w:jc w:val="right"/>
              <w:ind w:right="37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40,132</w:t>
            </w:r>
          </w:p>
        </w:tc>
      </w:tr>
      <w:tr>
        <w:trPr>
          <w:trHeight w:val="237"/>
        </w:trPr>
        <w:tc>
          <w:tcPr>
            <w:tcW w:w="818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Intangibles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656</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960</w:t>
            </w:r>
          </w:p>
        </w:tc>
      </w:tr>
      <w:tr>
        <w:trPr>
          <w:trHeight w:val="222"/>
        </w:trPr>
        <w:tc>
          <w:tcPr>
            <w:tcW w:w="8180" w:type="dxa"/>
            <w:vAlign w:val="bottom"/>
          </w:tcPr>
          <w:p>
            <w:pPr>
              <w:ind w:left="240"/>
              <w:spacing w:after="0" w:line="215" w:lineRule="exact"/>
              <w:rPr>
                <w:sz w:val="20"/>
                <w:szCs w:val="20"/>
                <w:color w:val="auto"/>
              </w:rPr>
            </w:pPr>
            <w:r>
              <w:rPr>
                <w:rFonts w:ascii="Calibri" w:cs="Calibri" w:eastAsia="Calibri" w:hAnsi="Calibri"/>
                <w:sz w:val="18"/>
                <w:szCs w:val="18"/>
                <w:color w:val="auto"/>
              </w:rPr>
              <w:t>Stock-based compensaton</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765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740</w:t>
            </w:r>
          </w:p>
        </w:tc>
      </w:tr>
      <w:tr>
        <w:trPr>
          <w:trHeight w:val="237"/>
        </w:trPr>
        <w:tc>
          <w:tcPr>
            <w:tcW w:w="818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Capitalized costs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6,179</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7,484</w:t>
            </w:r>
          </w:p>
        </w:tc>
      </w:tr>
      <w:tr>
        <w:trPr>
          <w:trHeight w:val="222"/>
        </w:trPr>
        <w:tc>
          <w:tcPr>
            <w:tcW w:w="8180" w:type="dxa"/>
            <w:vAlign w:val="bottom"/>
          </w:tcPr>
          <w:p>
            <w:pPr>
              <w:ind w:left="240"/>
              <w:spacing w:after="0" w:line="215" w:lineRule="exact"/>
              <w:rPr>
                <w:sz w:val="20"/>
                <w:szCs w:val="20"/>
                <w:color w:val="auto"/>
              </w:rPr>
            </w:pPr>
            <w:r>
              <w:rPr>
                <w:rFonts w:ascii="Calibri" w:cs="Calibri" w:eastAsia="Calibri" w:hAnsi="Calibri"/>
                <w:sz w:val="18"/>
                <w:szCs w:val="18"/>
                <w:color w:val="auto"/>
              </w:rPr>
              <w:t>Interest Expense Limitaton Carryforward</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8,024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7,035</w:t>
            </w:r>
          </w:p>
        </w:tc>
      </w:tr>
      <w:tr>
        <w:trPr>
          <w:trHeight w:val="237"/>
        </w:trPr>
        <w:tc>
          <w:tcPr>
            <w:tcW w:w="818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Environmental liabilites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4,184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4,492</w:t>
            </w:r>
          </w:p>
        </w:tc>
      </w:tr>
      <w:tr>
        <w:trPr>
          <w:trHeight w:val="222"/>
        </w:trPr>
        <w:tc>
          <w:tcPr>
            <w:tcW w:w="8180" w:type="dxa"/>
            <w:vAlign w:val="bottom"/>
          </w:tcPr>
          <w:p>
            <w:pPr>
              <w:ind w:left="240"/>
              <w:spacing w:after="0" w:line="215" w:lineRule="exact"/>
              <w:rPr>
                <w:sz w:val="20"/>
                <w:szCs w:val="20"/>
                <w:color w:val="auto"/>
              </w:rPr>
            </w:pPr>
            <w:r>
              <w:rPr>
                <w:rFonts w:ascii="Calibri" w:cs="Calibri" w:eastAsia="Calibri" w:hAnsi="Calibri"/>
                <w:sz w:val="18"/>
                <w:szCs w:val="18"/>
                <w:color w:val="auto"/>
              </w:rPr>
              <w:t>Fixed Assets</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594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818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Other</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4,085</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3,908</w:t>
            </w:r>
          </w:p>
        </w:tc>
      </w:tr>
      <w:tr>
        <w:trPr>
          <w:trHeight w:val="216"/>
        </w:trPr>
        <w:tc>
          <w:tcPr>
            <w:tcW w:w="8180" w:type="dxa"/>
            <w:vAlign w:val="bottom"/>
          </w:tcPr>
          <w:p>
            <w:pPr>
              <w:ind w:left="20"/>
              <w:spacing w:after="0" w:line="199" w:lineRule="exact"/>
              <w:rPr>
                <w:sz w:val="20"/>
                <w:szCs w:val="20"/>
                <w:color w:val="auto"/>
              </w:rPr>
            </w:pPr>
            <w:r>
              <w:rPr>
                <w:rFonts w:ascii="Calibri" w:cs="Calibri" w:eastAsia="Calibri" w:hAnsi="Calibri"/>
                <w:sz w:val="18"/>
                <w:szCs w:val="18"/>
                <w:color w:val="auto"/>
              </w:rPr>
              <w:t>Gross deferred tax assets</w:t>
            </w:r>
          </w:p>
        </w:tc>
        <w:tc>
          <w:tcPr>
            <w:tcW w:w="3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62,750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64,751</w:t>
            </w:r>
          </w:p>
        </w:tc>
      </w:tr>
      <w:tr>
        <w:trPr>
          <w:trHeight w:val="237"/>
        </w:trPr>
        <w:tc>
          <w:tcPr>
            <w:tcW w:w="818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Less: valuaton allowance</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(62,285)</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(63,681)</w:t>
            </w:r>
          </w:p>
        </w:tc>
      </w:tr>
      <w:tr>
        <w:trPr>
          <w:trHeight w:val="216"/>
        </w:trPr>
        <w:tc>
          <w:tcPr>
            <w:tcW w:w="8180" w:type="dxa"/>
            <w:vAlign w:val="bottom"/>
          </w:tcPr>
          <w:p>
            <w:pPr>
              <w:ind w:left="20"/>
              <w:spacing w:after="0" w:line="199" w:lineRule="exact"/>
              <w:rPr>
                <w:sz w:val="20"/>
                <w:szCs w:val="20"/>
                <w:color w:val="auto"/>
              </w:rPr>
            </w:pPr>
            <w:r>
              <w:rPr>
                <w:rFonts w:ascii="Calibri" w:cs="Calibri" w:eastAsia="Calibri" w:hAnsi="Calibri"/>
                <w:sz w:val="18"/>
                <w:szCs w:val="18"/>
                <w:color w:val="auto"/>
              </w:rPr>
              <w:t>Deferred tax assets, net</w:t>
            </w:r>
          </w:p>
        </w:tc>
        <w:tc>
          <w:tcPr>
            <w:tcW w:w="3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465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1,070</w:t>
            </w:r>
          </w:p>
        </w:tc>
      </w:tr>
      <w:tr>
        <w:trPr>
          <w:trHeight w:val="277"/>
        </w:trPr>
        <w:tc>
          <w:tcPr>
            <w:tcW w:w="8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22"/>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Deferred tax liabilites: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7"/>
        </w:trPr>
        <w:tc>
          <w:tcPr>
            <w:tcW w:w="818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Investment in partnership</w:t>
            </w: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2"/>
        </w:trPr>
        <w:tc>
          <w:tcPr>
            <w:tcW w:w="8180" w:type="dxa"/>
            <w:vAlign w:val="bottom"/>
          </w:tcPr>
          <w:p>
            <w:pPr>
              <w:ind w:left="240"/>
              <w:spacing w:after="0" w:line="215" w:lineRule="exact"/>
              <w:rPr>
                <w:sz w:val="20"/>
                <w:szCs w:val="20"/>
                <w:color w:val="auto"/>
              </w:rPr>
            </w:pPr>
            <w:r>
              <w:rPr>
                <w:rFonts w:ascii="Calibri" w:cs="Calibri" w:eastAsia="Calibri" w:hAnsi="Calibri"/>
                <w:sz w:val="18"/>
                <w:szCs w:val="18"/>
                <w:color w:val="auto"/>
              </w:rPr>
              <w:t>Property and equipment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(1,070)</w:t>
            </w:r>
          </w:p>
        </w:tc>
      </w:tr>
      <w:tr>
        <w:trPr>
          <w:trHeight w:val="237"/>
        </w:trPr>
        <w:tc>
          <w:tcPr>
            <w:tcW w:w="818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Other</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(465)</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16"/>
        </w:trPr>
        <w:tc>
          <w:tcPr>
            <w:tcW w:w="8180" w:type="dxa"/>
            <w:vAlign w:val="bottom"/>
            <w:tcBorders>
              <w:bottom w:val="single" w:sz="8" w:color="CCEEFF"/>
            </w:tcBorders>
          </w:tcPr>
          <w:p>
            <w:pPr>
              <w:ind w:left="20"/>
              <w:spacing w:after="0" w:line="199" w:lineRule="exact"/>
              <w:rPr>
                <w:sz w:val="20"/>
                <w:szCs w:val="20"/>
                <w:color w:val="auto"/>
              </w:rPr>
            </w:pPr>
            <w:r>
              <w:rPr>
                <w:rFonts w:ascii="Calibri" w:cs="Calibri" w:eastAsia="Calibri" w:hAnsi="Calibri"/>
                <w:sz w:val="18"/>
                <w:szCs w:val="18"/>
                <w:color w:val="auto"/>
              </w:rPr>
              <w:t>Deferred tax liabilites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(465)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(1,070)</w:t>
            </w: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Total net deferred tax assets</w:t>
            </w:r>
          </w:p>
        </w:tc>
        <w:tc>
          <w:tcPr>
            <w:tcW w:w="34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280"/>
        <w:spacing w:after="0" w:line="220" w:lineRule="auto"/>
        <w:rPr>
          <w:sz w:val="20"/>
          <w:szCs w:val="20"/>
          <w:color w:val="auto"/>
        </w:rPr>
      </w:pPr>
      <w:r>
        <w:rPr>
          <w:rFonts w:ascii="Calibri" w:cs="Calibri" w:eastAsia="Calibri" w:hAnsi="Calibri"/>
          <w:sz w:val="18"/>
          <w:szCs w:val="18"/>
          <w:color w:val="auto"/>
        </w:rPr>
        <w:t>As of December 31, 2024, the Company had net operatng loss carryforwards ("NOL") of approximately $159.6 million for U.S. federal income purposes, of which $1.4 million begins to expire in 2025. The Company also had net operatng loss carryforwards for state income tax purposes of approximately $94.3 million, which begin to expire in 2025. U.S. Federal NOLs incurred in or afer 2018 have an indefnite carryforward period, which can be ofset by 80% of future taxable income in any given year.</w:t>
      </w:r>
    </w:p>
    <w:p>
      <w:pPr>
        <w:spacing w:after="0" w:line="153" w:lineRule="exact"/>
        <w:rPr>
          <w:sz w:val="20"/>
          <w:szCs w:val="20"/>
          <w:color w:val="auto"/>
        </w:rPr>
      </w:pPr>
    </w:p>
    <w:p>
      <w:pPr>
        <w:ind w:right="40"/>
        <w:spacing w:after="0" w:line="236" w:lineRule="auto"/>
        <w:rPr>
          <w:sz w:val="20"/>
          <w:szCs w:val="20"/>
          <w:color w:val="auto"/>
        </w:rPr>
      </w:pPr>
      <w:r>
        <w:rPr>
          <w:rFonts w:ascii="Calibri" w:cs="Calibri" w:eastAsia="Calibri" w:hAnsi="Calibri"/>
          <w:sz w:val="17"/>
          <w:szCs w:val="17"/>
          <w:color w:val="auto"/>
        </w:rPr>
        <w:t>Of the total federal NOLs, $58.4 million were acquired with Support.com, Inc. in 2021 and are subject to Secton 382 limitaton. Utlizaton of the Company's net operatng loss and tax credit carryforwards can become subject to a substantal annual limitaton due to the ownership change limitatons provided by Secton 382 and 383 of the Internal Revenue Code and similar state provisions. Such an annual limitaton could result in the expiraton or eliminaton of the net operatng loss and tax credit carryforwards before utlizaton. The Company has performed an analysis of its changes in ownership under Secton 382 of the Internal Revenue Code. Management currently believes that the Secton 382 limitaton will limit utlizaton of certain acquired net operatng loss and tax credit carryforwards of Support.com and may defer the realizaton of the tax beneft associated with the acquired tax atributes from Support.com. The Company has ended all Support.com operatons as of December 31, 2023; however, we contnue to retain the existng domestc tax positons of Support.com.</w:t>
      </w:r>
    </w:p>
    <w:p>
      <w:pPr>
        <w:spacing w:after="0" w:line="232" w:lineRule="exact"/>
        <w:rPr>
          <w:sz w:val="20"/>
          <w:szCs w:val="20"/>
          <w:color w:val="auto"/>
        </w:rPr>
      </w:pPr>
    </w:p>
    <w:p>
      <w:pPr>
        <w:ind w:right="60"/>
        <w:spacing w:after="0" w:line="221" w:lineRule="auto"/>
        <w:rPr>
          <w:sz w:val="20"/>
          <w:szCs w:val="20"/>
          <w:color w:val="auto"/>
        </w:rPr>
      </w:pPr>
      <w:r>
        <w:rPr>
          <w:rFonts w:ascii="Calibri" w:cs="Calibri" w:eastAsia="Calibri" w:hAnsi="Calibri"/>
          <w:sz w:val="18"/>
          <w:szCs w:val="18"/>
          <w:color w:val="auto"/>
        </w:rPr>
        <w:t>In assessing the need for a valuaton allowance, the Company considered whether it is more likely than not that some porton or all of the deferred tax assets will not be realized. The Company evaluated its ability to realize the tax benefts associated with deferred tax assets by analyzing the relatve impact of all the available positve and negatve evidence regarding the Company’s forecasted taxable income, the reversal of existng deferred tax liabilites, taxable income in prior carry-back years (if permited) and the availability of tax planning strategies. To the extent the Company does not consider it is more likely than not that a deferred tax asset will be recovered, valuaton allowance is established. On the basis of this evaluaton, as of December 31, 2024, the Company recorded a full valuaton allowance on its net deferred tax assets of $62.3 million, as it did not meet the more likely than not threshold required under ASC 740-10-30. The main form of negatve evidence is the three-year cumulatve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0" w:name="page101"/>
    <w:bookmarkEnd w:id="100"/>
    <w:p>
      <w:pPr>
        <w:ind w:right="20"/>
        <w:spacing w:after="0" w:line="224" w:lineRule="auto"/>
        <w:rPr>
          <w:sz w:val="20"/>
          <w:szCs w:val="20"/>
          <w:color w:val="auto"/>
        </w:rPr>
      </w:pPr>
      <w:r>
        <w:rPr>
          <w:rFonts w:ascii="Calibri" w:cs="Calibri" w:eastAsia="Calibri" w:hAnsi="Calibri"/>
          <w:sz w:val="18"/>
          <w:szCs w:val="18"/>
          <w:color w:val="auto"/>
        </w:rPr>
        <w:t>The Company fles U.S., state and foreign income tax returns in jurisdictons with varying statutes of limitatons. The federal statute of limitaton is three years and the state and foreign statutes of limitatons are three to four years. Due to net operatng loss carryforwards, the Company’s income tax returns remain open and subject to examinaton for tax years 2005 and thereafer by federal and state tax authorites. The 2021 through 2023 tax years generally remain open and subject to audit by foreign tax authorites.</w:t>
      </w:r>
    </w:p>
    <w:p>
      <w:pPr>
        <w:spacing w:after="0" w:line="233" w:lineRule="exact"/>
        <w:rPr>
          <w:sz w:val="20"/>
          <w:szCs w:val="20"/>
          <w:color w:val="auto"/>
        </w:rPr>
      </w:pPr>
    </w:p>
    <w:p>
      <w:pPr>
        <w:spacing w:after="0" w:line="220" w:lineRule="auto"/>
        <w:rPr>
          <w:sz w:val="20"/>
          <w:szCs w:val="20"/>
          <w:color w:val="auto"/>
        </w:rPr>
      </w:pPr>
      <w:r>
        <w:rPr>
          <w:rFonts w:ascii="Calibri" w:cs="Calibri" w:eastAsia="Calibri" w:hAnsi="Calibri"/>
          <w:sz w:val="18"/>
          <w:szCs w:val="18"/>
          <w:color w:val="auto"/>
        </w:rPr>
        <w:t>The Company recognizes the tax beneft from uncertain tax positon only if it is more likely than not that the tax positon will be sustained on examinaton by the tax authorites, based on the technical merits of the positon. The Company recognizes accrued interest and penaltes related to unrecognized tax benefts as part of the beneft from income taxes. As of December 31, 2024, the Company has not recorded any amounts for unrecognized tax benefts. The Company’s management does not expect that total amount of unrecognized tax benefts will materially change over the next 12 months.</w:t>
      </w:r>
    </w:p>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10. COMMITMENTS AND CONTINGENCIES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Legal Maters</w:t>
      </w:r>
    </w:p>
    <w:p>
      <w:pPr>
        <w:spacing w:after="0" w:line="21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From tme to tme, the Company may be involved in various lawsuits and legal proceedings that arise in the ordinary course of business. However, litgaton is subject to inherent uncertaintes, and an adverse result in such maters may arise and harm the Company's business. Except as otherwise disclosed in this Note 10, "</w:t>
      </w:r>
      <w:r>
        <w:rPr>
          <w:rFonts w:ascii="Calibri" w:cs="Calibri" w:eastAsia="Calibri" w:hAnsi="Calibri"/>
          <w:sz w:val="18"/>
          <w:szCs w:val="18"/>
          <w:i w:val="1"/>
          <w:iCs w:val="1"/>
          <w:color w:val="auto"/>
        </w:rPr>
        <w:t>Commitments and Contngencies—Legal Maters</w:t>
      </w:r>
      <w:r>
        <w:rPr>
          <w:rFonts w:ascii="Calibri" w:cs="Calibri" w:eastAsia="Calibri" w:hAnsi="Calibri"/>
          <w:sz w:val="18"/>
          <w:szCs w:val="18"/>
          <w:color w:val="auto"/>
        </w:rPr>
        <w:t>", the Company is currently not aware of any such legal proceedings or claims that it believes will have a material adverse efect on its business, fnancial conditon, or operatng results.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Title V Air Permit Renewal Litgaton</w:t>
      </w:r>
    </w:p>
    <w:p>
      <w:pPr>
        <w:spacing w:after="0" w:line="217" w:lineRule="exact"/>
        <w:rPr>
          <w:sz w:val="20"/>
          <w:szCs w:val="20"/>
          <w:color w:val="auto"/>
        </w:rPr>
      </w:pPr>
    </w:p>
    <w:p>
      <w:pPr>
        <w:spacing w:after="0" w:line="250" w:lineRule="auto"/>
        <w:rPr>
          <w:sz w:val="20"/>
          <w:szCs w:val="20"/>
          <w:color w:val="auto"/>
        </w:rPr>
      </w:pPr>
      <w:r>
        <w:rPr>
          <w:rFonts w:ascii="Calibri" w:cs="Calibri" w:eastAsia="Calibri" w:hAnsi="Calibri"/>
          <w:sz w:val="17"/>
          <w:szCs w:val="17"/>
          <w:color w:val="auto"/>
        </w:rPr>
        <w:t>In late June 2022, the New York State Department of Environmental Conservaton ("NYSDEC") announced its denial of the Title V Air Permit renewal for the New York Facility. The Company fled a notce with NYSDEC in July 2022 requestng a hearing on NYSDEC’s decision. In September 2023, the administratve law judge presiding over the hearing issued a ruling with respect to the status of the partes and certain issues to be adjudicated in the hearing. The Company submited an interim appeal with NYSDEC thereafer challenging such ruling with a moton to stay the broader appeals process while the interim appeal was being resolved. On May 8, 2024, the Company's interim appeal to NYSDEC and request for an adjudicatory hearing were ultmately denied, and the June 2022 non-renewal of the Company's Title V Air Permit was afrmed by NYSDEC’s Regional Director for Region 7, which rendered NYSDEC’s decision fnal for purposes of seeking judicial review. On August 15, 2024, the Company fled a verifed petton and complaint pursuant to Artcle 78 of the New York Civil Practce Law and Rules against NYSDEC in New York Supreme Court, Yates County (the "Court"), seeking declaratory and injunctve relief relatng to NYSDEC's denial of the Company's renewal applicaton for the New York Facility, including, among other things, to (i) annul NYSDEC's June 2022 denial of the Company's renewal applicaton and the May 8, 2024 afrmaton of such denial by NYSDEC's Regional Director for Region 7; (ii) issue certain declaratory judgments with respect to NYSDEC's interpretaton of the New York Climate Leadership and Community Protecton Act on which the denial of the Company's renewal applicaton was predicated; and (iii) enjoin NYSDEC from taking any acton to request that the New York Facility cease operatons. On August 20, 2024, the Company submited a moton to the Court by Order to Show Cause seeking a temporary restraining and preliminary injuncton (the “TRO Request”) permitng the New York Facility to contnue operatons during the pendency of the Artcle 78 proceeding. Subsequent to submission of the TRO Request, Greenidge and NYSDEC agreed to a briefng schedule with the respect to the TRO Request, with a hearing before the Court which occurred in late October 2024. In connecton with the agreed-upon briefng schedule, NYSDEC agreed that Greenidge need not (i) cease operatons of any air contaminaton sources located at the New York Facility, (ii) render such air contaminaton sources inoperable, or (iii) relinquish the Title V Air Permit untl November 1, 2024 (the "November 1 Stay"). On October 29, 2024, a hearing was held before the Court and a stpulaton on the record was entered into between the Company and NYSDEC, agreeing to extend the November 1 Stay through November 14, 2024 (the “November 14 Stay”).</w:t>
      </w:r>
    </w:p>
    <w:p>
      <w:pPr>
        <w:spacing w:after="0" w:line="200" w:lineRule="exact"/>
        <w:rPr>
          <w:sz w:val="20"/>
          <w:szCs w:val="20"/>
          <w:color w:val="auto"/>
        </w:rPr>
      </w:pPr>
    </w:p>
    <w:p>
      <w:pPr>
        <w:spacing w:after="0" w:line="22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On November 14, 2024, the Court issued a decision (the “November 14 Decision”) on the Artcle 78 proceeding (i) annulling the denial of the Renewal Applicaton and NYSDEC’s order to shut down the New York Facility; (ii) fnding that, in utlizing its authority to issue the denial of the Renewal Applicaton, NYSDEC acted in a manner that was both afected by errors of law and arbitrary and capricious; and (iii) remanding the mater to NYSDEC for further proceedings consistent with the November 14 Decision. On December 13, 2024, the Company fled a notce of appeal with the Appellate Division of the Supreme Court of the State of New York, Fourth Judicial Department (the “Fourth Department”), appealing the November 14 Decision to the extent that the Court: (i) erred in holding that NYSDEC had the authority to deny the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101" w:name="page102"/>
    <w:bookmarkEnd w:id="101"/>
    <w:p>
      <w:pPr>
        <w:ind w:right="40"/>
        <w:spacing w:after="0" w:line="250" w:lineRule="auto"/>
        <w:rPr>
          <w:sz w:val="20"/>
          <w:szCs w:val="20"/>
          <w:color w:val="auto"/>
        </w:rPr>
      </w:pPr>
      <w:r>
        <w:rPr>
          <w:rFonts w:ascii="Calibri" w:cs="Calibri" w:eastAsia="Calibri" w:hAnsi="Calibri"/>
          <w:sz w:val="17"/>
          <w:szCs w:val="17"/>
          <w:color w:val="auto"/>
        </w:rPr>
        <w:t>Renewal Applicaton pursuant to Secton 7(2) of the CLCPA and Part 621 of Title 6 of the New York Code of Rules &amp; Regulatons; (ii) failed to defne the term “statement of justfcaton” or declare the scope of analysis required by that Secton 7(2) requirement, which defniton and scope was a critcal component of Greenidge’s Artcle 78 challenge of NYSDEC’s Final Decision, and was included in Greenidge’s request for declaratory judgment; (iii) erred in holding that the analytcal framework required by Secton 7(2) of the CLCPA can be compartmentalized, such that NYSDEC need not even consider mitgaton proposals with respect to its inconsistency analysis or as to the purported “justfcaton” element of the CLCPA; and (iv) erred in fnding that NYSDEC’s determinaton, that approving the Renewal Applicaton would be inconsistent with the CLCPA, was ratonal. Prior to that tme, on December 9, 2024, the Administratve Law Judge (“ALJ”) assigned to the Greenidge administratve proceedings before NYSDEC’s Ofce of Hearings and Mediaton Services (“OHMS”) notfed the partes of its intent to hold a status conference given the Court’s remitance of the mater back to the Department., which was held on December 16, 2024. On December 19, 2024, the Company submited a moton by Order to Show Cause to the Court requestng a stay of NYSDEC’s administratng proceedings with respect to the Renewal Applicaton, which was denied on January 24, 2025. On January 27, 2025, the Company submited a moton by Order to Show Cause to the Fourth Department requestng a stay of NYSDEC’s administratng proceedings with respect to the Renewal Applicaton, which moton was denied on February 24, 2025. On February 7, 2025, the Company submited a renewed appeal of the Issues Ruling to NYSDEC’s Commissioner, and further appealed the ALJ’s determinaton that the Renewal Applicaton must proceed to an adjudicatory hearing rather than revert back to NYSDEC Staf. As the Company believes NYSDEC Regional Director’s May 8, 2024 decision failed to reach the merits of our inital appeal of the Issues Ruling on November 13, 2023, several issues raised by Greenidge in such appeal were never reached and lef unaddressed in advance of the ALJ’s decision to contnue the administratng proceeding with respect to the Renewal Applicaton. The decision on such renewed appeal has yet to be determined.</w:t>
      </w:r>
    </w:p>
    <w:p>
      <w:pPr>
        <w:spacing w:after="0" w:line="21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legal and administratve challenges with respect to the Renewal Applicaton have, and will contnue, to cause the Company to incur additonal costs and result in the diversion of management atenton, which could adversely afect the Company's business, fnancial conditon and results of operatons. The Company expects that the judicial proceedings related to the challenge of NYSDEC’s denial of the Company's Title V Air Permit renewal applicaton may take a number of years to fully resolve, and there can be no assurance that the Company's eforts will be successful. The Company's inability to succeed in securing a renewal of the Company's Title V Air Permit for the New York Facility could have a material adverse efect on the Company's business, fnancial conditon, and operatng results, and its ability to meet its long-term debt obligatons. See Note 2, “Summary of Signifcant Accountng Policies,” in the Notes to Condensed Consolidated Financial Statements.</w:t>
      </w:r>
    </w:p>
    <w:p>
      <w:pPr>
        <w:spacing w:after="0" w:line="21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Environmental Liabilites</w:t>
      </w:r>
    </w:p>
    <w:p>
      <w:pPr>
        <w:spacing w:after="0" w:line="217" w:lineRule="exact"/>
        <w:rPr>
          <w:sz w:val="20"/>
          <w:szCs w:val="20"/>
          <w:color w:val="auto"/>
        </w:rPr>
      </w:pPr>
    </w:p>
    <w:p>
      <w:pPr>
        <w:jc w:val="both"/>
        <w:spacing w:after="0" w:line="249" w:lineRule="auto"/>
        <w:rPr>
          <w:sz w:val="20"/>
          <w:szCs w:val="20"/>
          <w:color w:val="auto"/>
        </w:rPr>
      </w:pPr>
      <w:r>
        <w:rPr>
          <w:rFonts w:ascii="Calibri" w:cs="Calibri" w:eastAsia="Calibri" w:hAnsi="Calibri"/>
          <w:sz w:val="17"/>
          <w:szCs w:val="17"/>
          <w:color w:val="auto"/>
        </w:rPr>
        <w:t>The Company has a coal combuston residual ("CCR") liability associated with the closure of a coal ash pond located on the Company's property in Torrey, New York. In accordance with ASC 410-30, the Company has a liability of $17.3 million and $17.3 million as of December 31, 2024 and 2023, respectvely. CCRs are subject to federal and state requirements. In October 2023, the Company completed the necessary steps to ofcially cease use of the coal ash pond.</w:t>
      </w:r>
    </w:p>
    <w:p>
      <w:pPr>
        <w:spacing w:after="0" w:line="2" w:lineRule="exact"/>
        <w:rPr>
          <w:sz w:val="20"/>
          <w:szCs w:val="20"/>
          <w:color w:val="auto"/>
        </w:rPr>
      </w:pPr>
    </w:p>
    <w:p>
      <w:pPr>
        <w:ind w:right="220"/>
        <w:spacing w:after="0" w:line="252" w:lineRule="auto"/>
        <w:rPr>
          <w:sz w:val="20"/>
          <w:szCs w:val="20"/>
          <w:color w:val="auto"/>
        </w:rPr>
      </w:pPr>
      <w:r>
        <w:rPr>
          <w:rFonts w:ascii="Calibri" w:cs="Calibri" w:eastAsia="Calibri" w:hAnsi="Calibri"/>
          <w:sz w:val="17"/>
          <w:szCs w:val="17"/>
          <w:color w:val="auto"/>
        </w:rPr>
        <w:t>Following this occurring, the Company is required to complete the remediaton of the coal ash pond CCR by November 2028 and will perform the work in stages over the next four years. Estmates are based on various assumptons including, but not limited to, closure and post-closure cost estmates, tming of expenditures, escalaton factors, and requirements of granted permits. Additonal adjustments to the environment liability may occur periodically due to potental changes in remediaton requirements regarding coal combuston residuals which may lead to material changes in estmates and assumptons.</w:t>
      </w:r>
    </w:p>
    <w:p>
      <w:pPr>
        <w:spacing w:after="0" w:line="20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 xml:space="preserve">The Company owns and operates a fully permited landfll that also acts as a leachate treatment facility. In accordance with ASC 410-30, </w:t>
      </w:r>
      <w:r>
        <w:rPr>
          <w:rFonts w:ascii="Calibri" w:cs="Calibri" w:eastAsia="Calibri" w:hAnsi="Calibri"/>
          <w:sz w:val="18"/>
          <w:szCs w:val="18"/>
          <w:i w:val="1"/>
          <w:iCs w:val="1"/>
          <w:color w:val="auto"/>
        </w:rPr>
        <w:t>Environmental</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Obligatons ("ASC 410-30")</w:t>
      </w:r>
      <w:r>
        <w:rPr>
          <w:rFonts w:ascii="Calibri" w:cs="Calibri" w:eastAsia="Calibri" w:hAnsi="Calibri"/>
          <w:sz w:val="18"/>
          <w:szCs w:val="18"/>
          <w:color w:val="auto"/>
        </w:rPr>
        <w:t>, the Company has recorded an environmental liability of $13.4 million and $12.9 million as of December 31, 2024 and 2023,</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respectvely, which includes a charge of $0.5 million and $2.4 million for the years ended December 31, 2024 and 2023, respectvely, related to a remeasurement increase. As required by NYSDEC, companies with landflls are required to fund a trust to cover closure costs and expenses afer the landfll has stopped operatng or, in lieu of a trust, may negotate to maintain a leter of credit guaranteeing the payment of the liability. Estmates are based on various assumptons including, but not limited to, closure and post-closure cost estmates, tming of expenditures, escalaton factors, and requirements of granted permits. Additonal adjustments to the environment liability may occur periodically due to potental changes in estmates and assumptons. The liability has been determined based on estmated costs to remediate as well as post-closure costs which are assumed over an approximate 30-year period and assumes an annual infaton rate of 2.3%.</w:t>
      </w:r>
    </w:p>
    <w:p>
      <w:pPr>
        <w:spacing w:after="0" w:line="21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Commitments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2" w:name="page103"/>
    <w:bookmarkEnd w:id="102"/>
    <w:p>
      <w:pPr>
        <w:ind w:right="140"/>
        <w:spacing w:after="0" w:line="225" w:lineRule="auto"/>
        <w:rPr>
          <w:sz w:val="20"/>
          <w:szCs w:val="20"/>
          <w:color w:val="auto"/>
        </w:rPr>
      </w:pPr>
      <w:r>
        <w:rPr>
          <w:rFonts w:ascii="Calibri" w:cs="Calibri" w:eastAsia="Calibri" w:hAnsi="Calibri"/>
          <w:sz w:val="18"/>
          <w:szCs w:val="18"/>
          <w:color w:val="auto"/>
        </w:rPr>
        <w:t>The Company entered into a contract with Empire Pipeline Incorporated in September 2020 which provides for the transportaton to its pipeline of 15,000 dekatherms of natural gas per day, approximately $0.2 million per month. The contract ends in September 2030 and may be terminated by either party with 12 months' notce afer the inital 10-year period.</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11. RELATED PARTY TRANSACTIONS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As of December 31, 2024, Atlas and its afliates control 72.1% of the votng power of our outstanding capital stock. As a result, we are a "controlled company" within the meaning of Nasdaq’s corporate governance standards.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Leters of Credit</w:t>
      </w:r>
    </w:p>
    <w:p>
      <w:pPr>
        <w:spacing w:after="0" w:line="217"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Atlas obtained a leter of credit from a fnancial insttuton in the amount of $5.0 million at December 31, 2024 and 2023, payable to the NYSDEC. This leter of credit guarantees the current value of the Company’s landfll environmental trust liability. See Note 10, "</w:t>
      </w:r>
      <w:r>
        <w:rPr>
          <w:rFonts w:ascii="Calibri" w:cs="Calibri" w:eastAsia="Calibri" w:hAnsi="Calibri"/>
          <w:sz w:val="18"/>
          <w:szCs w:val="18"/>
          <w:i w:val="1"/>
          <w:iCs w:val="1"/>
          <w:color w:val="auto"/>
        </w:rPr>
        <w:t>Commitments and Contngencies</w:t>
      </w:r>
      <w:r>
        <w:rPr>
          <w:rFonts w:ascii="Calibri" w:cs="Calibri" w:eastAsia="Calibri" w:hAnsi="Calibri"/>
          <w:sz w:val="18"/>
          <w:szCs w:val="18"/>
          <w:color w:val="auto"/>
        </w:rPr>
        <w:t>" for further details.</w:t>
      </w:r>
    </w:p>
    <w:p>
      <w:pPr>
        <w:spacing w:after="0" w:line="21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Atlas also has a leter of credit from a fnancial insttuton in the amount of $3.6 million at December 31, 2024 and 2023, payable to Empire Pipeline Incorporated ("Empire") in the event the Company should not make contracted payments for costs related to a pipeline interconnecton project the Company has entered into with Empire.</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Co-Defendant Endorsement</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October 14, 2024, the Company agreed to include a co-defendant endorsement under its directors and ofcers liability insurance policy (the "D&amp;O Policy") with respect to Atlas and certain of its afliates, which, in certain circumstances, extends coverage to claims for losses atributable to a wrongful act of the Company or any of our insured persons jointly made and contnuously maintained against the Company and/or any of our insured persons under the D&amp;O Policy, on the one hand, and Atlas and/or certain of its afliates, on the other. The inclusion of such co-defendant endorsement resulted in no change to the Company's premiums with respect to its D&amp;O insurance policy.</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Mississippi Expansion</w:t>
      </w:r>
    </w:p>
    <w:p>
      <w:pPr>
        <w:spacing w:after="0" w:line="217" w:lineRule="exact"/>
        <w:rPr>
          <w:sz w:val="20"/>
          <w:szCs w:val="20"/>
          <w:color w:val="auto"/>
        </w:rPr>
      </w:pPr>
    </w:p>
    <w:p>
      <w:pPr>
        <w:jc w:val="both"/>
        <w:ind w:right="540"/>
        <w:spacing w:after="0" w:line="235" w:lineRule="auto"/>
        <w:rPr>
          <w:sz w:val="20"/>
          <w:szCs w:val="20"/>
          <w:color w:val="auto"/>
        </w:rPr>
      </w:pPr>
      <w:r>
        <w:rPr>
          <w:rFonts w:ascii="Calibri" w:cs="Calibri" w:eastAsia="Calibri" w:hAnsi="Calibri"/>
          <w:sz w:val="18"/>
          <w:szCs w:val="18"/>
          <w:color w:val="auto"/>
        </w:rPr>
        <w:t xml:space="preserve">On April 10, 2024, a subsidiary of the Company acquired a parcel of land, including industrial warehouse space, from a subsidiary of Motus, which is a portolio company of private investment funds managed by Atlas, a related party of the Company. For additonal informaton, see </w:t>
      </w:r>
      <w:r>
        <w:rPr>
          <w:rFonts w:ascii="Calibri" w:cs="Calibri" w:eastAsia="Calibri" w:hAnsi="Calibri"/>
          <w:sz w:val="18"/>
          <w:szCs w:val="18"/>
          <w:i w:val="1"/>
          <w:iCs w:val="1"/>
          <w:color w:val="auto"/>
        </w:rPr>
        <w:t>Note 4, Property and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Equipment, Net</w:t>
      </w:r>
      <w:r>
        <w:rPr>
          <w:rFonts w:ascii="Calibri" w:cs="Calibri" w:eastAsia="Calibri" w:hAnsi="Calibri"/>
          <w:sz w:val="18"/>
          <w:szCs w:val="18"/>
          <w:color w:val="auto"/>
        </w:rPr>
        <w:t>.</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w:t>
      </w:r>
    </w:p>
    <w:p>
      <w:pPr>
        <w:spacing w:after="0" w:line="217" w:lineRule="exact"/>
        <w:rPr>
          <w:sz w:val="20"/>
          <w:szCs w:val="20"/>
          <w:color w:val="auto"/>
        </w:rPr>
      </w:pPr>
    </w:p>
    <w:p>
      <w:pPr>
        <w:ind w:right="620"/>
        <w:spacing w:after="0" w:line="235" w:lineRule="auto"/>
        <w:rPr>
          <w:sz w:val="20"/>
          <w:szCs w:val="20"/>
          <w:color w:val="auto"/>
        </w:rPr>
      </w:pPr>
      <w:r>
        <w:rPr>
          <w:rFonts w:ascii="Calibri" w:cs="Calibri" w:eastAsia="Calibri" w:hAnsi="Calibri"/>
          <w:sz w:val="18"/>
          <w:szCs w:val="18"/>
          <w:color w:val="auto"/>
        </w:rPr>
        <w:t>Afliates of Atlas from tme to tme incur certain costs for the beneft of Greenidge, which are fully reimbursed by Greenidge. There were no amounts reimbursed by Greenidge during 2024. The amount of costs reimbursed by Greenidge during 2023 was $0.2 million.</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12. CONCENTRATIONS</w:t>
      </w:r>
    </w:p>
    <w:p>
      <w:pPr>
        <w:spacing w:after="0" w:line="109"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The Company has a single hostng services customer that accounted for 50% and 56% of the company's revenue for the year ended December 31, 2024 and 2023, respectvely.</w:t>
      </w:r>
    </w:p>
    <w:p>
      <w:pPr>
        <w:spacing w:after="0" w:line="218"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For the Company's self-mining operatons, Greenidge considers its mining pool operators to be its customers. Greenidge has historically used a limited number of pool operators that have operated under contracts with a one-day term, which allows Greenidge the opton to change pool operators at any tme. Revenue from one of the Company’s pool operator customers accounted for approximately 32% and 33% of total revenue for the year ended December 31, 2024, and 2023, respectvely.</w:t>
      </w:r>
    </w:p>
    <w:p>
      <w:pPr>
        <w:spacing w:after="0" w:line="111" w:lineRule="exact"/>
        <w:rPr>
          <w:sz w:val="20"/>
          <w:szCs w:val="20"/>
          <w:color w:val="auto"/>
        </w:rPr>
      </w:pPr>
    </w:p>
    <w:p>
      <w:pPr>
        <w:ind w:right="560"/>
        <w:spacing w:after="0" w:line="235" w:lineRule="auto"/>
        <w:rPr>
          <w:sz w:val="20"/>
          <w:szCs w:val="20"/>
          <w:color w:val="auto"/>
        </w:rPr>
      </w:pPr>
      <w:r>
        <w:rPr>
          <w:rFonts w:ascii="Calibri" w:cs="Calibri" w:eastAsia="Calibri" w:hAnsi="Calibri"/>
          <w:sz w:val="18"/>
          <w:szCs w:val="18"/>
          <w:color w:val="auto"/>
        </w:rPr>
        <w:t>The Company has one major power customer, NYISO, that accounted for 18% and 9% of its revenue for the years ended December 31, 2024 and 2023, respectvely.</w:t>
      </w:r>
    </w:p>
    <w:p>
      <w:pPr>
        <w:spacing w:after="0" w:line="218"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color w:val="auto"/>
        </w:rPr>
        <w:t>The Company has one natural gas vendor that accounted for approximately 37% and 27% of cost of revenue for the years ended December 31, 2024 and 2023, respectvely.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03" w:name="page104"/>
    <w:bookmarkEnd w:id="103"/>
    <w:p>
      <w:pPr>
        <w:jc w:val="both"/>
        <w:ind w:right="340"/>
        <w:spacing w:after="0" w:line="235" w:lineRule="auto"/>
        <w:rPr>
          <w:sz w:val="20"/>
          <w:szCs w:val="20"/>
          <w:color w:val="auto"/>
        </w:rPr>
      </w:pPr>
      <w:r>
        <w:rPr>
          <w:rFonts w:ascii="Calibri" w:cs="Calibri" w:eastAsia="Calibri" w:hAnsi="Calibri"/>
          <w:sz w:val="18"/>
          <w:szCs w:val="18"/>
          <w:color w:val="auto"/>
        </w:rPr>
        <w:t>The Company previously had one major provider of hostng services for its self-mining operaton that accounted for approximately 9% and 18% of cost of revenue for the year ended December 31, 2024 and 2023. During the year ended December 31, 2024, the contract with the Company’s major provider of hostng services for its self-mining operaton was terminated.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13. SUPPLEMENTAL BALANCE SHEET AND CASH FLOW INFORMATION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Contract Liabilites</w:t>
      </w:r>
    </w:p>
    <w:p>
      <w:pPr>
        <w:spacing w:after="0" w:line="109"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At tme, we receive payments from customers before revenue is recognized, resultng in the recogniton of a contract liability presented in the Consolidated Balance Sheets.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180" w:type="dxa"/>
            <w:vAlign w:val="bottom"/>
            <w:gridSpan w:val="2"/>
          </w:tcPr>
          <w:p>
            <w:pPr>
              <w:spacing w:after="0"/>
              <w:rPr>
                <w:sz w:val="20"/>
                <w:szCs w:val="20"/>
                <w:color w:val="auto"/>
              </w:rPr>
            </w:pPr>
            <w:r>
              <w:rPr>
                <w:rFonts w:ascii="Calibri" w:cs="Calibri" w:eastAsia="Calibri" w:hAnsi="Calibri"/>
                <w:sz w:val="18"/>
                <w:szCs w:val="18"/>
                <w:color w:val="auto"/>
              </w:rPr>
              <w:t>Changes in the Contract liability balance for the year ended December 31, 2024 are as follows: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818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Calibri" w:cs="Calibri" w:eastAsia="Calibri" w:hAnsi="Calibri"/>
                <w:sz w:val="18"/>
                <w:szCs w:val="18"/>
                <w:b w:val="1"/>
                <w:bCs w:val="1"/>
                <w:color w:val="auto"/>
              </w:rPr>
              <w:t>Contract Liabilites</w:t>
            </w:r>
          </w:p>
        </w:tc>
        <w:tc>
          <w:tcPr>
            <w:tcW w:w="0" w:type="dxa"/>
            <w:vAlign w:val="bottom"/>
          </w:tcPr>
          <w:p>
            <w:pPr>
              <w:spacing w:after="0"/>
              <w:rPr>
                <w:sz w:val="1"/>
                <w:szCs w:val="1"/>
                <w:color w:val="auto"/>
              </w:rPr>
            </w:pPr>
          </w:p>
        </w:tc>
      </w:tr>
      <w:tr>
        <w:trPr>
          <w:trHeight w:val="23"/>
        </w:trPr>
        <w:tc>
          <w:tcPr>
            <w:tcW w:w="8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Balance as of December 31, 2023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7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81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Revenue recognized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Deposits received</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2,339</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Calibri" w:cs="Calibri" w:eastAsia="Calibri" w:hAnsi="Calibri"/>
                <w:sz w:val="18"/>
                <w:szCs w:val="18"/>
                <w:color w:val="auto"/>
              </w:rPr>
              <w:t>Balance as of December 31, 2024</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37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2,339</w:t>
            </w:r>
          </w:p>
        </w:tc>
        <w:tc>
          <w:tcPr>
            <w:tcW w:w="0" w:type="dxa"/>
            <w:vAlign w:val="bottom"/>
          </w:tcPr>
          <w:p>
            <w:pPr>
              <w:spacing w:after="0"/>
              <w:rPr>
                <w:sz w:val="1"/>
                <w:szCs w:val="1"/>
                <w:color w:val="auto"/>
              </w:rPr>
            </w:pPr>
          </w:p>
        </w:tc>
      </w:tr>
      <w:tr>
        <w:trPr>
          <w:trHeight w:val="21"/>
        </w:trPr>
        <w:tc>
          <w:tcPr>
            <w:tcW w:w="8180" w:type="dxa"/>
            <w:vAlign w:val="bottom"/>
            <w:gridSpan w:val="2"/>
            <w:vMerge w:val="restart"/>
          </w:tcPr>
          <w:p>
            <w:pPr>
              <w:spacing w:after="0"/>
              <w:rPr>
                <w:sz w:val="20"/>
                <w:szCs w:val="20"/>
                <w:color w:val="auto"/>
              </w:rPr>
            </w:pPr>
            <w:r>
              <w:rPr>
                <w:rFonts w:ascii="Calibri" w:cs="Calibri" w:eastAsia="Calibri" w:hAnsi="Calibri"/>
                <w:sz w:val="18"/>
                <w:szCs w:val="18"/>
                <w:color w:val="auto"/>
              </w:rPr>
              <w:t>The following table provides additonal details of Prepaid expenses and other assets:</w:t>
            </w: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9"/>
        </w:trPr>
        <w:tc>
          <w:tcPr>
            <w:tcW w:w="81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5"/>
          </w:tcPr>
          <w:p>
            <w:pPr>
              <w:jc w:val="right"/>
              <w:spacing w:after="0"/>
              <w:rPr>
                <w:sz w:val="20"/>
                <w:szCs w:val="20"/>
                <w:color w:val="auto"/>
              </w:rPr>
            </w:pPr>
            <w:r>
              <w:rPr>
                <w:rFonts w:ascii="Calibri" w:cs="Calibri" w:eastAsia="Calibri" w:hAnsi="Calibri"/>
                <w:sz w:val="14"/>
                <w:szCs w:val="14"/>
                <w:b w:val="1"/>
                <w:bCs w:val="1"/>
                <w:color w:val="auto"/>
              </w:rPr>
              <w:t>As of December 31,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8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360" w:type="dxa"/>
            <w:vAlign w:val="bottom"/>
          </w:tcPr>
          <w:p>
            <w:pPr>
              <w:spacing w:after="0"/>
              <w:rPr>
                <w:sz w:val="17"/>
                <w:szCs w:val="17"/>
                <w:color w:val="auto"/>
              </w:rPr>
            </w:pPr>
          </w:p>
        </w:tc>
        <w:tc>
          <w:tcPr>
            <w:tcW w:w="1120" w:type="dxa"/>
            <w:vAlign w:val="bottom"/>
          </w:tcPr>
          <w:p>
            <w:pPr>
              <w:jc w:val="right"/>
              <w:ind w:right="513"/>
              <w:spacing w:after="0"/>
              <w:rPr>
                <w:sz w:val="20"/>
                <w:szCs w:val="20"/>
                <w:color w:val="auto"/>
              </w:rPr>
            </w:pPr>
            <w:r>
              <w:rPr>
                <w:rFonts w:ascii="Calibri" w:cs="Calibri" w:eastAsia="Calibri" w:hAnsi="Calibri"/>
                <w:sz w:val="14"/>
                <w:szCs w:val="14"/>
                <w:b w:val="1"/>
                <w:bCs w:val="1"/>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ind w:right="512"/>
              <w:spacing w:after="0"/>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47"/>
        </w:trPr>
        <w:tc>
          <w:tcPr>
            <w:tcW w:w="8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Prepaid insurance</w:t>
            </w:r>
          </w:p>
        </w:tc>
        <w:tc>
          <w:tcPr>
            <w:tcW w:w="36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7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2,818</w:t>
            </w:r>
          </w:p>
        </w:tc>
        <w:tc>
          <w:tcPr>
            <w:tcW w:w="0" w:type="dxa"/>
            <w:vAlign w:val="bottom"/>
          </w:tcPr>
          <w:p>
            <w:pPr>
              <w:spacing w:after="0"/>
              <w:rPr>
                <w:sz w:val="1"/>
                <w:szCs w:val="1"/>
                <w:color w:val="auto"/>
              </w:rPr>
            </w:pPr>
          </w:p>
        </w:tc>
      </w:tr>
      <w:tr>
        <w:trPr>
          <w:trHeight w:val="222"/>
        </w:trPr>
        <w:tc>
          <w:tcPr>
            <w:tcW w:w="81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Electric deposits</w:t>
            </w:r>
          </w:p>
        </w:tc>
        <w:tc>
          <w:tcPr>
            <w:tcW w:w="36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588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7"/>
        </w:trPr>
        <w:tc>
          <w:tcPr>
            <w:tcW w:w="818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Warrant Asset</w:t>
            </w:r>
          </w:p>
        </w:tc>
        <w:tc>
          <w:tcPr>
            <w:tcW w:w="36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477</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gridSpan w:val="2"/>
          </w:tcPr>
          <w:p>
            <w:pPr>
              <w:ind w:left="20"/>
              <w:spacing w:after="0" w:line="215" w:lineRule="exact"/>
              <w:rPr>
                <w:sz w:val="20"/>
                <w:szCs w:val="20"/>
                <w:color w:val="auto"/>
              </w:rPr>
            </w:pPr>
            <w:r>
              <w:rPr>
                <w:rFonts w:ascii="Calibri" w:cs="Calibri" w:eastAsia="Calibri" w:hAnsi="Calibri"/>
                <w:sz w:val="18"/>
                <w:szCs w:val="18"/>
                <w:color w:val="auto"/>
              </w:rPr>
              <w:t>Other prepaid expenses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750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569</w:t>
            </w:r>
          </w:p>
        </w:tc>
        <w:tc>
          <w:tcPr>
            <w:tcW w:w="0" w:type="dxa"/>
            <w:vAlign w:val="bottom"/>
          </w:tcPr>
          <w:p>
            <w:pPr>
              <w:spacing w:after="0"/>
              <w:rPr>
                <w:sz w:val="1"/>
                <w:szCs w:val="1"/>
                <w:color w:val="auto"/>
              </w:rPr>
            </w:pPr>
          </w:p>
        </w:tc>
      </w:tr>
      <w:tr>
        <w:trPr>
          <w:trHeight w:val="254"/>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8"/>
                <w:szCs w:val="18"/>
                <w:color w:val="auto"/>
              </w:rPr>
              <w:t>Prepaid expenses and other assets</w:t>
            </w:r>
          </w:p>
        </w:tc>
        <w:tc>
          <w:tcPr>
            <w:tcW w:w="360" w:type="dxa"/>
            <w:vAlign w:val="bottom"/>
            <w:tcBorders>
              <w:bottom w:val="single" w:sz="8" w:color="auto"/>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ind w:right="37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3,864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spacing w:after="0"/>
              <w:rPr>
                <w:sz w:val="20"/>
                <w:szCs w:val="20"/>
                <w:color w:val="auto"/>
              </w:rPr>
            </w:pPr>
            <w:r>
              <w:rPr>
                <w:rFonts w:ascii="Calibri" w:cs="Calibri" w:eastAsia="Calibri" w:hAnsi="Calibri"/>
                <w:sz w:val="18"/>
                <w:szCs w:val="18"/>
                <w:color w:val="auto"/>
              </w:rPr>
              <w:t>The Company had the following noncash investng and fnancing actvites: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3"/>
        </w:trPr>
        <w:tc>
          <w:tcPr>
            <w:tcW w:w="81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6"/>
          </w:tcPr>
          <w:p>
            <w:pPr>
              <w:jc w:val="right"/>
              <w:ind w:right="412"/>
              <w:spacing w:after="0"/>
              <w:rPr>
                <w:sz w:val="20"/>
                <w:szCs w:val="20"/>
                <w:color w:val="auto"/>
              </w:rPr>
            </w:pPr>
            <w:r>
              <w:rPr>
                <w:rFonts w:ascii="Calibri" w:cs="Calibri" w:eastAsia="Calibri" w:hAnsi="Calibri"/>
                <w:sz w:val="14"/>
                <w:szCs w:val="14"/>
                <w:b w:val="1"/>
                <w:bCs w:val="1"/>
                <w:color w:val="auto"/>
              </w:rPr>
              <w:t>For the year ended December 31,</w:t>
            </w:r>
          </w:p>
        </w:tc>
        <w:tc>
          <w:tcPr>
            <w:tcW w:w="0" w:type="dxa"/>
            <w:vAlign w:val="bottom"/>
          </w:tcPr>
          <w:p>
            <w:pPr>
              <w:spacing w:after="0"/>
              <w:rPr>
                <w:sz w:val="1"/>
                <w:szCs w:val="1"/>
                <w:color w:val="auto"/>
              </w:rPr>
            </w:pPr>
          </w:p>
        </w:tc>
      </w:tr>
      <w:tr>
        <w:trPr>
          <w:trHeight w:val="203"/>
        </w:trPr>
        <w:tc>
          <w:tcPr>
            <w:tcW w:w="818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360" w:type="dxa"/>
            <w:vAlign w:val="bottom"/>
          </w:tcPr>
          <w:p>
            <w:pPr>
              <w:spacing w:after="0"/>
              <w:rPr>
                <w:sz w:val="17"/>
                <w:szCs w:val="17"/>
                <w:color w:val="auto"/>
              </w:rPr>
            </w:pPr>
          </w:p>
        </w:tc>
        <w:tc>
          <w:tcPr>
            <w:tcW w:w="1120" w:type="dxa"/>
            <w:vAlign w:val="bottom"/>
          </w:tcPr>
          <w:p>
            <w:pPr>
              <w:jc w:val="right"/>
              <w:ind w:right="453"/>
              <w:spacing w:after="0"/>
              <w:rPr>
                <w:sz w:val="20"/>
                <w:szCs w:val="20"/>
                <w:color w:val="auto"/>
              </w:rPr>
            </w:pPr>
            <w:r>
              <w:rPr>
                <w:rFonts w:ascii="Calibri" w:cs="Calibri" w:eastAsia="Calibri" w:hAnsi="Calibri"/>
                <w:sz w:val="14"/>
                <w:szCs w:val="14"/>
                <w:b w:val="1"/>
                <w:bCs w:val="1"/>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ind w:right="492"/>
              <w:spacing w:after="0"/>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47"/>
        </w:trPr>
        <w:tc>
          <w:tcPr>
            <w:tcW w:w="81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Cumulatve-efect adjustment due to the adopton of ASU 2023-08</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81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Property and equipment purchases in accounts payable</w:t>
            </w:r>
          </w:p>
        </w:tc>
        <w:tc>
          <w:tcPr>
            <w:tcW w:w="360" w:type="dxa"/>
            <w:vAlign w:val="bottom"/>
          </w:tcPr>
          <w:p>
            <w:pPr>
              <w:spacing w:after="0"/>
              <w:rPr>
                <w:sz w:val="19"/>
                <w:szCs w:val="19"/>
                <w:color w:val="auto"/>
              </w:rPr>
            </w:pPr>
          </w:p>
        </w:tc>
        <w:tc>
          <w:tcPr>
            <w:tcW w:w="11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813</w:t>
            </w:r>
          </w:p>
        </w:tc>
        <w:tc>
          <w:tcPr>
            <w:tcW w:w="0" w:type="dxa"/>
            <w:vAlign w:val="bottom"/>
          </w:tcPr>
          <w:p>
            <w:pPr>
              <w:spacing w:after="0"/>
              <w:rPr>
                <w:sz w:val="1"/>
                <w:szCs w:val="1"/>
                <w:color w:val="auto"/>
              </w:rPr>
            </w:pPr>
          </w:p>
        </w:tc>
      </w:tr>
      <w:tr>
        <w:trPr>
          <w:trHeight w:val="237"/>
        </w:trPr>
        <w:tc>
          <w:tcPr>
            <w:tcW w:w="818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Common stock issued for amendment fee to lender</w:t>
            </w:r>
          </w:p>
        </w:tc>
        <w:tc>
          <w:tcPr>
            <w:tcW w:w="36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80"/>
              <w:spacing w:after="0"/>
              <w:rPr>
                <w:sz w:val="20"/>
                <w:szCs w:val="20"/>
                <w:color w:val="auto"/>
              </w:rPr>
            </w:pPr>
            <w:r>
              <w:rPr>
                <w:rFonts w:ascii="Calibri" w:cs="Calibri" w:eastAsia="Calibri" w:hAnsi="Calibri"/>
                <w:sz w:val="18"/>
                <w:szCs w:val="18"/>
                <w:color w:val="auto"/>
              </w:rPr>
              <w:t>—</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1,000</w:t>
            </w:r>
          </w:p>
        </w:tc>
        <w:tc>
          <w:tcPr>
            <w:tcW w:w="0" w:type="dxa"/>
            <w:vAlign w:val="bottom"/>
          </w:tcPr>
          <w:p>
            <w:pPr>
              <w:spacing w:after="0"/>
              <w:rPr>
                <w:sz w:val="1"/>
                <w:szCs w:val="1"/>
                <w:color w:val="auto"/>
              </w:rPr>
            </w:pPr>
          </w:p>
        </w:tc>
      </w:tr>
      <w:tr>
        <w:trPr>
          <w:trHeight w:val="222"/>
        </w:trPr>
        <w:tc>
          <w:tcPr>
            <w:tcW w:w="81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Subscripton receivable in exchange for issuance of common stock</w:t>
            </w:r>
          </w:p>
        </w:tc>
        <w:tc>
          <w:tcPr>
            <w:tcW w:w="360" w:type="dxa"/>
            <w:vAlign w:val="bottom"/>
          </w:tcPr>
          <w:p>
            <w:pPr>
              <w:spacing w:after="0"/>
              <w:rPr>
                <w:sz w:val="19"/>
                <w:szCs w:val="19"/>
                <w:color w:val="auto"/>
              </w:rPr>
            </w:pPr>
          </w:p>
        </w:tc>
        <w:tc>
          <w:tcPr>
            <w:tcW w:w="1220" w:type="dxa"/>
            <w:vAlign w:val="bottom"/>
            <w:gridSpan w:val="3"/>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698</w:t>
            </w:r>
          </w:p>
        </w:tc>
        <w:tc>
          <w:tcPr>
            <w:tcW w:w="0" w:type="dxa"/>
            <w:vAlign w:val="bottom"/>
          </w:tcPr>
          <w:p>
            <w:pPr>
              <w:spacing w:after="0"/>
              <w:rPr>
                <w:sz w:val="1"/>
                <w:szCs w:val="1"/>
                <w:color w:val="auto"/>
              </w:rPr>
            </w:pPr>
          </w:p>
        </w:tc>
      </w:tr>
      <w:tr>
        <w:trPr>
          <w:trHeight w:val="237"/>
        </w:trPr>
        <w:tc>
          <w:tcPr>
            <w:tcW w:w="818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Exchange of assets for reducton in debt</w:t>
            </w:r>
          </w:p>
        </w:tc>
        <w:tc>
          <w:tcPr>
            <w:tcW w:w="36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80"/>
              <w:spacing w:after="0"/>
              <w:rPr>
                <w:sz w:val="20"/>
                <w:szCs w:val="20"/>
                <w:color w:val="auto"/>
              </w:rPr>
            </w:pPr>
            <w:r>
              <w:rPr>
                <w:rFonts w:ascii="Calibri" w:cs="Calibri" w:eastAsia="Calibri" w:hAnsi="Calibri"/>
                <w:sz w:val="18"/>
                <w:szCs w:val="18"/>
                <w:color w:val="auto"/>
              </w:rPr>
              <w:t>—</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71,755</w:t>
            </w:r>
          </w:p>
        </w:tc>
        <w:tc>
          <w:tcPr>
            <w:tcW w:w="0" w:type="dxa"/>
            <w:vAlign w:val="bottom"/>
          </w:tcPr>
          <w:p>
            <w:pPr>
              <w:spacing w:after="0"/>
              <w:rPr>
                <w:sz w:val="1"/>
                <w:szCs w:val="1"/>
                <w:color w:val="auto"/>
              </w:rPr>
            </w:pPr>
          </w:p>
        </w:tc>
      </w:tr>
      <w:tr>
        <w:trPr>
          <w:trHeight w:val="222"/>
        </w:trPr>
        <w:tc>
          <w:tcPr>
            <w:tcW w:w="81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Exchange of coupons for reducton in debt</w:t>
            </w:r>
          </w:p>
        </w:tc>
        <w:tc>
          <w:tcPr>
            <w:tcW w:w="360" w:type="dxa"/>
            <w:vAlign w:val="bottom"/>
          </w:tcPr>
          <w:p>
            <w:pPr>
              <w:spacing w:after="0"/>
              <w:rPr>
                <w:sz w:val="19"/>
                <w:szCs w:val="19"/>
                <w:color w:val="auto"/>
              </w:rPr>
            </w:pPr>
          </w:p>
        </w:tc>
        <w:tc>
          <w:tcPr>
            <w:tcW w:w="1220" w:type="dxa"/>
            <w:vAlign w:val="bottom"/>
            <w:gridSpan w:val="3"/>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1,152</w:t>
            </w:r>
          </w:p>
        </w:tc>
        <w:tc>
          <w:tcPr>
            <w:tcW w:w="0" w:type="dxa"/>
            <w:vAlign w:val="bottom"/>
          </w:tcPr>
          <w:p>
            <w:pPr>
              <w:spacing w:after="0"/>
              <w:rPr>
                <w:sz w:val="1"/>
                <w:szCs w:val="1"/>
                <w:color w:val="auto"/>
              </w:rPr>
            </w:pPr>
          </w:p>
        </w:tc>
      </w:tr>
      <w:tr>
        <w:trPr>
          <w:trHeight w:val="237"/>
        </w:trPr>
        <w:tc>
          <w:tcPr>
            <w:tcW w:w="818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Exchange of equipment deposits for reducton in debt</w:t>
            </w:r>
          </w:p>
        </w:tc>
        <w:tc>
          <w:tcPr>
            <w:tcW w:w="36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80"/>
              <w:spacing w:after="0"/>
              <w:rPr>
                <w:sz w:val="20"/>
                <w:szCs w:val="20"/>
                <w:color w:val="auto"/>
              </w:rPr>
            </w:pPr>
            <w:r>
              <w:rPr>
                <w:rFonts w:ascii="Calibri" w:cs="Calibri" w:eastAsia="Calibri" w:hAnsi="Calibri"/>
                <w:sz w:val="18"/>
                <w:szCs w:val="18"/>
                <w:color w:val="auto"/>
              </w:rPr>
              <w:t>—</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7,381</w:t>
            </w:r>
          </w:p>
        </w:tc>
        <w:tc>
          <w:tcPr>
            <w:tcW w:w="0" w:type="dxa"/>
            <w:vAlign w:val="bottom"/>
          </w:tcPr>
          <w:p>
            <w:pPr>
              <w:spacing w:after="0"/>
              <w:rPr>
                <w:sz w:val="1"/>
                <w:szCs w:val="1"/>
                <w:color w:val="auto"/>
              </w:rPr>
            </w:pPr>
          </w:p>
        </w:tc>
      </w:tr>
      <w:tr>
        <w:trPr>
          <w:trHeight w:val="222"/>
        </w:trPr>
        <w:tc>
          <w:tcPr>
            <w:tcW w:w="81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Accrued interest added to debt principal</w:t>
            </w:r>
          </w:p>
        </w:tc>
        <w:tc>
          <w:tcPr>
            <w:tcW w:w="360" w:type="dxa"/>
            <w:vAlign w:val="bottom"/>
          </w:tcPr>
          <w:p>
            <w:pPr>
              <w:spacing w:after="0"/>
              <w:rPr>
                <w:sz w:val="19"/>
                <w:szCs w:val="19"/>
                <w:color w:val="auto"/>
              </w:rPr>
            </w:pPr>
          </w:p>
        </w:tc>
        <w:tc>
          <w:tcPr>
            <w:tcW w:w="1220" w:type="dxa"/>
            <w:vAlign w:val="bottom"/>
            <w:gridSpan w:val="3"/>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1,212</w:t>
            </w:r>
          </w:p>
        </w:tc>
        <w:tc>
          <w:tcPr>
            <w:tcW w:w="0" w:type="dxa"/>
            <w:vAlign w:val="bottom"/>
          </w:tcPr>
          <w:p>
            <w:pPr>
              <w:spacing w:after="0"/>
              <w:rPr>
                <w:sz w:val="1"/>
                <w:szCs w:val="1"/>
                <w:color w:val="auto"/>
              </w:rPr>
            </w:pPr>
          </w:p>
        </w:tc>
      </w:tr>
      <w:tr>
        <w:trPr>
          <w:trHeight w:val="237"/>
        </w:trPr>
        <w:tc>
          <w:tcPr>
            <w:tcW w:w="818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Common stock issued in exchange for equity interest</w:t>
            </w:r>
          </w:p>
        </w:tc>
        <w:tc>
          <w:tcPr>
            <w:tcW w:w="36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80"/>
              <w:spacing w:after="0"/>
              <w:rPr>
                <w:sz w:val="20"/>
                <w:szCs w:val="20"/>
                <w:color w:val="auto"/>
              </w:rPr>
            </w:pPr>
            <w:r>
              <w:rPr>
                <w:rFonts w:ascii="Calibri" w:cs="Calibri" w:eastAsia="Calibri" w:hAnsi="Calibri"/>
                <w:sz w:val="18"/>
                <w:szCs w:val="18"/>
                <w:color w:val="auto"/>
              </w:rPr>
              <w:t>—</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869</w:t>
            </w:r>
          </w:p>
        </w:tc>
        <w:tc>
          <w:tcPr>
            <w:tcW w:w="0" w:type="dxa"/>
            <w:vAlign w:val="bottom"/>
          </w:tcPr>
          <w:p>
            <w:pPr>
              <w:spacing w:after="0"/>
              <w:rPr>
                <w:sz w:val="1"/>
                <w:szCs w:val="1"/>
                <w:color w:val="auto"/>
              </w:rPr>
            </w:pPr>
          </w:p>
        </w:tc>
      </w:tr>
      <w:tr>
        <w:trPr>
          <w:trHeight w:val="222"/>
        </w:trPr>
        <w:tc>
          <w:tcPr>
            <w:tcW w:w="81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Warrant issued in exchange for warrant asset</w:t>
            </w:r>
          </w:p>
        </w:tc>
        <w:tc>
          <w:tcPr>
            <w:tcW w:w="360" w:type="dxa"/>
            <w:vAlign w:val="bottom"/>
          </w:tcPr>
          <w:p>
            <w:pPr>
              <w:spacing w:after="0"/>
              <w:rPr>
                <w:sz w:val="19"/>
                <w:szCs w:val="19"/>
                <w:color w:val="auto"/>
              </w:rPr>
            </w:pPr>
          </w:p>
        </w:tc>
        <w:tc>
          <w:tcPr>
            <w:tcW w:w="1220" w:type="dxa"/>
            <w:vAlign w:val="bottom"/>
            <w:gridSpan w:val="3"/>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477</w:t>
            </w:r>
          </w:p>
        </w:tc>
        <w:tc>
          <w:tcPr>
            <w:tcW w:w="0" w:type="dxa"/>
            <w:vAlign w:val="bottom"/>
          </w:tcPr>
          <w:p>
            <w:pPr>
              <w:spacing w:after="0"/>
              <w:rPr>
                <w:sz w:val="1"/>
                <w:szCs w:val="1"/>
                <w:color w:val="auto"/>
              </w:rPr>
            </w:pPr>
          </w:p>
        </w:tc>
      </w:tr>
      <w:tr>
        <w:trPr>
          <w:trHeight w:val="237"/>
        </w:trPr>
        <w:tc>
          <w:tcPr>
            <w:tcW w:w="818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Common stock issued in exchange for reducton in debt</w:t>
            </w:r>
          </w:p>
        </w:tc>
        <w:tc>
          <w:tcPr>
            <w:tcW w:w="3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1,616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81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Right-of-use asset obtained in exchange for operatng lease liability</w:t>
            </w:r>
          </w:p>
        </w:tc>
        <w:tc>
          <w:tcPr>
            <w:tcW w:w="360" w:type="dxa"/>
            <w:vAlign w:val="bottom"/>
          </w:tcPr>
          <w:p>
            <w:pPr>
              <w:spacing w:after="0"/>
              <w:rPr>
                <w:sz w:val="18"/>
                <w:szCs w:val="18"/>
                <w:color w:val="auto"/>
              </w:rPr>
            </w:pPr>
          </w:p>
        </w:tc>
        <w:tc>
          <w:tcPr>
            <w:tcW w:w="11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156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933"/>
        </w:trPr>
        <w:tc>
          <w:tcPr>
            <w:tcW w:w="818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F-32</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4" w:name="page105"/>
    <w:bookmarkEnd w:id="104"/>
    <w:p>
      <w:pPr>
        <w:spacing w:after="0"/>
        <w:rPr>
          <w:sz w:val="20"/>
          <w:szCs w:val="20"/>
          <w:color w:val="auto"/>
        </w:rPr>
      </w:pPr>
      <w:r>
        <w:rPr>
          <w:rFonts w:ascii="Calibri" w:cs="Calibri" w:eastAsia="Calibri" w:hAnsi="Calibri"/>
          <w:sz w:val="18"/>
          <w:szCs w:val="18"/>
          <w:color w:val="auto"/>
        </w:rPr>
        <w:t>The following table provides supplemental cash fow informaton for cash paid for interest: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588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For the Year Ended December 31,</w:t>
            </w:r>
          </w:p>
        </w:tc>
        <w:tc>
          <w:tcPr>
            <w:tcW w:w="500" w:type="dxa"/>
            <w:vAlign w:val="bottom"/>
          </w:tcPr>
          <w:p>
            <w:pPr>
              <w:spacing w:after="0"/>
              <w:rPr>
                <w:sz w:val="14"/>
                <w:szCs w:val="14"/>
                <w:color w:val="auto"/>
              </w:rPr>
            </w:pPr>
          </w:p>
        </w:tc>
      </w:tr>
      <w:tr>
        <w:trPr>
          <w:trHeight w:val="203"/>
        </w:trPr>
        <w:tc>
          <w:tcPr>
            <w:tcW w:w="4860" w:type="dxa"/>
            <w:vAlign w:val="bottom"/>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4260" w:type="dxa"/>
            <w:vAlign w:val="bottom"/>
          </w:tcPr>
          <w:p>
            <w:pPr>
              <w:jc w:val="right"/>
              <w:spacing w:after="0"/>
              <w:rPr>
                <w:sz w:val="20"/>
                <w:szCs w:val="20"/>
                <w:color w:val="auto"/>
              </w:rPr>
            </w:pPr>
            <w:r>
              <w:rPr>
                <w:rFonts w:ascii="Calibri" w:cs="Calibri" w:eastAsia="Calibri" w:hAnsi="Calibri"/>
                <w:sz w:val="14"/>
                <w:szCs w:val="14"/>
                <w:b w:val="1"/>
                <w:bCs w:val="1"/>
                <w:color w:val="auto"/>
              </w:rPr>
              <w:t>2024</w:t>
            </w:r>
          </w:p>
        </w:tc>
        <w:tc>
          <w:tcPr>
            <w:tcW w:w="5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Calibri" w:cs="Calibri" w:eastAsia="Calibri" w:hAnsi="Calibri"/>
                <w:sz w:val="14"/>
                <w:szCs w:val="14"/>
                <w:b w:val="1"/>
                <w:bCs w:val="1"/>
                <w:color w:val="auto"/>
              </w:rPr>
              <w:t>2023</w:t>
            </w:r>
          </w:p>
        </w:tc>
        <w:tc>
          <w:tcPr>
            <w:tcW w:w="500" w:type="dxa"/>
            <w:vAlign w:val="bottom"/>
          </w:tcPr>
          <w:p>
            <w:pPr>
              <w:spacing w:after="0"/>
              <w:rPr>
                <w:sz w:val="17"/>
                <w:szCs w:val="17"/>
                <w:color w:val="auto"/>
              </w:rPr>
            </w:pPr>
          </w:p>
        </w:tc>
      </w:tr>
      <w:tr>
        <w:trPr>
          <w:trHeight w:val="47"/>
        </w:trPr>
        <w:tc>
          <w:tcPr>
            <w:tcW w:w="4860" w:type="dxa"/>
            <w:vAlign w:val="bottom"/>
          </w:tcPr>
          <w:p>
            <w:pPr>
              <w:spacing w:after="0"/>
              <w:rPr>
                <w:sz w:val="4"/>
                <w:szCs w:val="4"/>
                <w:color w:val="auto"/>
              </w:rPr>
            </w:pPr>
          </w:p>
        </w:tc>
        <w:tc>
          <w:tcPr>
            <w:tcW w:w="4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30"/>
        </w:trPr>
        <w:tc>
          <w:tcPr>
            <w:tcW w:w="48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Cash paid for interest</w:t>
            </w:r>
          </w:p>
        </w:tc>
        <w:tc>
          <w:tcPr>
            <w:tcW w:w="4260" w:type="dxa"/>
            <w:vAlign w:val="bottom"/>
            <w:shd w:val="clear" w:color="auto" w:fill="CCEEFF"/>
          </w:tcPr>
          <w:p>
            <w:pPr>
              <w:jc w:val="right"/>
              <w:ind w:right="762"/>
              <w:spacing w:after="0" w:line="215" w:lineRule="exact"/>
              <w:rPr>
                <w:sz w:val="20"/>
                <w:szCs w:val="20"/>
                <w:color w:val="auto"/>
              </w:rPr>
            </w:pPr>
            <w:r>
              <w:rPr>
                <w:rFonts w:ascii="Calibri" w:cs="Calibri" w:eastAsia="Calibri" w:hAnsi="Calibri"/>
                <w:sz w:val="18"/>
                <w:szCs w:val="18"/>
                <w:color w:val="auto"/>
              </w:rPr>
              <w:t>$</w:t>
            </w:r>
          </w:p>
        </w:tc>
        <w:tc>
          <w:tcPr>
            <w:tcW w:w="5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6,153</w:t>
            </w:r>
          </w:p>
        </w:tc>
        <w:tc>
          <w:tcPr>
            <w:tcW w:w="1060" w:type="dxa"/>
            <w:vAlign w:val="bottom"/>
            <w:shd w:val="clear" w:color="auto" w:fill="CCEEFF"/>
          </w:tcPr>
          <w:p>
            <w:pPr>
              <w:jc w:val="right"/>
              <w:ind w:right="799"/>
              <w:spacing w:after="0" w:line="215"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8,140</w:t>
            </w:r>
          </w:p>
        </w:tc>
      </w:tr>
    </w:tbl>
    <w:p>
      <w:pPr>
        <w:spacing w:after="0" w:line="288"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Under the contract with its hostng provider, the Company was required to maintain cash in a restricted account sufcient to cover earned but unpaid hostng services. At December 31, 2023, this account had $1.2 million of cash designated for payment of such services. During 2024, the Company terminated the contract with the hostng provider. Therefore, the Company had no restricted cash at December 31, 2024.</w:t>
      </w:r>
    </w:p>
    <w:p>
      <w:pPr>
        <w:spacing w:after="0" w:line="219"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In January 2024, the Company entered into a fve-year capacity lease agreement, which provides the Company with 7.5 MW of self-mining capacity. The Company began mining in April 2024. During the year ended December 31, 2024, the Company recognized $2.8 million of variable lease costs in connecton with the capacity lease agreement, which is included within Cost of revenue - cryptocurrency mining (exclusive of depreciaton) in the consolidated statements of operatons and comprehensive loss.</w:t>
      </w:r>
    </w:p>
    <w:p>
      <w:pPr>
        <w:spacing w:after="0" w:line="219"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In June 2024, the Company entered into an operatng lease, which has a term of fve years. The Company recorded a right-of-use asset and lease liability of $0.2 million, which are included in Other long-term assets and Other long-term liabilites, respectvely, upon commencement in August 2024.</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14. DIGITAL ASSETS</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our bitcoin holdings as of December 31, 2024 and 2023 (in thousands, except bitcoin held):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ind w:left="680"/>
              <w:spacing w:after="0"/>
              <w:rPr>
                <w:sz w:val="20"/>
                <w:szCs w:val="20"/>
                <w:color w:val="auto"/>
              </w:rPr>
            </w:pPr>
            <w:r>
              <w:rPr>
                <w:rFonts w:ascii="Calibri" w:cs="Calibri" w:eastAsia="Calibri" w:hAnsi="Calibri"/>
                <w:sz w:val="18"/>
                <w:szCs w:val="18"/>
                <w:b w:val="1"/>
                <w:bCs w:val="1"/>
                <w:color w:val="auto"/>
              </w:rPr>
              <w:t>December 31,</w:t>
            </w:r>
          </w:p>
        </w:tc>
        <w:tc>
          <w:tcPr>
            <w:tcW w:w="980" w:type="dxa"/>
            <w:vAlign w:val="bottom"/>
          </w:tcPr>
          <w:p>
            <w:pPr>
              <w:spacing w:after="0"/>
              <w:rPr>
                <w:sz w:val="19"/>
                <w:szCs w:val="19"/>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81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Digital assets holdings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70"/>
              <w:spacing w:after="0" w:line="215" w:lineRule="exact"/>
              <w:rPr>
                <w:sz w:val="20"/>
                <w:szCs w:val="20"/>
                <w:color w:val="auto"/>
              </w:rPr>
            </w:pPr>
            <w:r>
              <w:rPr>
                <w:rFonts w:ascii="Calibri" w:cs="Calibri" w:eastAsia="Calibri" w:hAnsi="Calibri"/>
                <w:sz w:val="18"/>
                <w:szCs w:val="18"/>
                <w:b w:val="1"/>
                <w:bCs w:val="1"/>
                <w:color w:val="auto"/>
              </w:rPr>
              <w:t>2024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70"/>
              <w:spacing w:after="0" w:line="215" w:lineRule="exact"/>
              <w:rPr>
                <w:sz w:val="20"/>
                <w:szCs w:val="20"/>
                <w:color w:val="auto"/>
              </w:rPr>
            </w:pPr>
            <w:r>
              <w:rPr>
                <w:rFonts w:ascii="Calibri" w:cs="Calibri" w:eastAsia="Calibri" w:hAnsi="Calibri"/>
                <w:sz w:val="18"/>
                <w:szCs w:val="18"/>
                <w:b w:val="1"/>
                <w:bCs w:val="1"/>
                <w:color w:val="auto"/>
              </w:rPr>
              <w:t>2023</w:t>
            </w:r>
          </w:p>
        </w:tc>
      </w:tr>
      <w:tr>
        <w:trPr>
          <w:trHeight w:val="216"/>
        </w:trPr>
        <w:tc>
          <w:tcPr>
            <w:tcW w:w="8180" w:type="dxa"/>
            <w:vAlign w:val="bottom"/>
          </w:tcPr>
          <w:p>
            <w:pPr>
              <w:ind w:left="20"/>
              <w:spacing w:after="0" w:line="199" w:lineRule="exact"/>
              <w:rPr>
                <w:sz w:val="20"/>
                <w:szCs w:val="20"/>
                <w:color w:val="auto"/>
              </w:rPr>
            </w:pPr>
            <w:r>
              <w:rPr>
                <w:rFonts w:ascii="Calibri" w:cs="Calibri" w:eastAsia="Calibri" w:hAnsi="Calibri"/>
                <w:sz w:val="18"/>
                <w:szCs w:val="18"/>
                <w:color w:val="auto"/>
              </w:rPr>
              <w:t>Number of bitcoin held</w:t>
            </w:r>
          </w:p>
        </w:tc>
        <w:tc>
          <w:tcPr>
            <w:tcW w:w="3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74.5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8.7</w:t>
            </w:r>
          </w:p>
        </w:tc>
      </w:tr>
      <w:tr>
        <w:trPr>
          <w:trHeight w:val="237"/>
        </w:trPr>
        <w:tc>
          <w:tcPr>
            <w:tcW w:w="81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Carrying basis of bitcoin</w:t>
            </w:r>
          </w:p>
        </w:tc>
        <w:tc>
          <w:tcPr>
            <w:tcW w:w="340" w:type="dxa"/>
            <w:vAlign w:val="bottom"/>
            <w:shd w:val="clear" w:color="auto" w:fill="CCEEFF"/>
          </w:tcPr>
          <w:p>
            <w:pPr>
              <w:jc w:val="right"/>
              <w:ind w:right="150"/>
              <w:spacing w:after="0"/>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ind w:left="680"/>
              <w:spacing w:after="0"/>
              <w:rPr>
                <w:sz w:val="20"/>
                <w:szCs w:val="20"/>
                <w:color w:val="auto"/>
              </w:rPr>
            </w:pPr>
            <w:r>
              <w:rPr>
                <w:rFonts w:ascii="Calibri" w:cs="Calibri" w:eastAsia="Calibri" w:hAnsi="Calibri"/>
                <w:sz w:val="18"/>
                <w:szCs w:val="18"/>
                <w:color w:val="auto"/>
              </w:rPr>
              <w:t>5,523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Calibri" w:cs="Calibri" w:eastAsia="Calibri" w:hAnsi="Calibri"/>
                <w:sz w:val="18"/>
                <w:szCs w:val="18"/>
                <w:color w:val="auto"/>
                <w:w w:val="87"/>
              </w:rPr>
              <w:t>$</w:t>
            </w: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347</w:t>
            </w:r>
          </w:p>
        </w:tc>
      </w:tr>
      <w:tr>
        <w:trPr>
          <w:trHeight w:val="215"/>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Fair Value of bitcoin</w:t>
            </w: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ind w:left="680"/>
              <w:spacing w:after="0" w:line="215" w:lineRule="exact"/>
              <w:rPr>
                <w:sz w:val="20"/>
                <w:szCs w:val="20"/>
                <w:color w:val="auto"/>
              </w:rPr>
            </w:pPr>
            <w:r>
              <w:rPr>
                <w:rFonts w:ascii="Calibri" w:cs="Calibri" w:eastAsia="Calibri" w:hAnsi="Calibri"/>
                <w:sz w:val="18"/>
                <w:szCs w:val="18"/>
                <w:color w:val="auto"/>
              </w:rPr>
              <w:t>6,950</w:t>
            </w:r>
          </w:p>
        </w:tc>
        <w:tc>
          <w:tcPr>
            <w:tcW w:w="100" w:type="dxa"/>
            <w:vAlign w:val="bottom"/>
          </w:tcPr>
          <w:p>
            <w:pPr>
              <w:spacing w:after="0"/>
              <w:rPr>
                <w:sz w:val="18"/>
                <w:szCs w:val="18"/>
                <w:color w:val="auto"/>
              </w:rPr>
            </w:pPr>
          </w:p>
        </w:tc>
        <w:tc>
          <w:tcPr>
            <w:tcW w:w="50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369</w:t>
            </w:r>
          </w:p>
        </w:tc>
      </w:tr>
    </w:tbl>
    <w:p>
      <w:pPr>
        <w:spacing w:after="0" w:line="303" w:lineRule="exact"/>
        <w:rPr>
          <w:sz w:val="20"/>
          <w:szCs w:val="20"/>
          <w:color w:val="auto"/>
        </w:rPr>
      </w:pPr>
    </w:p>
    <w:p>
      <w:pPr>
        <w:ind w:right="280"/>
        <w:spacing w:after="0" w:line="227" w:lineRule="auto"/>
        <w:rPr>
          <w:sz w:val="20"/>
          <w:szCs w:val="20"/>
          <w:color w:val="auto"/>
        </w:rPr>
      </w:pPr>
      <w:r>
        <w:rPr>
          <w:rFonts w:ascii="Calibri" w:cs="Calibri" w:eastAsia="Calibri" w:hAnsi="Calibri"/>
          <w:sz w:val="18"/>
          <w:szCs w:val="18"/>
          <w:color w:val="auto"/>
        </w:rPr>
        <w:t>The carrying basis represents the valuaton of bitcoin at the tme the Company earns the bitcoin through mining actvites. The carrying amount for the 8.7 bitcoin held as of December 31, 2023 was determined on the "cost-less-impairment" basis prior to the adopton of ASU 2023-08.</w:t>
      </w:r>
    </w:p>
    <w:p>
      <w:pPr>
        <w:sectPr>
          <w:pgSz w:w="11900" w:h="16838" w:orient="portrait"/>
          <w:cols w:equalWidth="0" w:num="1">
            <w:col w:w="11240"/>
          </w:cols>
          <w:pgMar w:left="320" w:top="1138" w:right="339" w:bottom="1440" w:gutter="0" w:footer="0" w:header="0"/>
        </w:sectPr>
      </w:pPr>
    </w:p>
    <w:p>
      <w:pPr>
        <w:spacing w:after="0" w:line="219"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represents a reconciliaton of the fair values of our digital assets (in thousands):</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Beginning balance at fair value</w:t>
      </w:r>
    </w:p>
    <w:p>
      <w:pPr>
        <w:spacing w:after="0" w:line="10" w:lineRule="exact"/>
        <w:rPr>
          <w:sz w:val="20"/>
          <w:szCs w:val="20"/>
          <w:color w:val="auto"/>
        </w:rPr>
      </w:pPr>
    </w:p>
    <w:p>
      <w:pPr>
        <w:ind w:left="140"/>
        <w:spacing w:after="0"/>
        <w:rPr>
          <w:sz w:val="20"/>
          <w:szCs w:val="20"/>
          <w:color w:val="auto"/>
        </w:rPr>
      </w:pPr>
      <w:r>
        <w:rPr>
          <w:rFonts w:ascii="Calibri" w:cs="Calibri" w:eastAsia="Calibri" w:hAnsi="Calibri"/>
          <w:sz w:val="18"/>
          <w:szCs w:val="18"/>
          <w:color w:val="auto"/>
        </w:rPr>
        <w:t>Additons</w:t>
      </w:r>
    </w:p>
    <w:p>
      <w:pPr>
        <w:spacing w:after="0" w:line="10" w:lineRule="exact"/>
        <w:rPr>
          <w:sz w:val="20"/>
          <w:szCs w:val="20"/>
          <w:color w:val="auto"/>
        </w:rPr>
      </w:pPr>
    </w:p>
    <w:p>
      <w:pPr>
        <w:ind w:left="140"/>
        <w:spacing w:after="0"/>
        <w:rPr>
          <w:sz w:val="20"/>
          <w:szCs w:val="20"/>
          <w:color w:val="auto"/>
        </w:rPr>
      </w:pPr>
      <w:r>
        <w:rPr>
          <w:rFonts w:ascii="Calibri" w:cs="Calibri" w:eastAsia="Calibri" w:hAnsi="Calibri"/>
          <w:sz w:val="18"/>
          <w:szCs w:val="18"/>
          <w:color w:val="auto"/>
        </w:rPr>
        <w:t>Dispositons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Calibri" w:cs="Calibri" w:eastAsia="Calibri" w:hAnsi="Calibri"/>
          <w:sz w:val="18"/>
          <w:szCs w:val="18"/>
          <w:color w:val="auto"/>
        </w:rPr>
        <w:t>Gain on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Ending 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5"/>
        <w:spacing w:after="0"/>
        <w:rPr>
          <w:sz w:val="20"/>
          <w:szCs w:val="20"/>
          <w:color w:val="auto"/>
        </w:rPr>
      </w:pPr>
      <w:r>
        <w:rPr>
          <w:rFonts w:ascii="Calibri" w:cs="Calibri" w:eastAsia="Calibri" w:hAnsi="Calibri"/>
          <w:sz w:val="18"/>
          <w:szCs w:val="18"/>
          <w:color w:val="auto"/>
        </w:rPr>
        <w:t>Year 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-136525</wp:posOffset>
            </wp:positionV>
            <wp:extent cx="11576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jc w:val="center"/>
        <w:ind w:right="15"/>
        <w:spacing w:after="0" w:line="195" w:lineRule="auto"/>
        <w:rPr>
          <w:sz w:val="20"/>
          <w:szCs w:val="20"/>
          <w:color w:val="auto"/>
        </w:rPr>
      </w:pPr>
      <w:r>
        <w:rPr>
          <w:rFonts w:ascii="Calibri" w:cs="Calibri" w:eastAsia="Calibri" w:hAnsi="Calibri"/>
          <w:sz w:val="18"/>
          <w:szCs w:val="18"/>
          <w:color w:val="auto"/>
        </w:rPr>
        <w:t>31, 2024</w:t>
      </w:r>
    </w:p>
    <w:p>
      <w:pPr>
        <w:spacing w:after="0" w:line="37" w:lineRule="exact"/>
        <w:rPr>
          <w:sz w:val="20"/>
          <w:szCs w:val="20"/>
          <w:color w:val="auto"/>
        </w:rPr>
      </w:pPr>
    </w:p>
    <w:tbl>
      <w:tblPr>
        <w:tblLayout w:type="fixed"/>
        <w:tblInd w:w="5" w:type="dxa"/>
        <w:tblCellMar>
          <w:top w:w="0" w:type="dxa"/>
          <w:left w:w="0" w:type="dxa"/>
          <w:bottom w:w="0" w:type="dxa"/>
          <w:right w:w="0" w:type="dxa"/>
        </w:tblCellMar>
      </w:tblPr>
      <w:tr>
        <w:trPr>
          <w:trHeight w:val="220"/>
        </w:trPr>
        <w:tc>
          <w:tcPr>
            <w:tcW w:w="780" w:type="dxa"/>
            <w:vAlign w:val="bottom"/>
          </w:tcPr>
          <w:p>
            <w:pPr>
              <w:jc w:val="right"/>
              <w:ind w:right="621"/>
              <w:spacing w:after="0"/>
              <w:rPr>
                <w:sz w:val="20"/>
                <w:szCs w:val="20"/>
                <w:color w:val="auto"/>
              </w:rPr>
            </w:pPr>
            <w:r>
              <w:rPr>
                <w:rFonts w:ascii="Calibri" w:cs="Calibri" w:eastAsia="Calibri" w:hAnsi="Calibri"/>
                <w:sz w:val="16"/>
                <w:szCs w:val="16"/>
                <w:color w:val="auto"/>
                <w:w w:val="73"/>
              </w:rPr>
              <w:t>$</w:t>
            </w:r>
          </w:p>
        </w:tc>
        <w:tc>
          <w:tcPr>
            <w:tcW w:w="960" w:type="dxa"/>
            <w:vAlign w:val="bottom"/>
          </w:tcPr>
          <w:p>
            <w:pPr>
              <w:jc w:val="right"/>
              <w:spacing w:after="0"/>
              <w:rPr>
                <w:sz w:val="20"/>
                <w:szCs w:val="20"/>
                <w:color w:val="auto"/>
              </w:rPr>
            </w:pPr>
            <w:r>
              <w:rPr>
                <w:rFonts w:ascii="Calibri" w:cs="Calibri" w:eastAsia="Calibri" w:hAnsi="Calibri"/>
                <w:sz w:val="18"/>
                <w:szCs w:val="18"/>
                <w:color w:val="auto"/>
              </w:rPr>
              <w:t>369</w:t>
            </w:r>
          </w:p>
        </w:tc>
      </w:tr>
    </w:tbl>
    <w:p>
      <w:pPr>
        <w:spacing w:after="0" w:line="10" w:lineRule="exact"/>
        <w:rPr>
          <w:sz w:val="20"/>
          <w:szCs w:val="20"/>
          <w:color w:val="auto"/>
        </w:rPr>
      </w:pPr>
    </w:p>
    <w:p>
      <w:pPr>
        <w:jc w:val="right"/>
        <w:ind w:right="60"/>
        <w:spacing w:after="0"/>
        <w:rPr>
          <w:sz w:val="20"/>
          <w:szCs w:val="20"/>
          <w:color w:val="auto"/>
        </w:rPr>
      </w:pPr>
      <w:r>
        <w:rPr>
          <w:rFonts w:ascii="Calibri" w:cs="Calibri" w:eastAsia="Calibri" w:hAnsi="Calibri"/>
          <w:sz w:val="18"/>
          <w:szCs w:val="18"/>
          <w:color w:val="auto"/>
        </w:rPr>
        <w:t>19,061</w:t>
      </w:r>
    </w:p>
    <w:p>
      <w:pPr>
        <w:spacing w:after="0" w:line="10" w:lineRule="exact"/>
        <w:rPr>
          <w:sz w:val="20"/>
          <w:szCs w:val="20"/>
          <w:color w:val="auto"/>
        </w:rPr>
      </w:pPr>
    </w:p>
    <w:p>
      <w:pPr>
        <w:jc w:val="right"/>
        <w:ind w:right="20"/>
        <w:spacing w:after="0"/>
        <w:rPr>
          <w:sz w:val="20"/>
          <w:szCs w:val="20"/>
          <w:color w:val="auto"/>
        </w:rPr>
      </w:pPr>
      <w:r>
        <w:rPr>
          <w:rFonts w:ascii="Calibri" w:cs="Calibri" w:eastAsia="Calibri" w:hAnsi="Calibri"/>
          <w:sz w:val="18"/>
          <w:szCs w:val="18"/>
          <w:color w:val="auto"/>
        </w:rPr>
        <w:t>(14,634)</w:t>
      </w:r>
    </w:p>
    <w:p>
      <w:pPr>
        <w:spacing w:after="0" w:line="10" w:lineRule="exact"/>
        <w:rPr>
          <w:sz w:val="20"/>
          <w:szCs w:val="20"/>
          <w:color w:val="auto"/>
        </w:rPr>
      </w:pPr>
    </w:p>
    <w:p>
      <w:pPr>
        <w:jc w:val="right"/>
        <w:ind w:right="60"/>
        <w:spacing w:after="0"/>
        <w:rPr>
          <w:sz w:val="20"/>
          <w:szCs w:val="20"/>
          <w:color w:val="auto"/>
        </w:rPr>
      </w:pPr>
      <w:r>
        <w:rPr>
          <w:rFonts w:ascii="Calibri" w:cs="Calibri" w:eastAsia="Calibri" w:hAnsi="Calibri"/>
          <w:sz w:val="18"/>
          <w:szCs w:val="18"/>
          <w:color w:val="auto"/>
        </w:rPr>
        <w:t>2,154</w:t>
      </w:r>
    </w:p>
    <w:p>
      <w:pPr>
        <w:spacing w:after="0" w:line="23" w:lineRule="exact"/>
        <w:rPr>
          <w:sz w:val="20"/>
          <w:szCs w:val="20"/>
          <w:color w:val="auto"/>
        </w:rPr>
      </w:pPr>
    </w:p>
    <w:p>
      <w:pPr>
        <w:ind w:left="1345" w:hanging="1345"/>
        <w:spacing w:after="0"/>
        <w:tabs>
          <w:tab w:leader="none" w:pos="1345"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6,950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1576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715" w:space="720"/>
            <w:col w:w="1805"/>
          </w:cols>
          <w:pgMar w:left="320" w:top="1138" w:right="339" w:bottom="1440" w:gutter="0" w:footer="0" w:header="0"/>
          <w:type w:val="continuous"/>
        </w:sectPr>
      </w:pPr>
    </w:p>
    <w:p>
      <w:pPr>
        <w:spacing w:after="0" w:line="139" w:lineRule="exact"/>
        <w:rPr>
          <w:sz w:val="20"/>
          <w:szCs w:val="20"/>
          <w:color w:val="auto"/>
        </w:rPr>
      </w:pPr>
    </w:p>
    <w:p>
      <w:pPr>
        <w:ind w:right="140"/>
        <w:spacing w:after="0" w:line="227" w:lineRule="auto"/>
        <w:rPr>
          <w:sz w:val="20"/>
          <w:szCs w:val="20"/>
          <w:color w:val="auto"/>
        </w:rPr>
      </w:pPr>
      <w:r>
        <w:rPr>
          <w:rFonts w:ascii="Calibri" w:cs="Calibri" w:eastAsia="Calibri" w:hAnsi="Calibri"/>
          <w:sz w:val="18"/>
          <w:szCs w:val="18"/>
          <w:color w:val="auto"/>
        </w:rPr>
        <w:t>All additons of digital assets were the result of bitcoin generated by the Company's Cryptocurrency Mining operatons. All dispositons of digital assets were the result of sales on the open market to fund Company operatons.</w:t>
      </w: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 recognized realized gains on the sale of digital assets of $0.7 million for the year ended December 31, 2024.</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8"/>
          <w:szCs w:val="18"/>
          <w:color w:val="auto"/>
        </w:rPr>
        <w:t>The Company's bitcoin holdings are not subject to contractual sale restrictons. As of December 31, 2024, the Company held no other digital assets.</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15. FAIR VALUE</w:t>
      </w:r>
    </w:p>
    <w:p>
      <w:pPr>
        <w:spacing w:after="0" w:line="217" w:lineRule="exact"/>
        <w:rPr>
          <w:sz w:val="20"/>
          <w:szCs w:val="20"/>
          <w:color w:val="auto"/>
        </w:rPr>
      </w:pPr>
    </w:p>
    <w:p>
      <w:pPr>
        <w:spacing w:after="0" w:line="225" w:lineRule="auto"/>
        <w:rPr>
          <w:sz w:val="20"/>
          <w:szCs w:val="20"/>
          <w:color w:val="auto"/>
        </w:rPr>
      </w:pPr>
      <w:r>
        <w:rPr>
          <w:rFonts w:ascii="Calibri" w:cs="Calibri" w:eastAsia="Calibri" w:hAnsi="Calibri"/>
          <w:sz w:val="18"/>
          <w:szCs w:val="18"/>
          <w:color w:val="auto"/>
        </w:rPr>
        <w:t>The Company follows the guidance in ASC Topic 820, Fair Value Measurement. For assets and liabilites measured at fair value on a recurring and nonrecurring basis, a three-level hierarchy based upon observable and unobservable inputs is used to arrive at fair value. The Company uses valuaton approaches that maximize the use of observable inputs and minimize the use of unobservable inputs to the extent possible. The Company determines fair value based on assumptons that market partcipants would use in pricing an asset or liability in the principal or most advantageous market. When considering market partcipant assumptons in fair value measurements, the following fair value hierarchy distnguishes between observable and unobservable inputs, which are categorized in one of the following levels:</w:t>
      </w:r>
    </w:p>
    <w:p>
      <w:pPr>
        <w:spacing w:after="0" w:line="222" w:lineRule="exact"/>
        <w:rPr>
          <w:sz w:val="20"/>
          <w:szCs w:val="20"/>
          <w:color w:val="auto"/>
        </w:rPr>
      </w:pPr>
    </w:p>
    <w:p>
      <w:pPr>
        <w:ind w:left="660" w:right="340" w:hanging="328"/>
        <w:spacing w:after="0" w:line="227" w:lineRule="auto"/>
        <w:tabs>
          <w:tab w:leader="none" w:pos="653"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Level 1 inputs: Unadjusted quoted prices in actve markets for identcal assets or liabilites accessible to the reportng entty at the measurement date.</w:t>
      </w:r>
    </w:p>
    <w:p>
      <w:pPr>
        <w:spacing w:after="0" w:line="205" w:lineRule="exact"/>
        <w:rPr>
          <w:rFonts w:ascii="Calibri" w:cs="Calibri" w:eastAsia="Calibri" w:hAnsi="Calibri"/>
          <w:sz w:val="18"/>
          <w:szCs w:val="18"/>
          <w:color w:val="auto"/>
        </w:rPr>
      </w:pPr>
    </w:p>
    <w:p>
      <w:pPr>
        <w:ind w:left="660" w:right="540" w:hanging="328"/>
        <w:spacing w:after="0" w:line="235" w:lineRule="auto"/>
        <w:tabs>
          <w:tab w:leader="none" w:pos="653"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Level 2 inputs: Other than quoted prices included in Level 1 inputs that are observable for the asset or liability, either directly or indirectly, for substantally the full term of the asset or liability.</w:t>
      </w:r>
    </w:p>
    <w:p>
      <w:pPr>
        <w:spacing w:after="0" w:line="204" w:lineRule="exact"/>
        <w:rPr>
          <w:rFonts w:ascii="Calibri" w:cs="Calibri" w:eastAsia="Calibri" w:hAnsi="Calibri"/>
          <w:sz w:val="18"/>
          <w:szCs w:val="18"/>
          <w:color w:val="auto"/>
        </w:rPr>
      </w:pPr>
    </w:p>
    <w:p>
      <w:pPr>
        <w:ind w:left="660" w:right="600" w:hanging="328"/>
        <w:spacing w:after="0" w:line="227" w:lineRule="auto"/>
        <w:tabs>
          <w:tab w:leader="none" w:pos="653"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Level 3 inputs: Unobservable inputs for the asset or liability used to measure fair value to the extent that observable inputs are not available, thereby allowing for situatons in which there is litle, if any, market actvity for the asset or liability at measurement date.</w:t>
      </w:r>
    </w:p>
    <w:p>
      <w:pPr>
        <w:spacing w:after="0" w:line="219" w:lineRule="exact"/>
        <w:rPr>
          <w:sz w:val="20"/>
          <w:szCs w:val="20"/>
          <w:color w:val="auto"/>
        </w:rPr>
      </w:pPr>
    </w:p>
    <w:p>
      <w:pPr>
        <w:ind w:right="180"/>
        <w:spacing w:after="0" w:line="225" w:lineRule="auto"/>
        <w:rPr>
          <w:sz w:val="20"/>
          <w:szCs w:val="20"/>
          <w:color w:val="auto"/>
        </w:rPr>
      </w:pPr>
      <w:r>
        <w:rPr>
          <w:rFonts w:ascii="Calibri" w:cs="Calibri" w:eastAsia="Calibri" w:hAnsi="Calibri"/>
          <w:sz w:val="18"/>
          <w:szCs w:val="18"/>
          <w:color w:val="auto"/>
        </w:rPr>
        <w:t>As of December 31, 2024 and 2023, the carrying amount of accounts receivable, prepaid expenses and other assets, income tax receivable, emissions and carbon ofset credits, income tax receivable, accounts payable, accrued expenses, accrued emissions expense, and other short-term liabilites approximated their fair value due to their relatvely short maturites.</w:t>
      </w:r>
    </w:p>
    <w:p>
      <w:pPr>
        <w:spacing w:after="0" w:line="219" w:lineRule="exact"/>
        <w:rPr>
          <w:sz w:val="20"/>
          <w:szCs w:val="20"/>
          <w:color w:val="auto"/>
        </w:rPr>
      </w:pPr>
    </w:p>
    <w:p>
      <w:pPr>
        <w:ind w:right="200"/>
        <w:spacing w:after="0" w:line="227" w:lineRule="auto"/>
        <w:rPr>
          <w:sz w:val="20"/>
          <w:szCs w:val="20"/>
          <w:color w:val="auto"/>
        </w:rPr>
      </w:pPr>
      <w:r>
        <w:rPr>
          <w:rFonts w:ascii="Calibri" w:cs="Calibri" w:eastAsia="Calibri" w:hAnsi="Calibri"/>
          <w:sz w:val="18"/>
          <w:szCs w:val="18"/>
          <w:color w:val="auto"/>
        </w:rPr>
        <w:t>The following tables present informaton about the Company’s assets and liabilites that are measured at fair value on a recurring basis and indicate the fair value hierarchy of the valuaton inputs the Company utlized to determine such fair value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0" w:type="dxa"/>
            <w:vAlign w:val="bottom"/>
            <w:gridSpan w:val="5"/>
          </w:tcPr>
          <w:p>
            <w:pPr>
              <w:ind w:left="680"/>
              <w:spacing w:after="0"/>
              <w:rPr>
                <w:sz w:val="20"/>
                <w:szCs w:val="20"/>
                <w:color w:val="auto"/>
              </w:rPr>
            </w:pPr>
            <w:r>
              <w:rPr>
                <w:rFonts w:ascii="Calibri" w:cs="Calibri" w:eastAsia="Calibri" w:hAnsi="Calibri"/>
                <w:sz w:val="18"/>
                <w:szCs w:val="18"/>
                <w:b w:val="1"/>
                <w:bCs w:val="1"/>
                <w:color w:val="auto"/>
              </w:rPr>
              <w:t>December 31, 2023</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
        </w:trPr>
        <w:tc>
          <w:tcPr>
            <w:tcW w:w="4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tcPr>
          <w:p>
            <w:pPr>
              <w:ind w:left="260"/>
              <w:spacing w:after="0" w:line="215" w:lineRule="exact"/>
              <w:rPr>
                <w:sz w:val="20"/>
                <w:szCs w:val="20"/>
                <w:color w:val="auto"/>
              </w:rPr>
            </w:pPr>
            <w:r>
              <w:rPr>
                <w:rFonts w:ascii="Calibri" w:cs="Calibri" w:eastAsia="Calibri" w:hAnsi="Calibri"/>
                <w:sz w:val="18"/>
                <w:szCs w:val="18"/>
                <w:b w:val="1"/>
                <w:bCs w:val="1"/>
                <w:color w:val="auto"/>
              </w:rPr>
              <w:t>Level 1</w:t>
            </w:r>
          </w:p>
        </w:tc>
        <w:tc>
          <w:tcPr>
            <w:tcW w:w="1780" w:type="dxa"/>
            <w:vAlign w:val="bottom"/>
            <w:gridSpan w:val="3"/>
          </w:tcPr>
          <w:p>
            <w:pPr>
              <w:ind w:left="240"/>
              <w:spacing w:after="0" w:line="215" w:lineRule="exact"/>
              <w:rPr>
                <w:sz w:val="20"/>
                <w:szCs w:val="20"/>
                <w:color w:val="auto"/>
              </w:rPr>
            </w:pPr>
            <w:r>
              <w:rPr>
                <w:rFonts w:ascii="Calibri" w:cs="Calibri" w:eastAsia="Calibri" w:hAnsi="Calibri"/>
                <w:sz w:val="18"/>
                <w:szCs w:val="18"/>
                <w:b w:val="1"/>
                <w:bCs w:val="1"/>
                <w:color w:val="auto"/>
              </w:rPr>
              <w:t>Level 2</w:t>
            </w:r>
          </w:p>
        </w:tc>
        <w:tc>
          <w:tcPr>
            <w:tcW w:w="1420" w:type="dxa"/>
            <w:vAlign w:val="bottom"/>
            <w:gridSpan w:val="2"/>
          </w:tcPr>
          <w:p>
            <w:pPr>
              <w:ind w:left="240"/>
              <w:spacing w:after="0" w:line="215" w:lineRule="exact"/>
              <w:rPr>
                <w:sz w:val="20"/>
                <w:szCs w:val="20"/>
                <w:color w:val="auto"/>
              </w:rPr>
            </w:pPr>
            <w:r>
              <w:rPr>
                <w:rFonts w:ascii="Calibri" w:cs="Calibri" w:eastAsia="Calibri" w:hAnsi="Calibri"/>
                <w:sz w:val="18"/>
                <w:szCs w:val="18"/>
                <w:b w:val="1"/>
                <w:bCs w:val="1"/>
                <w:color w:val="auto"/>
              </w:rPr>
              <w:t>Level 3</w:t>
            </w:r>
          </w:p>
        </w:tc>
        <w:tc>
          <w:tcPr>
            <w:tcW w:w="400" w:type="dxa"/>
            <w:vAlign w:val="bottom"/>
          </w:tcPr>
          <w:p>
            <w:pPr>
              <w:spacing w:after="0"/>
              <w:rPr>
                <w:sz w:val="18"/>
                <w:szCs w:val="18"/>
                <w:color w:val="auto"/>
              </w:rPr>
            </w:pPr>
          </w:p>
        </w:tc>
        <w:tc>
          <w:tcPr>
            <w:tcW w:w="1320" w:type="dxa"/>
            <w:vAlign w:val="bottom"/>
          </w:tcPr>
          <w:p>
            <w:pPr>
              <w:jc w:val="right"/>
              <w:ind w:right="590"/>
              <w:spacing w:after="0" w:line="215" w:lineRule="exact"/>
              <w:rPr>
                <w:sz w:val="20"/>
                <w:szCs w:val="20"/>
                <w:color w:val="auto"/>
              </w:rPr>
            </w:pPr>
            <w:r>
              <w:rPr>
                <w:rFonts w:ascii="Calibri" w:cs="Calibri" w:eastAsia="Calibri" w:hAnsi="Calibri"/>
                <w:sz w:val="18"/>
                <w:szCs w:val="18"/>
                <w:b w:val="1"/>
                <w:bCs w:val="1"/>
                <w:color w:val="auto"/>
              </w:rPr>
              <w:t>Total</w:t>
            </w:r>
          </w:p>
        </w:tc>
      </w:tr>
      <w:tr>
        <w:trPr>
          <w:trHeight w:val="216"/>
        </w:trPr>
        <w:tc>
          <w:tcPr>
            <w:tcW w:w="4060" w:type="dxa"/>
            <w:vAlign w:val="bottom"/>
            <w:tcBorders>
              <w:top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2"/>
        </w:trPr>
        <w:tc>
          <w:tcPr>
            <w:tcW w:w="4060" w:type="dxa"/>
            <w:vAlign w:val="bottom"/>
          </w:tcPr>
          <w:p>
            <w:pPr>
              <w:ind w:left="20"/>
              <w:spacing w:after="0" w:line="215" w:lineRule="exact"/>
              <w:rPr>
                <w:sz w:val="20"/>
                <w:szCs w:val="20"/>
                <w:color w:val="auto"/>
              </w:rPr>
            </w:pPr>
            <w:r>
              <w:rPr>
                <w:rFonts w:ascii="Calibri" w:cs="Calibri" w:eastAsia="Calibri" w:hAnsi="Calibri"/>
                <w:sz w:val="18"/>
                <w:szCs w:val="18"/>
                <w:color w:val="auto"/>
              </w:rPr>
              <w:t>Prepaid expenses and current other assets: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7"/>
        </w:trPr>
        <w:tc>
          <w:tcPr>
            <w:tcW w:w="40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Warrant asset</w:t>
            </w:r>
          </w:p>
        </w:tc>
        <w:tc>
          <w:tcPr>
            <w:tcW w:w="340" w:type="dxa"/>
            <w:vAlign w:val="bottom"/>
            <w:shd w:val="clear" w:color="auto" w:fill="CCEEFF"/>
          </w:tcPr>
          <w:p>
            <w:pPr>
              <w:jc w:val="right"/>
              <w:ind w:right="150"/>
              <w:spacing w:after="0"/>
              <w:rPr>
                <w:sz w:val="20"/>
                <w:szCs w:val="20"/>
                <w:color w:val="auto"/>
              </w:rPr>
            </w:pPr>
            <w:r>
              <w:rPr>
                <w:rFonts w:ascii="Calibri" w:cs="Calibri" w:eastAsia="Calibri" w:hAnsi="Calibri"/>
                <w:sz w:val="18"/>
                <w:szCs w:val="18"/>
                <w:color w:val="auto"/>
                <w:w w:val="87"/>
              </w:rPr>
              <w:t>$</w:t>
            </w:r>
          </w:p>
        </w:tc>
        <w:tc>
          <w:tcPr>
            <w:tcW w:w="1800" w:type="dxa"/>
            <w:vAlign w:val="bottom"/>
            <w:gridSpan w:val="3"/>
            <w:shd w:val="clear" w:color="auto" w:fill="CCEEFF"/>
          </w:tcPr>
          <w:p>
            <w:pPr>
              <w:ind w:left="1120"/>
              <w:spacing w:after="0"/>
              <w:rPr>
                <w:sz w:val="20"/>
                <w:szCs w:val="20"/>
                <w:color w:val="auto"/>
              </w:rPr>
            </w:pPr>
            <w:r>
              <w:rPr>
                <w:rFonts w:ascii="Calibri" w:cs="Calibri" w:eastAsia="Calibri" w:hAnsi="Calibri"/>
                <w:sz w:val="18"/>
                <w:szCs w:val="18"/>
                <w:color w:val="auto"/>
              </w:rPr>
              <w:t>—  $</w:t>
            </w:r>
          </w:p>
        </w:tc>
        <w:tc>
          <w:tcPr>
            <w:tcW w:w="1780" w:type="dxa"/>
            <w:vAlign w:val="bottom"/>
            <w:gridSpan w:val="3"/>
            <w:shd w:val="clear" w:color="auto" w:fill="CCEEFF"/>
          </w:tcPr>
          <w:p>
            <w:pPr>
              <w:ind w:left="1100"/>
              <w:spacing w:after="0"/>
              <w:rPr>
                <w:sz w:val="20"/>
                <w:szCs w:val="20"/>
                <w:color w:val="auto"/>
              </w:rPr>
            </w:pPr>
            <w:r>
              <w:rPr>
                <w:rFonts w:ascii="Calibri" w:cs="Calibri" w:eastAsia="Calibri" w:hAnsi="Calibri"/>
                <w:sz w:val="18"/>
                <w:szCs w:val="18"/>
                <w:color w:val="auto"/>
              </w:rPr>
              <w:t>—  $</w:t>
            </w: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477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rPr>
              <w:t>$</w:t>
            </w: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477</w:t>
            </w: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0" w:type="dxa"/>
            <w:vAlign w:val="bottom"/>
            <w:gridSpan w:val="6"/>
          </w:tcPr>
          <w:p>
            <w:pPr>
              <w:ind w:left="680"/>
              <w:spacing w:after="0"/>
              <w:rPr>
                <w:sz w:val="20"/>
                <w:szCs w:val="20"/>
                <w:color w:val="auto"/>
              </w:rPr>
            </w:pPr>
            <w:r>
              <w:rPr>
                <w:rFonts w:ascii="Calibri" w:cs="Calibri" w:eastAsia="Calibri" w:hAnsi="Calibri"/>
                <w:sz w:val="18"/>
                <w:szCs w:val="18"/>
                <w:b w:val="1"/>
                <w:bCs w:val="1"/>
                <w:color w:val="auto"/>
              </w:rPr>
              <w:t>December 31, 2024</w:t>
            </w:r>
          </w:p>
        </w:tc>
        <w:tc>
          <w:tcPr>
            <w:tcW w:w="1320" w:type="dxa"/>
            <w:vAlign w:val="bottom"/>
          </w:tcPr>
          <w:p>
            <w:pPr>
              <w:spacing w:after="0"/>
              <w:rPr>
                <w:sz w:val="19"/>
                <w:szCs w:val="19"/>
                <w:color w:val="auto"/>
              </w:rPr>
            </w:pPr>
          </w:p>
        </w:tc>
      </w:tr>
      <w:tr>
        <w:trPr>
          <w:trHeight w:val="23"/>
        </w:trPr>
        <w:tc>
          <w:tcPr>
            <w:tcW w:w="4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ind w:left="260"/>
              <w:spacing w:after="0" w:line="215" w:lineRule="exact"/>
              <w:rPr>
                <w:sz w:val="20"/>
                <w:szCs w:val="20"/>
                <w:color w:val="auto"/>
              </w:rPr>
            </w:pPr>
            <w:r>
              <w:rPr>
                <w:rFonts w:ascii="Calibri" w:cs="Calibri" w:eastAsia="Calibri" w:hAnsi="Calibri"/>
                <w:sz w:val="18"/>
                <w:szCs w:val="18"/>
                <w:b w:val="1"/>
                <w:bCs w:val="1"/>
                <w:color w:val="auto"/>
              </w:rPr>
              <w:t>Level 1</w:t>
            </w:r>
          </w:p>
        </w:tc>
        <w:tc>
          <w:tcPr>
            <w:tcW w:w="360" w:type="dxa"/>
            <w:vAlign w:val="bottom"/>
          </w:tcPr>
          <w:p>
            <w:pPr>
              <w:spacing w:after="0"/>
              <w:rPr>
                <w:sz w:val="18"/>
                <w:szCs w:val="18"/>
                <w:color w:val="auto"/>
              </w:rPr>
            </w:pPr>
          </w:p>
        </w:tc>
        <w:tc>
          <w:tcPr>
            <w:tcW w:w="1780" w:type="dxa"/>
            <w:vAlign w:val="bottom"/>
            <w:gridSpan w:val="3"/>
          </w:tcPr>
          <w:p>
            <w:pPr>
              <w:ind w:left="240"/>
              <w:spacing w:after="0" w:line="215" w:lineRule="exact"/>
              <w:rPr>
                <w:sz w:val="20"/>
                <w:szCs w:val="20"/>
                <w:color w:val="auto"/>
              </w:rPr>
            </w:pPr>
            <w:r>
              <w:rPr>
                <w:rFonts w:ascii="Calibri" w:cs="Calibri" w:eastAsia="Calibri" w:hAnsi="Calibri"/>
                <w:sz w:val="18"/>
                <w:szCs w:val="18"/>
                <w:b w:val="1"/>
                <w:bCs w:val="1"/>
                <w:color w:val="auto"/>
              </w:rPr>
              <w:t>Level 2</w:t>
            </w:r>
          </w:p>
        </w:tc>
        <w:tc>
          <w:tcPr>
            <w:tcW w:w="1820" w:type="dxa"/>
            <w:vAlign w:val="bottom"/>
            <w:gridSpan w:val="3"/>
          </w:tcPr>
          <w:p>
            <w:pPr>
              <w:ind w:left="240"/>
              <w:spacing w:after="0" w:line="215" w:lineRule="exact"/>
              <w:rPr>
                <w:sz w:val="20"/>
                <w:szCs w:val="20"/>
                <w:color w:val="auto"/>
              </w:rPr>
            </w:pPr>
            <w:r>
              <w:rPr>
                <w:rFonts w:ascii="Calibri" w:cs="Calibri" w:eastAsia="Calibri" w:hAnsi="Calibri"/>
                <w:sz w:val="18"/>
                <w:szCs w:val="18"/>
                <w:b w:val="1"/>
                <w:bCs w:val="1"/>
                <w:color w:val="auto"/>
              </w:rPr>
              <w:t>Level 3</w:t>
            </w:r>
          </w:p>
        </w:tc>
        <w:tc>
          <w:tcPr>
            <w:tcW w:w="1320" w:type="dxa"/>
            <w:vAlign w:val="bottom"/>
          </w:tcPr>
          <w:p>
            <w:pPr>
              <w:jc w:val="right"/>
              <w:ind w:right="590"/>
              <w:spacing w:after="0" w:line="215" w:lineRule="exact"/>
              <w:rPr>
                <w:sz w:val="20"/>
                <w:szCs w:val="20"/>
                <w:color w:val="auto"/>
              </w:rPr>
            </w:pPr>
            <w:r>
              <w:rPr>
                <w:rFonts w:ascii="Calibri" w:cs="Calibri" w:eastAsia="Calibri" w:hAnsi="Calibri"/>
                <w:sz w:val="18"/>
                <w:szCs w:val="18"/>
                <w:b w:val="1"/>
                <w:bCs w:val="1"/>
                <w:color w:val="auto"/>
              </w:rPr>
              <w:t>Total</w:t>
            </w:r>
          </w:p>
        </w:tc>
      </w:tr>
      <w:tr>
        <w:trPr>
          <w:trHeight w:val="216"/>
        </w:trPr>
        <w:tc>
          <w:tcPr>
            <w:tcW w:w="4060" w:type="dxa"/>
            <w:vAlign w:val="bottom"/>
            <w:tcBorders>
              <w:top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15"/>
        </w:trPr>
        <w:tc>
          <w:tcPr>
            <w:tcW w:w="4060" w:type="dxa"/>
            <w:vAlign w:val="bottom"/>
          </w:tcPr>
          <w:p>
            <w:pPr>
              <w:ind w:left="20"/>
              <w:spacing w:after="0" w:line="215" w:lineRule="exact"/>
              <w:rPr>
                <w:sz w:val="20"/>
                <w:szCs w:val="20"/>
                <w:color w:val="auto"/>
              </w:rPr>
            </w:pPr>
            <w:r>
              <w:rPr>
                <w:rFonts w:ascii="Calibri" w:cs="Calibri" w:eastAsia="Calibri" w:hAnsi="Calibri"/>
                <w:sz w:val="18"/>
                <w:szCs w:val="18"/>
                <w:color w:val="auto"/>
              </w:rPr>
              <w:t>Digital assets</w:t>
            </w: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6,950</w:t>
            </w:r>
          </w:p>
        </w:tc>
        <w:tc>
          <w:tcPr>
            <w:tcW w:w="100" w:type="dxa"/>
            <w:vAlign w:val="bottom"/>
          </w:tcPr>
          <w:p>
            <w:pPr>
              <w:spacing w:after="0"/>
              <w:rPr>
                <w:sz w:val="18"/>
                <w:szCs w:val="18"/>
                <w:color w:val="auto"/>
              </w:rPr>
            </w:pP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780" w:type="dxa"/>
            <w:vAlign w:val="bottom"/>
            <w:gridSpan w:val="3"/>
          </w:tcPr>
          <w:p>
            <w:pPr>
              <w:ind w:left="1100"/>
              <w:spacing w:after="0" w:line="215" w:lineRule="exact"/>
              <w:rPr>
                <w:sz w:val="20"/>
                <w:szCs w:val="20"/>
                <w:color w:val="auto"/>
              </w:rPr>
            </w:pPr>
            <w:r>
              <w:rPr>
                <w:rFonts w:ascii="Calibri" w:cs="Calibri" w:eastAsia="Calibri" w:hAnsi="Calibri"/>
                <w:sz w:val="18"/>
                <w:szCs w:val="18"/>
                <w:color w:val="auto"/>
              </w:rPr>
              <w:t>—  $</w:t>
            </w:r>
          </w:p>
        </w:tc>
        <w:tc>
          <w:tcPr>
            <w:tcW w:w="1820" w:type="dxa"/>
            <w:vAlign w:val="bottom"/>
            <w:gridSpan w:val="3"/>
          </w:tcPr>
          <w:p>
            <w:pPr>
              <w:ind w:left="1100"/>
              <w:spacing w:after="0" w:line="215" w:lineRule="exact"/>
              <w:rPr>
                <w:sz w:val="20"/>
                <w:szCs w:val="20"/>
                <w:color w:val="auto"/>
              </w:rPr>
            </w:pPr>
            <w:r>
              <w:rPr>
                <w:rFonts w:ascii="Calibri" w:cs="Calibri" w:eastAsia="Calibri" w:hAnsi="Calibri"/>
                <w:sz w:val="18"/>
                <w:szCs w:val="18"/>
                <w:color w:val="auto"/>
              </w:rPr>
              <w:t>—  $</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6,950</w:t>
            </w:r>
          </w:p>
        </w:tc>
      </w:tr>
    </w:tbl>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Warrant Asset</w:t>
      </w:r>
    </w:p>
    <w:p>
      <w:pPr>
        <w:spacing w:after="0" w:line="204" w:lineRule="exact"/>
        <w:rPr>
          <w:sz w:val="20"/>
          <w:szCs w:val="20"/>
          <w:color w:val="auto"/>
        </w:rPr>
      </w:pPr>
    </w:p>
    <w:p>
      <w:pPr>
        <w:ind w:right="40"/>
        <w:spacing w:after="0" w:line="230" w:lineRule="auto"/>
        <w:rPr>
          <w:sz w:val="20"/>
          <w:szCs w:val="20"/>
          <w:color w:val="auto"/>
        </w:rPr>
      </w:pPr>
      <w:r>
        <w:rPr>
          <w:rFonts w:ascii="Calibri" w:cs="Calibri" w:eastAsia="Calibri" w:hAnsi="Calibri"/>
          <w:sz w:val="18"/>
          <w:szCs w:val="18"/>
          <w:color w:val="auto"/>
        </w:rPr>
        <w:t>The fair value of the warrant asset was estmated by utlizing a Black-Scholes-Merton opton pricing model. The inputs into the Black-Scholes-Merton opton pricing model included signifcant unobservable inputs. The following table provides quanttatve informaton regarding the Level 3 fair value inputs (see Note 6, "</w:t>
      </w:r>
      <w:r>
        <w:rPr>
          <w:rFonts w:ascii="Calibri" w:cs="Calibri" w:eastAsia="Calibri" w:hAnsi="Calibri"/>
          <w:sz w:val="18"/>
          <w:szCs w:val="18"/>
          <w:i w:val="1"/>
          <w:iCs w:val="1"/>
          <w:color w:val="auto"/>
        </w:rPr>
        <w:t>Stockholders' Defcit"</w:t>
      </w:r>
      <w:r>
        <w:rPr>
          <w:rFonts w:ascii="Calibri" w:cs="Calibri" w:eastAsia="Calibri" w:hAnsi="Calibri"/>
          <w:sz w:val="18"/>
          <w:szCs w:val="18"/>
          <w:color w:val="auto"/>
        </w:rPr>
        <w:t xml:space="preserve"> for additonal informaton):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20"/>
        </w:trPr>
        <w:tc>
          <w:tcPr>
            <w:tcW w:w="2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Calibri" w:cs="Calibri" w:eastAsia="Calibri" w:hAnsi="Calibri"/>
                <w:sz w:val="18"/>
                <w:szCs w:val="18"/>
                <w:b w:val="1"/>
                <w:bCs w:val="1"/>
                <w:color w:val="auto"/>
              </w:rPr>
              <w:t>December 31, 2023</w:t>
            </w:r>
          </w:p>
        </w:tc>
      </w:tr>
      <w:tr>
        <w:trPr>
          <w:trHeight w:val="23"/>
        </w:trPr>
        <w:tc>
          <w:tcPr>
            <w:tcW w:w="2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240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Stock price</w:t>
            </w:r>
          </w:p>
        </w:tc>
        <w:tc>
          <w:tcPr>
            <w:tcW w:w="380" w:type="dxa"/>
            <w:vAlign w:val="bottom"/>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68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4.83</w:t>
            </w:r>
          </w:p>
        </w:tc>
      </w:tr>
      <w:tr>
        <w:trPr>
          <w:trHeight w:val="222"/>
        </w:trPr>
        <w:tc>
          <w:tcPr>
            <w:tcW w:w="2400" w:type="dxa"/>
            <w:vAlign w:val="bottom"/>
          </w:tcPr>
          <w:p>
            <w:pPr>
              <w:ind w:left="20"/>
              <w:spacing w:after="0" w:line="215" w:lineRule="exact"/>
              <w:rPr>
                <w:sz w:val="20"/>
                <w:szCs w:val="20"/>
                <w:color w:val="auto"/>
              </w:rPr>
            </w:pPr>
            <w:r>
              <w:rPr>
                <w:rFonts w:ascii="Calibri" w:cs="Calibri" w:eastAsia="Calibri" w:hAnsi="Calibri"/>
                <w:sz w:val="18"/>
                <w:szCs w:val="18"/>
                <w:color w:val="auto"/>
              </w:rPr>
              <w:t>Risk-free interest rate</w:t>
            </w:r>
          </w:p>
        </w:tc>
        <w:tc>
          <w:tcPr>
            <w:tcW w:w="380" w:type="dxa"/>
            <w:vAlign w:val="bottom"/>
          </w:tcPr>
          <w:p>
            <w:pPr>
              <w:spacing w:after="0"/>
              <w:rPr>
                <w:sz w:val="19"/>
                <w:szCs w:val="19"/>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color w:val="auto"/>
              </w:rPr>
              <w:t>5.14 %</w:t>
            </w:r>
          </w:p>
        </w:tc>
      </w:tr>
      <w:tr>
        <w:trPr>
          <w:trHeight w:val="237"/>
        </w:trPr>
        <w:tc>
          <w:tcPr>
            <w:tcW w:w="2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Volatlity</w:t>
            </w:r>
          </w:p>
        </w:tc>
        <w:tc>
          <w:tcPr>
            <w:tcW w:w="3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172.64 %</w:t>
            </w:r>
          </w:p>
        </w:tc>
      </w:tr>
      <w:tr>
        <w:trPr>
          <w:trHeight w:val="222"/>
        </w:trPr>
        <w:tc>
          <w:tcPr>
            <w:tcW w:w="2400" w:type="dxa"/>
            <w:vAlign w:val="bottom"/>
          </w:tcPr>
          <w:p>
            <w:pPr>
              <w:ind w:left="20"/>
              <w:spacing w:after="0" w:line="215" w:lineRule="exact"/>
              <w:rPr>
                <w:sz w:val="20"/>
                <w:szCs w:val="20"/>
                <w:color w:val="auto"/>
              </w:rPr>
            </w:pPr>
            <w:r>
              <w:rPr>
                <w:rFonts w:ascii="Calibri" w:cs="Calibri" w:eastAsia="Calibri" w:hAnsi="Calibri"/>
                <w:sz w:val="18"/>
                <w:szCs w:val="18"/>
                <w:color w:val="auto"/>
              </w:rPr>
              <w:t>Remaining term (in years)</w:t>
            </w:r>
          </w:p>
        </w:tc>
        <w:tc>
          <w:tcPr>
            <w:tcW w:w="380" w:type="dxa"/>
            <w:vAlign w:val="bottom"/>
          </w:tcPr>
          <w:p>
            <w:pPr>
              <w:spacing w:after="0"/>
              <w:rPr>
                <w:sz w:val="19"/>
                <w:szCs w:val="19"/>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color w:val="auto"/>
              </w:rPr>
              <w:t>1.00</w:t>
            </w:r>
          </w:p>
        </w:tc>
      </w:tr>
      <w:tr>
        <w:trPr>
          <w:trHeight w:val="237"/>
        </w:trPr>
        <w:tc>
          <w:tcPr>
            <w:tcW w:w="2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Expected dividend yield</w:t>
            </w:r>
          </w:p>
        </w:tc>
        <w:tc>
          <w:tcPr>
            <w:tcW w:w="3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 %</w:t>
            </w:r>
          </w:p>
        </w:tc>
      </w:tr>
    </w:tbl>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Assets Measured on a Nonrecurring Basis</w:t>
      </w:r>
    </w:p>
    <w:p>
      <w:pPr>
        <w:spacing w:after="0" w:line="204" w:lineRule="exact"/>
        <w:rPr>
          <w:sz w:val="20"/>
          <w:szCs w:val="20"/>
          <w:color w:val="auto"/>
        </w:rPr>
      </w:pPr>
    </w:p>
    <w:p>
      <w:pPr>
        <w:ind w:right="200"/>
        <w:spacing w:after="0" w:line="228" w:lineRule="auto"/>
        <w:rPr>
          <w:sz w:val="20"/>
          <w:szCs w:val="20"/>
          <w:color w:val="auto"/>
        </w:rPr>
      </w:pPr>
      <w:r>
        <w:rPr>
          <w:rFonts w:ascii="Calibri" w:cs="Calibri" w:eastAsia="Calibri" w:hAnsi="Calibri"/>
          <w:sz w:val="18"/>
          <w:szCs w:val="18"/>
          <w:color w:val="auto"/>
        </w:rPr>
        <w:t>Assets that are measured at fair value on a nonrecurring basis are remeasured when carrying value exceeds fair value. This includes the evaluaton of long-lived assets. Where an indicaton of an impairment exists, the Company’s estmates of fair value of long-lived assets require the use of signifcant unobservable inputs, representatve of Level 3 fair value measurements, including numerous assumptons with respect to future circumstances that might impact the long-lived assets’ operatons in the future and are therefore uncertain.</w:t>
      </w:r>
    </w:p>
    <w:p>
      <w:pPr>
        <w:spacing w:after="0" w:line="205"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The Company reviews its long-lived assets for impairment whenever events or changes in circumstances indicate that the carrying amount of the assets may not be fully recoverable. To determine recoverability of a long-lived asset, management evaluates whether the estmated future undiscounted net cash fows, based on prevailing market conditons, from the asset are less than its carrying amount. If impairment is indicated, the long-lived asset is writen down to fair value.</w:t>
      </w:r>
    </w:p>
    <w:p>
      <w:pPr>
        <w:spacing w:after="0" w:line="218" w:lineRule="exact"/>
        <w:rPr>
          <w:sz w:val="20"/>
          <w:szCs w:val="20"/>
          <w:color w:val="auto"/>
        </w:rPr>
      </w:pPr>
    </w:p>
    <w:p>
      <w:pPr>
        <w:ind w:right="80"/>
        <w:spacing w:after="0" w:line="227" w:lineRule="auto"/>
        <w:rPr>
          <w:sz w:val="20"/>
          <w:szCs w:val="20"/>
          <w:color w:val="auto"/>
        </w:rPr>
      </w:pPr>
      <w:r>
        <w:rPr>
          <w:rFonts w:ascii="Calibri" w:cs="Calibri" w:eastAsia="Calibri" w:hAnsi="Calibri"/>
          <w:sz w:val="18"/>
          <w:szCs w:val="18"/>
          <w:color w:val="auto"/>
        </w:rPr>
        <w:t>During the year ended December 31, 2024 and 2023, the Company recognized impairment charges of $0.2 million and $4.0 million, respectvely, of property and equipment, net.</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16. SEGMENT REPORTING</w:t>
      </w:r>
    </w:p>
    <w:p>
      <w:pPr>
        <w:spacing w:after="0" w:line="244" w:lineRule="exact"/>
        <w:rPr>
          <w:sz w:val="20"/>
          <w:szCs w:val="20"/>
          <w:color w:val="auto"/>
        </w:rPr>
      </w:pPr>
    </w:p>
    <w:p>
      <w:pPr>
        <w:ind w:right="20"/>
        <w:spacing w:after="0" w:line="226" w:lineRule="auto"/>
        <w:rPr>
          <w:sz w:val="20"/>
          <w:szCs w:val="20"/>
          <w:color w:val="auto"/>
        </w:rPr>
      </w:pPr>
      <w:r>
        <w:rPr>
          <w:rFonts w:ascii="Calibri" w:cs="Calibri" w:eastAsia="Calibri" w:hAnsi="Calibri"/>
          <w:sz w:val="18"/>
          <w:szCs w:val="18"/>
          <w:color w:val="auto"/>
        </w:rPr>
        <w:t>The Company has one reportable segment. The Datacenter Operatons segment primarily derives revenue through datacenter hostng, crypto-currency self-mining, and power and capacity sales. The Company's chief operatng decision maker is collectvely the Chief Executve Ofcer and the President. They assess the performance of the segment and decide how to allocate resources based on segment gross proft and net income. The metrics are used to evaluate the investment in the expansion of new datacenters or other uses such as the contnued deleveraging of the Company. Gross proft and net income is used to monitor budget versus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9" w:right="3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651"/>
              <w:spacing w:after="0"/>
              <w:rPr>
                <w:sz w:val="20"/>
                <w:szCs w:val="20"/>
                <w:color w:val="auto"/>
              </w:rPr>
            </w:pPr>
            <w:r>
              <w:rPr>
                <w:rFonts w:ascii="Calibri" w:cs="Calibri" w:eastAsia="Calibri" w:hAnsi="Calibri"/>
                <w:sz w:val="14"/>
                <w:szCs w:val="14"/>
                <w:b w:val="1"/>
                <w:bCs w:val="1"/>
                <w:color w:val="auto"/>
              </w:rPr>
              <w:t>Years Ended December 31,</w:t>
            </w:r>
          </w:p>
        </w:tc>
      </w:tr>
      <w:tr>
        <w:trPr>
          <w:trHeight w:val="203"/>
        </w:trPr>
        <w:tc>
          <w:tcPr>
            <w:tcW w:w="8180" w:type="dxa"/>
            <w:vAlign w:val="bottom"/>
          </w:tcPr>
          <w:p>
            <w:pPr>
              <w:ind w:left="20"/>
              <w:spacing w:after="0"/>
              <w:rPr>
                <w:sz w:val="20"/>
                <w:szCs w:val="20"/>
                <w:color w:val="auto"/>
              </w:rPr>
            </w:pPr>
            <w:r>
              <w:rPr>
                <w:rFonts w:ascii="Calibri" w:cs="Calibri" w:eastAsia="Calibri" w:hAnsi="Calibri"/>
                <w:sz w:val="14"/>
                <w:szCs w:val="14"/>
                <w:b w:val="1"/>
                <w:bCs w:val="1"/>
                <w:color w:val="auto"/>
              </w:rPr>
              <w:t>$ in thousands</w:t>
            </w: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Calibri" w:cs="Calibri" w:eastAsia="Calibri" w:hAnsi="Calibri"/>
                <w:sz w:val="14"/>
                <w:szCs w:val="14"/>
                <w:b w:val="1"/>
                <w:bCs w:val="1"/>
                <w:color w:val="auto"/>
              </w:rPr>
              <w:t>2023</w:t>
            </w:r>
          </w:p>
        </w:tc>
      </w:tr>
      <w:tr>
        <w:trPr>
          <w:trHeight w:val="47"/>
        </w:trPr>
        <w:tc>
          <w:tcPr>
            <w:tcW w:w="81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23"/>
        </w:trPr>
        <w:tc>
          <w:tcPr>
            <w:tcW w:w="818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Segment revenue</w:t>
            </w: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59,533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70,388</w:t>
            </w:r>
          </w:p>
        </w:tc>
      </w:tr>
      <w:tr>
        <w:trPr>
          <w:trHeight w:val="222"/>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Less: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7"/>
        </w:trPr>
        <w:tc>
          <w:tcPr>
            <w:tcW w:w="81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Natural Gas Expense</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16,168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14,469</w:t>
            </w:r>
          </w:p>
        </w:tc>
      </w:tr>
      <w:tr>
        <w:trPr>
          <w:trHeight w:val="222"/>
        </w:trPr>
        <w:tc>
          <w:tcPr>
            <w:tcW w:w="8180" w:type="dxa"/>
            <w:vAlign w:val="bottom"/>
          </w:tcPr>
          <w:p>
            <w:pPr>
              <w:ind w:left="140"/>
              <w:spacing w:after="0" w:line="215" w:lineRule="exact"/>
              <w:rPr>
                <w:sz w:val="20"/>
                <w:szCs w:val="20"/>
                <w:color w:val="auto"/>
              </w:rPr>
            </w:pPr>
            <w:r>
              <w:rPr>
                <w:rFonts w:ascii="Calibri" w:cs="Calibri" w:eastAsia="Calibri" w:hAnsi="Calibri"/>
                <w:sz w:val="18"/>
                <w:szCs w:val="18"/>
                <w:color w:val="auto"/>
              </w:rPr>
              <w:t>Electricity for Mining Expense</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3,044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10,756</w:t>
            </w:r>
          </w:p>
        </w:tc>
      </w:tr>
      <w:tr>
        <w:trPr>
          <w:trHeight w:val="237"/>
        </w:trPr>
        <w:tc>
          <w:tcPr>
            <w:tcW w:w="81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Emissions Expense</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8,676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6,480</w:t>
            </w:r>
          </w:p>
        </w:tc>
      </w:tr>
      <w:tr>
        <w:trPr>
          <w:trHeight w:val="222"/>
        </w:trPr>
        <w:tc>
          <w:tcPr>
            <w:tcW w:w="8180" w:type="dxa"/>
            <w:vAlign w:val="bottom"/>
          </w:tcPr>
          <w:p>
            <w:pPr>
              <w:ind w:left="140"/>
              <w:spacing w:after="0" w:line="215" w:lineRule="exact"/>
              <w:rPr>
                <w:sz w:val="20"/>
                <w:szCs w:val="20"/>
                <w:color w:val="auto"/>
              </w:rPr>
            </w:pPr>
            <w:r>
              <w:rPr>
                <w:rFonts w:ascii="Calibri" w:cs="Calibri" w:eastAsia="Calibri" w:hAnsi="Calibri"/>
                <w:sz w:val="18"/>
                <w:szCs w:val="18"/>
                <w:color w:val="auto"/>
              </w:rPr>
              <w:t>Hostng Fee Expense</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3,428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7,374</w:t>
            </w:r>
          </w:p>
        </w:tc>
      </w:tr>
      <w:tr>
        <w:trPr>
          <w:trHeight w:val="237"/>
        </w:trPr>
        <w:tc>
          <w:tcPr>
            <w:tcW w:w="81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Other Cost of Revenue (a)</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9,792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11,926</w:t>
            </w:r>
          </w:p>
        </w:tc>
      </w:tr>
      <w:tr>
        <w:trPr>
          <w:trHeight w:val="216"/>
        </w:trPr>
        <w:tc>
          <w:tcPr>
            <w:tcW w:w="8180" w:type="dxa"/>
            <w:vAlign w:val="bottom"/>
            <w:tcBorders>
              <w:bottom w:val="single" w:sz="8" w:color="CCEEFF"/>
            </w:tcBorders>
          </w:tcPr>
          <w:p>
            <w:pPr>
              <w:ind w:left="20"/>
              <w:spacing w:after="0" w:line="199" w:lineRule="exact"/>
              <w:rPr>
                <w:sz w:val="20"/>
                <w:szCs w:val="20"/>
                <w:color w:val="auto"/>
              </w:rPr>
            </w:pPr>
            <w:r>
              <w:rPr>
                <w:rFonts w:ascii="Calibri" w:cs="Calibri" w:eastAsia="Calibri" w:hAnsi="Calibri"/>
                <w:sz w:val="18"/>
                <w:szCs w:val="18"/>
                <w:color w:val="auto"/>
              </w:rPr>
              <w:t>Segment gross proft</w:t>
            </w:r>
          </w:p>
        </w:tc>
        <w:tc>
          <w:tcPr>
            <w:tcW w:w="340" w:type="dxa"/>
            <w:vAlign w:val="bottom"/>
            <w:tcBorders>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18,425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19,383</w:t>
            </w:r>
          </w:p>
        </w:tc>
      </w:tr>
      <w:tr>
        <w:trPr>
          <w:trHeight w:val="135"/>
        </w:trPr>
        <w:tc>
          <w:tcPr>
            <w:tcW w:w="8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22"/>
        </w:trPr>
        <w:tc>
          <w:tcPr>
            <w:tcW w:w="8180" w:type="dxa"/>
            <w:vAlign w:val="bottom"/>
          </w:tcPr>
          <w:p>
            <w:pPr>
              <w:ind w:left="140"/>
              <w:spacing w:after="0" w:line="215" w:lineRule="exact"/>
              <w:rPr>
                <w:sz w:val="20"/>
                <w:szCs w:val="20"/>
                <w:color w:val="auto"/>
              </w:rPr>
            </w:pPr>
            <w:r>
              <w:rPr>
                <w:rFonts w:ascii="Calibri" w:cs="Calibri" w:eastAsia="Calibri" w:hAnsi="Calibri"/>
                <w:sz w:val="18"/>
                <w:szCs w:val="18"/>
                <w:color w:val="auto"/>
              </w:rPr>
              <w:t>Depreciaton</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13,471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13,602</w:t>
            </w:r>
          </w:p>
        </w:tc>
      </w:tr>
      <w:tr>
        <w:trPr>
          <w:trHeight w:val="237"/>
        </w:trPr>
        <w:tc>
          <w:tcPr>
            <w:tcW w:w="81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Selling, general and administratve</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17,294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26,167</w:t>
            </w:r>
          </w:p>
        </w:tc>
      </w:tr>
      <w:tr>
        <w:trPr>
          <w:trHeight w:val="222"/>
        </w:trPr>
        <w:tc>
          <w:tcPr>
            <w:tcW w:w="8180" w:type="dxa"/>
            <w:vAlign w:val="bottom"/>
          </w:tcPr>
          <w:p>
            <w:pPr>
              <w:ind w:left="140"/>
              <w:spacing w:after="0" w:line="215" w:lineRule="exact"/>
              <w:rPr>
                <w:sz w:val="20"/>
                <w:szCs w:val="20"/>
                <w:color w:val="auto"/>
              </w:rPr>
            </w:pPr>
            <w:r>
              <w:rPr>
                <w:rFonts w:ascii="Calibri" w:cs="Calibri" w:eastAsia="Calibri" w:hAnsi="Calibri"/>
                <w:sz w:val="18"/>
                <w:szCs w:val="18"/>
                <w:color w:val="auto"/>
              </w:rPr>
              <w:t>Impairment of equity securites</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869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81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Loss (gain) on sale of assets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(9,903)</w:t>
            </w:r>
          </w:p>
        </w:tc>
      </w:tr>
      <w:tr>
        <w:trPr>
          <w:trHeight w:val="222"/>
        </w:trPr>
        <w:tc>
          <w:tcPr>
            <w:tcW w:w="8180" w:type="dxa"/>
            <w:vAlign w:val="bottom"/>
          </w:tcPr>
          <w:p>
            <w:pPr>
              <w:ind w:left="140"/>
              <w:spacing w:after="0" w:line="215" w:lineRule="exact"/>
              <w:rPr>
                <w:sz w:val="20"/>
                <w:szCs w:val="20"/>
                <w:color w:val="auto"/>
              </w:rPr>
            </w:pPr>
            <w:r>
              <w:rPr>
                <w:rFonts w:ascii="Calibri" w:cs="Calibri" w:eastAsia="Calibri" w:hAnsi="Calibri"/>
                <w:sz w:val="18"/>
                <w:szCs w:val="18"/>
                <w:color w:val="auto"/>
              </w:rPr>
              <w:t>Impairment of long-lived assets</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4,000</w:t>
            </w:r>
          </w:p>
        </w:tc>
      </w:tr>
      <w:tr>
        <w:trPr>
          <w:trHeight w:val="237"/>
        </w:trPr>
        <w:tc>
          <w:tcPr>
            <w:tcW w:w="81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Remeasurement of environmental liability</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453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2,409</w:t>
            </w:r>
          </w:p>
        </w:tc>
      </w:tr>
      <w:tr>
        <w:trPr>
          <w:trHeight w:val="222"/>
        </w:trPr>
        <w:tc>
          <w:tcPr>
            <w:tcW w:w="8180" w:type="dxa"/>
            <w:vAlign w:val="bottom"/>
          </w:tcPr>
          <w:p>
            <w:pPr>
              <w:ind w:left="140"/>
              <w:spacing w:after="0" w:line="215" w:lineRule="exact"/>
              <w:rPr>
                <w:sz w:val="20"/>
                <w:szCs w:val="20"/>
                <w:color w:val="auto"/>
              </w:rPr>
            </w:pPr>
            <w:r>
              <w:rPr>
                <w:rFonts w:ascii="Calibri" w:cs="Calibri" w:eastAsia="Calibri" w:hAnsi="Calibri"/>
                <w:sz w:val="18"/>
                <w:szCs w:val="18"/>
                <w:color w:val="auto"/>
              </w:rPr>
              <w:t>Interest expense, net</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7,082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12,659</w:t>
            </w:r>
          </w:p>
        </w:tc>
      </w:tr>
      <w:tr>
        <w:trPr>
          <w:trHeight w:val="237"/>
        </w:trPr>
        <w:tc>
          <w:tcPr>
            <w:tcW w:w="81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Change in fair value of warrant asset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2"/>
        </w:trPr>
        <w:tc>
          <w:tcPr>
            <w:tcW w:w="8180" w:type="dxa"/>
            <w:vAlign w:val="bottom"/>
          </w:tcPr>
          <w:p>
            <w:pPr>
              <w:ind w:left="140"/>
              <w:spacing w:after="0" w:line="215" w:lineRule="exact"/>
              <w:rPr>
                <w:sz w:val="20"/>
                <w:szCs w:val="20"/>
                <w:color w:val="auto"/>
              </w:rPr>
            </w:pPr>
            <w:r>
              <w:rPr>
                <w:rFonts w:ascii="Calibri" w:cs="Calibri" w:eastAsia="Calibri" w:hAnsi="Calibri"/>
                <w:sz w:val="18"/>
                <w:szCs w:val="18"/>
                <w:color w:val="auto"/>
              </w:rPr>
              <w:t>Gain on digital assets</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(2,154)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81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Gain on sale of digital assets</w:t>
            </w: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(512)</w:t>
            </w:r>
          </w:p>
        </w:tc>
      </w:tr>
      <w:tr>
        <w:trPr>
          <w:trHeight w:val="222"/>
        </w:trPr>
        <w:tc>
          <w:tcPr>
            <w:tcW w:w="8180" w:type="dxa"/>
            <w:vAlign w:val="bottom"/>
          </w:tcPr>
          <w:p>
            <w:pPr>
              <w:ind w:left="140"/>
              <w:spacing w:after="0" w:line="215" w:lineRule="exact"/>
              <w:rPr>
                <w:sz w:val="20"/>
                <w:szCs w:val="20"/>
                <w:color w:val="auto"/>
              </w:rPr>
            </w:pPr>
            <w:r>
              <w:rPr>
                <w:rFonts w:ascii="Calibri" w:cs="Calibri" w:eastAsia="Calibri" w:hAnsi="Calibri"/>
                <w:sz w:val="18"/>
                <w:szCs w:val="18"/>
                <w:color w:val="auto"/>
              </w:rPr>
              <w:t>Other income, net</w:t>
            </w: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81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Beneft from income taxes</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(69)</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17"/>
        </w:trPr>
        <w:tc>
          <w:tcPr>
            <w:tcW w:w="8180" w:type="dxa"/>
            <w:vAlign w:val="bottom"/>
            <w:tcBorders>
              <w:bottom w:val="single" w:sz="8" w:color="CCEEFF"/>
            </w:tcBorders>
          </w:tcPr>
          <w:p>
            <w:pPr>
              <w:ind w:left="20"/>
              <w:spacing w:after="0" w:line="199" w:lineRule="exact"/>
              <w:rPr>
                <w:sz w:val="20"/>
                <w:szCs w:val="20"/>
                <w:color w:val="auto"/>
              </w:rPr>
            </w:pPr>
            <w:r>
              <w:rPr>
                <w:rFonts w:ascii="Calibri" w:cs="Calibri" w:eastAsia="Calibri" w:hAnsi="Calibri"/>
                <w:sz w:val="18"/>
                <w:szCs w:val="18"/>
                <w:color w:val="auto"/>
              </w:rPr>
              <w:t>Segment net loss</w:t>
            </w:r>
          </w:p>
        </w:tc>
        <w:tc>
          <w:tcPr>
            <w:tcW w:w="340" w:type="dxa"/>
            <w:vAlign w:val="bottom"/>
            <w:tcBorders>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(19,785)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(29,039)</w:t>
            </w:r>
          </w:p>
        </w:tc>
      </w:tr>
      <w:tr>
        <w:trPr>
          <w:trHeight w:val="256"/>
        </w:trPr>
        <w:tc>
          <w:tcPr>
            <w:tcW w:w="8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2"/>
        </w:trPr>
        <w:tc>
          <w:tcPr>
            <w:tcW w:w="8180" w:type="dxa"/>
            <w:vAlign w:val="bottom"/>
          </w:tcPr>
          <w:p>
            <w:pPr>
              <w:ind w:left="20"/>
              <w:spacing w:after="0" w:line="215" w:lineRule="exact"/>
              <w:rPr>
                <w:sz w:val="20"/>
                <w:szCs w:val="20"/>
                <w:color w:val="auto"/>
              </w:rPr>
            </w:pPr>
            <w:r>
              <w:rPr>
                <w:rFonts w:ascii="Calibri" w:cs="Calibri" w:eastAsia="Calibri" w:hAnsi="Calibri"/>
                <w:sz w:val="18"/>
                <w:szCs w:val="18"/>
                <w:i w:val="1"/>
                <w:iCs w:val="1"/>
                <w:color w:val="auto"/>
              </w:rPr>
              <w:t>Reconciliaton of consolidated net loss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Loss from discontnued operatons, net of tax</w:t>
            </w: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(471)</w:t>
            </w:r>
          </w:p>
        </w:tc>
      </w:tr>
      <w:tr>
        <w:trPr>
          <w:trHeight w:val="230"/>
        </w:trPr>
        <w:tc>
          <w:tcPr>
            <w:tcW w:w="8180" w:type="dxa"/>
            <w:vAlign w:val="bottom"/>
          </w:tcPr>
          <w:p>
            <w:pPr>
              <w:ind w:left="20"/>
              <w:spacing w:after="0"/>
              <w:rPr>
                <w:sz w:val="20"/>
                <w:szCs w:val="20"/>
                <w:color w:val="auto"/>
              </w:rPr>
            </w:pPr>
            <w:r>
              <w:rPr>
                <w:rFonts w:ascii="Calibri" w:cs="Calibri" w:eastAsia="Calibri" w:hAnsi="Calibri"/>
                <w:sz w:val="18"/>
                <w:szCs w:val="18"/>
                <w:color w:val="auto"/>
              </w:rPr>
              <w:t>Net loss</w:t>
            </w:r>
          </w:p>
        </w:tc>
        <w:tc>
          <w:tcPr>
            <w:tcW w:w="340" w:type="dxa"/>
            <w:vAlign w:val="bottom"/>
            <w:tcBorders>
              <w:top w:val="single" w:sz="8" w:color="auto"/>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(19,785)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(29,510)</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Calibri" w:cs="Calibri" w:eastAsia="Calibri" w:hAnsi="Calibri"/>
          <w:sz w:val="18"/>
          <w:szCs w:val="18"/>
          <w:color w:val="auto"/>
        </w:rPr>
        <w:t>(a) Other cost of revenue primarily consists of labor and repairs and maintenance expenses</w:t>
      </w:r>
    </w:p>
    <w:p>
      <w:pPr>
        <w:spacing w:after="0" w:line="3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17. SUBSEQUENT EVENTS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Equity Interest Payment Agreement</w:t>
      </w:r>
    </w:p>
    <w:p>
      <w:pPr>
        <w:spacing w:after="0" w:line="217" w:lineRule="exact"/>
        <w:rPr>
          <w:sz w:val="20"/>
          <w:szCs w:val="20"/>
          <w:color w:val="auto"/>
        </w:rPr>
      </w:pPr>
    </w:p>
    <w:p>
      <w:pPr>
        <w:ind w:right="100"/>
        <w:spacing w:after="0" w:line="251" w:lineRule="auto"/>
        <w:rPr>
          <w:sz w:val="20"/>
          <w:szCs w:val="20"/>
          <w:color w:val="auto"/>
        </w:rPr>
      </w:pPr>
      <w:r>
        <w:rPr>
          <w:rFonts w:ascii="Calibri" w:cs="Calibri" w:eastAsia="Calibri" w:hAnsi="Calibri"/>
          <w:sz w:val="17"/>
          <w:szCs w:val="17"/>
          <w:color w:val="auto"/>
        </w:rPr>
        <w:t>The Company entered into an Equity Interest Payment Agreement as of January 24, 2025, that as consideraton for Atlas' contnued credit support with respect to the leters of credit mentoned in Related Party Transactons totaling $8.6 million, the Company shall pay interest at a rate of 8.5% per annum. The interest will be calculated on a per diem basis based on the number of days in the applicable measurement period, which Interest Payments shall be net of any interest otherwise actually received by Atlas from the issuing bank. Payments will be made by issuing Class A common stock to Atlas, with the total cumulatve shares not to exceed 19.99% of the sum of the number of Class A Shares and shares of Class B common stock. Subsequent payments will then be made in cash. In connecton with the Equity Interest Payment Agreement, the Company agreed to pay, by issuing shares of its Class A common stock, a leter of credit extension payment as further consideraton for Atlas to enter into the Equity Interest Payment Agreement and maintain the leters of credit. On January 29, 2025, the Company issued 752,742 shares of Class A common stock to setle the leter of credit extension payment.</w:t>
      </w:r>
    </w:p>
    <w:p>
      <w:pPr>
        <w:spacing w:after="0" w:line="20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Delistng Notce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08" w:name="page109"/>
    <w:bookmarkEnd w:id="108"/>
    <w:p>
      <w:pPr>
        <w:spacing w:after="0" w:line="235" w:lineRule="auto"/>
        <w:rPr>
          <w:sz w:val="20"/>
          <w:szCs w:val="20"/>
          <w:color w:val="auto"/>
        </w:rPr>
      </w:pPr>
      <w:r>
        <w:rPr>
          <w:rFonts w:ascii="Calibri" w:cs="Calibri" w:eastAsia="Calibri" w:hAnsi="Calibri"/>
          <w:sz w:val="18"/>
          <w:szCs w:val="18"/>
          <w:color w:val="auto"/>
        </w:rPr>
        <w:t>On March 26, 2025, the Company received writen notce from the Listng Qualifcatons Department of The Nasdaq Stock Market LLC (“Nasdaq”) notfying the Company that, based on the staf’s review of the market value of publicly held shares (the “MVPHS”) of the Company’s Class A common stock, for 30 consecutve business days, the Company no longer complied with Nasdaq’s minimum MVPHS requirement of at least $15,000,000 for contnued listng on The Nasdaq Global Select Market. The notce provided that the Company had 180 days, or untl September 22, 2025, to regain compliance with the minimum MVPHS requirement for 10 consecutve business days.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Debt Exchange Agreements</w:t>
      </w:r>
    </w:p>
    <w:p>
      <w:pPr>
        <w:spacing w:after="0" w:line="217"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From January 1, 2025 through the date of this fling, the Company entered into privately negotated exchange agreements, pursuant to which it issued an aggregate of 643,456 shares of the Company's Class A common stock, in exchange for $1.8 million aggregate principal amount of its 8.50% Senior Notes due October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1143" w:right="339" w:bottom="1440" w:gutter="0" w:footer="0" w:header="0"/>
        </w:sectPr>
      </w:pPr>
    </w:p>
    <w:bookmarkStart w:id="109" w:name="page110"/>
    <w:bookmarkEnd w:id="109"/>
    <w:p>
      <w:pPr>
        <w:ind w:left="10240"/>
        <w:spacing w:after="0"/>
        <w:rPr>
          <w:sz w:val="20"/>
          <w:szCs w:val="20"/>
          <w:color w:val="auto"/>
        </w:rPr>
      </w:pPr>
      <w:r>
        <w:rPr>
          <w:rFonts w:ascii="Times New Roman" w:cs="Times New Roman" w:eastAsia="Times New Roman" w:hAnsi="Times New Roman"/>
          <w:sz w:val="21"/>
          <w:szCs w:val="21"/>
          <w:b w:val="1"/>
          <w:bCs w:val="1"/>
          <w:color w:val="auto"/>
        </w:rPr>
        <w:t>Exhibit 4.6</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i w:val="1"/>
          <w:iCs w:val="1"/>
          <w:color w:val="auto"/>
        </w:rPr>
        <w:t>The following is a summary of the terms of our securities. This summary does not purport to be complete, nor does it represent all information which you might find to be important for understanding our capital stock. This summary is subject to, and qualified in its entirety by reference to, our Certificate of Incorporation and Bylaws (each as defined below). References to “Greenidge,” the “Company,” “we,” “our” and “us” herein are, unless the context otherwise requires, only to Greenidge Generation Holdings Inc. and not to any of its subsidiaries.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Description of Capital Stock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On September 6, 2022, we filed a second amendment and restatement to our certificate of incorporation to remove the terms relating to our series A convertible redeemable preferred stock, the shares of which were converted, retired and cancelled, and on May 12, 2023, we filed an additional certificate of amendment, effective May 16, 2023, to effect a one-for-ten reverse stock split, whereby each ten shares of our issued and outstanding class A common stock and class B common stock were combined into one share of the same class of common stock, except that where a stockholder was otherwise entitled to a fraction of a share of common stock in such share combination, in lieu of issuing a fractional share, the Company rounded up the number of shares of class A common stock or class B common stock to which the stockholder was entitled to the nearest whole share (the foregoing collectively, the “amendments,” and our second amended and restated certificate of incorporation, as in effect after such amendments, our “Certificate of Incorporation”). Following the amendments, our authorized capital stock consists of 400,000,000 shares of class A common stock, par value $0.0001 per share, 100,000,000 shares of class B common stock, par value $0.0001 per share, and 20,000,000 shares of preferred stock, par value $0.0001 per share.</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number of authorized shares of our common or preferred stock may be increased or decreased by the affirmative vote of the holders of shares of our capital stock representing a majority of the votes represented by all outstanding shares of such capital stock entitled to vote on such matter, irrespective of the provisions of Section 242(b)(2) of General Corporation Law of the State of Delaware (the “DGCL”), in addition to any vote of the holders of one or more series of our preferred stock that may be required by the terms of such preferred stock. However, the number of authorized shares of common or preferred stock may not be decreased below the number of shares thereof then outstanding or, in the case of class A common stock, the number of such shares reserved for issuance upon conversion into shares of class A common stock of the then-outstanding shares of class B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All shares of our common stock now outstanding are duly authorized, fully paid, and non-assessable. Shares of class B common stock that have been acquired by us, whether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110" w:name="page111"/>
    <w:bookmarkEnd w:id="110"/>
    <w:p>
      <w:pPr>
        <w:jc w:val="both"/>
        <w:spacing w:after="0" w:line="271" w:lineRule="auto"/>
        <w:rPr>
          <w:sz w:val="20"/>
          <w:szCs w:val="20"/>
          <w:color w:val="auto"/>
        </w:rPr>
      </w:pPr>
      <w:r>
        <w:rPr>
          <w:rFonts w:ascii="Times New Roman" w:cs="Times New Roman" w:eastAsia="Times New Roman" w:hAnsi="Times New Roman"/>
          <w:sz w:val="22"/>
          <w:szCs w:val="22"/>
          <w:color w:val="auto"/>
        </w:rPr>
        <w:t>repurchase, upon conversion or otherwise, are retired and not issuable again as shares of class B common stock. Below is a summary of the rights of the common stock.</w:t>
      </w:r>
    </w:p>
    <w:p>
      <w:pPr>
        <w:spacing w:after="0" w:line="1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i w:val="1"/>
          <w:iCs w:val="1"/>
          <w:u w:val="single" w:color="auto"/>
          <w:color w:val="auto"/>
        </w:rPr>
        <w:t>Voting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holders of class A common stock are entitled to one (1) vote per share, and the holders of class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common stock are entitled to ten (10) votes per share at all stockholder meetings and on all matters submitted to our stockholders generally. The holders of class A common stock and class B common stock vote together as a single class, unless specifically provided in the Certificate of Incorporation or otherwise required by law. The DGCL could require holders of class A common stock or class B common stock, as the case may be, to vote separately as a single class if we were to seek to amend our Certificate of Incorporation either (i) to increase or decrease the par value of a class of stock, or (ii) in a manner that alters or changes the powers, preferences or special rights of a class of stock in a manner that affected its holders adversely.</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Holders of class A common stock and class B common stock are not allowed to vote on any amendment of our Certificate of Incorporation that relates only to the terms of a series of outstanding preferred stock for which the holders of such affected preferred stock have the right to vote under the Certificate of Incorporation or the DGCL.</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Stockholders do not have the ability to cumulate votes for the election of directors.</w:t>
      </w:r>
    </w:p>
    <w:p>
      <w:pPr>
        <w:spacing w:after="0" w:line="21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i w:val="1"/>
          <w:iCs w:val="1"/>
          <w:u w:val="single" w:color="auto"/>
          <w:color w:val="auto"/>
        </w:rPr>
        <w:t>Dividend Rights.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Subject to preferences that may apply to shares of preferred stock outstanding at the time, the holders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outstanding shares of our common stock are entitled to receive dividends out of assets legally available if our board of directors, in its discretion, determines to issue dividends and only then at the times and in the amounts that the board of directors may determine. If a dividend is paid in the form of shares of class A common stock or class B common stock, then the holders of class A common stock shall be entitled to receive shares of class A common stock, and holders of class B common stock shall be entitled to receive shares of class B common stock, with holders of shares of class A common stock and class B common stock receiving, on a per share basis, an identical number of shares of class A common stock or class B common stock, as applicable. The foregoing sentence also applies should the dividend be paid in rights to acquire, or securities convertible into or exchangeable for, class A and class B common stock. However, upon the approval by the affirmative vote of the holders of a majority of the outstanding shares of class A common stock and class B common stock, each voting separately as a class, our board may pay or make a disparate dividend per share of class A common stock or class B common stock (whether in the amount of such dividend payable per share, the form in which such dividend is payable, the timing of the payment, or otherwise).</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u w:val="single" w:color="auto"/>
          <w:color w:val="auto"/>
        </w:rPr>
        <w:t>Right to Receive Liquidation Distributions.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Upon our dissolution, liquidation or winding-up, the assets legally available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distribution to our stockholders are distributable ratably among the holders of common stock, subject to prior satisfaction of all outstanding debt and liabilities and the preferential rights and payment of liquidation preferences, if any, on any outstanding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11" w:name="page112"/>
    <w:bookmarkEnd w:id="111"/>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u w:val="single" w:color="auto"/>
          <w:color w:val="auto"/>
        </w:rPr>
        <w:t>Conversion.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share of class B common stock is convertible into one (1) share of class A common stock at the option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holder thereof at any time upon written notice to us. In addition, each share of class B common stock shall automatically convert into one (1) share of class A common stock (i) upon any transfer, other than certain transfers to controlled entities or, in the case of individuals, to trusts for estate planning purposes, as more fully described in our Certificate of Incorporation, of such class B common stock; (ii) upon the date specified by the holders of at least a majority of the then outstanding shares of class B common stock, voting as a separate class; or (iii) on the date that is five (5) years after the date the class A common stock is first registered under Section 12(b) or 12(g) of the Securities Exchange Act of 1934, as amended (the “Exchange Act”) (i.e., September 15, 2026).</w:t>
      </w:r>
    </w:p>
    <w:p>
      <w:pPr>
        <w:spacing w:after="0" w:line="19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u w:val="single" w:color="auto"/>
          <w:color w:val="auto"/>
        </w:rPr>
        <w:t>Other Dual Class Provisions.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general, the class A common stock and class B common stock are to be treated the same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the other and ratably, on a per share basis, in the case of distributions or payments in respect of the common stock, consolidations or mergers of Greenidge, or consideration to be received in a tender or exchange offer. However, in such transactions, the class A and class B common stock are permitted to receive different or disproportionate consideration or distributions (as the case may be) if the per share consideration or distribution in the form of securities issuable to a share of class B common stock has ten (10) times the voting power of securities issuable to a share of class A common stock or if the different or disproportionate consideration or distribution is approved by the affirmative vote of the holders of a majority of the class A common stock and class B common stock, each voting separately as a class.</w:t>
      </w:r>
    </w:p>
    <w:p>
      <w:pPr>
        <w:spacing w:after="0" w:line="18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u w:val="single" w:color="auto"/>
          <w:color w:val="auto"/>
        </w:rPr>
        <w:t>No Preemptive or Similar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common stock is not entitled to preemptive rights and is not subject to redemption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sinking fund provisions.</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i w:val="1"/>
          <w:iCs w:val="1"/>
          <w:u w:val="single" w:color="auto"/>
          <w:color w:val="auto"/>
        </w:rPr>
        <w:t>No Ownership Limitations or Transfer Restrictions.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common stock is not subject to any limitation on the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that may be held by holders, and except for the conversion feature of the class B common stock, the common stock is not by its terms subject to any transfer restrictions.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Under our Certificate of Incorporation, our board of directors may, without further action by our stockholders, fix the rights, preferences, privileges, and restrictions of up to an aggregate of 20,000,000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the common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We currently have no shares of preferred stock outstanding, all previously issued shares of preferred stock having been converted, retired, and canceled, and we have no present plan to issue any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b w:val="1"/>
          <w:bCs w:val="1"/>
          <w:color w:val="auto"/>
        </w:rPr>
        <w:t>Anti-takeover Effects of Delaware Law and Charter Provisions</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We have elected not to be governed by Section 203 of the DGCL, which prohibits a publicly held Delaware corporation from engaging in a business combination, except under certain circumstances, with an interested stockholder.</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Our Certificate of Incorporation and our amended and restated bylaws (our “Bylaws”) contain certain provisions that may have anti-takeover effects, making it more difficult for or preventing a third party from acquiring control of Greenidge or changing its board of directors and management.</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First, our Certificate of Incorporation provides that at any time when the class A common stock is registered under Section 12(b) or 12(g) of the Exchange Act, we cannot engage in a business combination (as described below) with an interested stockholder (as described below) for a period of three years from the time that the stockholder becomes an interested stockholder. This limitation does not apply if (i) our board has first approved the business combination or transaction by which the stockholder becomes an interested stockholder; (ii) upon consummation of the transaction by which the stockholder becomes an interested stockholder, the interested stockholder owns at least 85% of our then outstanding voting stock, excluding shares owned by persons who are directors and also officers and certain employee stock plans; or (iii) at or subsequent to such time, the business combination is approved by the board of directors and the affirmative vote of at least 66-2/3% of the outstanding voting stock not owned by the interested stockholder at an annual or special meeting of stockholders (not written consent).</w:t>
      </w:r>
    </w:p>
    <w:p>
      <w:pPr>
        <w:spacing w:after="0" w:line="17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An “interested stockholder” is any person, other than Greenidge or a direct or indirect majority-owned Greenidge subsidiary, that owns 15% or more of our outstanding voting stock or is an affiliate or associate of ours and was the owner of 15% or more of our outstanding voting stock at any time in the three years prior to the date on which the determination is sought, and the affiliates and associates of such person. An interested stockholder does not include any stockholder whose ownership exceeds the 15% limitation as the result of an action taken solely by us (but only to the extent that such stockholder does not acquire additional voting stock), nor Atlas Capital Resources L.P., its direct transferees, or their respective affiliates, associates, or member of a group under Rule 13d-5 of the Exchange Act. Business combinations prohibited by this provision include (i) a merger or consolidation of Greenidge or any direct or indirect majority-owned Greenidge subsidiary with the interested stockholder or any other entity if the merger or consolidation is caused by the interested stockholder, (ii) any sale, lease, exchange, mortgage, pledge, transfer or other disposition, except proportionately as a stockholder of Greenidge, to or with an interested stockholder (in one or a series of transactions) of assets of Greenidge or any direct or indirect majority-owned Greenidge subsidiary, which assets have an aggregate market value of 10% or more of either the aggregate market value of all our assets on a consolidated basis or of all of our outstanding stock, (iii) any transaction resulting in the issuance or transfer of our stock or subsidiary stock by Greenidge or a direct or indirect wholly-owned subsidiary to the interested stockholder, subject to certain exceptions including exercises or conversion of convertible securities, a merger, or transactions generally with all holders that do not increase the interested stockholder’s proportionate share ownership, (iv) any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8" w:right="339" w:bottom="1440" w:gutter="0" w:footer="0" w:header="0"/>
        </w:sectPr>
      </w:pPr>
    </w:p>
    <w:bookmarkStart w:id="113" w:name="page114"/>
    <w:bookmarkEnd w:id="113"/>
    <w:p>
      <w:pPr>
        <w:jc w:val="both"/>
        <w:spacing w:after="0" w:line="256" w:lineRule="auto"/>
        <w:rPr>
          <w:sz w:val="20"/>
          <w:szCs w:val="20"/>
          <w:color w:val="auto"/>
        </w:rPr>
      </w:pPr>
      <w:r>
        <w:rPr>
          <w:rFonts w:ascii="Times New Roman" w:cs="Times New Roman" w:eastAsia="Times New Roman" w:hAnsi="Times New Roman"/>
          <w:sz w:val="22"/>
          <w:szCs w:val="22"/>
          <w:color w:val="auto"/>
        </w:rPr>
        <w:t>involving us or any direct or indirect wholly-owned subsidiary with the direct or indirect effect of increasing the interested stockholder’s proportionate share of our stock or convertible securities or any subsidiary (on a non-immaterial basis), or (v) the interested stockholder’s receipt of the benefit of any loan, advance, guarantee, pledge or other financial benefit (other than those expressly permitted) provided by or through us or a director or indirect wholly-owned subsidiary.</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Further, our Certificate of Incorporation authorizes our board of directors to issue up to 20,000,000 shares of preferred stock without further stockholder approval. The preferred stock may be issued in one or more series, the terms of which may be determined at the time of issuance by the board of directors without further action by the stockholders. These terms may include preferences as to dividends and liquidation, conversion rights, redemption rights, and sinking fund provisions. The issuance of any preferred stock could diminish the rights of holders of common stock, and therefore could reduce the value of such common stock. In addition, specific rights granted to future holders of preferred stock could be used to restrict our ability to merge with, or sell assets to, a third party. The ability of the board of directors to issue preferred stock could make it more difficult, delay, discourage, prevent, or make it more costly to acquire or effect a change-in-control, which in turn could prevent stockholders from recognizing a gain in the event that a favorable offer is extended and could materially and negatively affect the market price of class A common stock.</w:t>
      </w:r>
    </w:p>
    <w:p>
      <w:pPr>
        <w:spacing w:after="0" w:line="20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Our Certificate of Incorporation vests solely in the board of directors the authority to establish the number of directors and fill any vacancies and newly created directorships. These provisions will prevent a stockholder from increasing the size of the board of directors and gaining control of the board of directors by filling the resulting vacancies with its own nominees. In addition, our Certificate of Incorporation provides that no member of the board of directors may be removed from office by stockholders without the affirmative vote of the majority in voting power of all of outstanding stock then entitled to vote thereon.</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Our Bylaws establish an advance notice procedure for stockholder proposals to be brought before an annual meeting of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who is entitled to vote at the meeting and who has given timely written notice, in proper form, of the stockholder’s intention to bring that business before the meeting. Although the Bylaws do not give the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9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Furthermore, neither the holders of common stock nor the holders of preferred stock have cumulative voting rights in the election of directors. The combination of the present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14" w:name="page115"/>
    <w:bookmarkEnd w:id="114"/>
    <w:p>
      <w:pPr>
        <w:jc w:val="both"/>
        <w:spacing w:after="0" w:line="257" w:lineRule="auto"/>
        <w:rPr>
          <w:sz w:val="20"/>
          <w:szCs w:val="20"/>
          <w:color w:val="auto"/>
        </w:rPr>
      </w:pPr>
      <w:r>
        <w:rPr>
          <w:rFonts w:ascii="Times New Roman" w:cs="Times New Roman" w:eastAsia="Times New Roman" w:hAnsi="Times New Roman"/>
          <w:sz w:val="22"/>
          <w:szCs w:val="22"/>
          <w:color w:val="auto"/>
        </w:rPr>
        <w:t>by a few stockholders of a significant portion of the issued and outstanding common stock and lack of cumulative voting makes it more difficult for other stockholders to replace the board of directors or for a third party to obtain control of us by replacing our board of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Charter Exclusive Forum Provisions</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Our Certificate of Incorporation provides that, unless we consent in writing to the selection of an alternative forum, the Court of Chancery of the State of Delaware shall, to the fullest extent permitted by law, be the sole and exclusive forum for (i) any derivative action or proceeding brought on behalf of us, (ii) any action asserting a claim of breach of a fiduciary duty owed by any of our current or former directors, officers, employees, or stockholders to us or our stockholders, (iii) any action asserting a claim arising pursuant to any provision of the DGCL or our Certificate of Incorporation or our Bylaws or as to which the DGCL confers jurisdiction on the Court of Chancery of the State of Delaware, or (iv) any action asserting a claim governed by the internal affairs doctrine of the laws of the State of Delaware. The Delaware exclusive forum provision described in the foregoing sentence does not apply to actions arising under the Exchange Act or the Securities Act. In this regard, it is noted that Section 27 of the Exchange Act creates exclusive federal jurisdiction over all suits brought to enforce any duty or liability created by the Exchange Act or the rules and regulations promulgated thereunder and, further, that investors cannot waive compliance with the federal securities laws and the rules and regulations thereunder. It is further noted that our Certificate of Incorporation also provides that, unless we consent in writing to the selection of an alternative forum, the U.S. federal district courts shall, to the fullest extent permitted by applicable law, be the exclusive forum for the resolution of any complaint asserting a cause of action arising under U.S. federal securities laws. Although our Certificate of Incorporation contains the federal exclusive forum provision described in the foregoing sentence, it is uncertain whether this provision would apply to actions arising under the Securities Act as it is possible that a court could rule that such provision is inapplicable for a particular claim or action or that such provision is unenforceable, particularly in light of Section 22 of the Securities Act, which creates concurrent jurisdiction for federal and state courts over all suits brought to enforce any duty or liability created by the Securities Act or the rules and regulations promulgated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have appointed Computershare Trust Company, N.A. as the transfer agent for our class A common stock. Its address is 462 South 4th Street, Suite 1600, Louisville, KY 40202, and its telephone number is +1 (781) 575 3120 or toll free 800 962 4284.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Our class A common stock is listed on The Nasdaq Global Select Market under the trading symbol “GREE.”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Description of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15" w:name="page116"/>
    <w:bookmarkEnd w:id="115"/>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We issued $72,200,000 in aggregate principal amount of 8.50% Senior Notes due 2026 under an indenture dated </w:t>
      </w:r>
      <w:r>
        <w:rPr>
          <w:rFonts w:ascii="Times New Roman" w:cs="Times New Roman" w:eastAsia="Times New Roman" w:hAnsi="Times New Roman"/>
          <w:sz w:val="22"/>
          <w:szCs w:val="22"/>
          <w:color w:val="auto"/>
        </w:rPr>
        <w:t>as</w:t>
      </w:r>
      <w:r>
        <w:rPr>
          <w:rFonts w:ascii="Times New Roman" w:cs="Times New Roman" w:eastAsia="Times New Roman" w:hAnsi="Times New Roman"/>
          <w:sz w:val="22"/>
          <w:szCs w:val="22"/>
          <w:i w:val="1"/>
          <w:iCs w:val="1"/>
          <w:color w:val="auto"/>
        </w:rPr>
        <w:t xml:space="preserve"> of October 13, 2021 (the “base indenture”) between the us and Wilmington Savings Fund Society, FSB as trustee (the “trustee”), as amended and supplemented by the first supplemental indenture dated as of October 13, 2021 (together with the base indenture, the “indenture”).</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The following description is only a summary of certain provisions of the indenture and the Notes (as defined below). The following summary does not purport to be complete and is subject to, and is qualified in its entirety by reference to, the indenture and to the Trust Indenture Act of 1939, as </w:t>
      </w:r>
      <w:r>
        <w:rPr>
          <w:rFonts w:ascii="Times New Roman" w:cs="Times New Roman" w:eastAsia="Times New Roman" w:hAnsi="Times New Roman"/>
          <w:sz w:val="22"/>
          <w:szCs w:val="22"/>
          <w:color w:val="auto"/>
        </w:rPr>
        <w:t>amended</w:t>
      </w:r>
      <w:r>
        <w:rPr>
          <w:rFonts w:ascii="Times New Roman" w:cs="Times New Roman" w:eastAsia="Times New Roman" w:hAnsi="Times New Roman"/>
          <w:sz w:val="22"/>
          <w:szCs w:val="22"/>
          <w:i w:val="1"/>
          <w:iCs w:val="1"/>
          <w:color w:val="auto"/>
        </w:rPr>
        <w:t xml:space="preserve"> (the “Trust Indenture Act”), and to all of the provisions of the indenture and those terms made a part of the indenture by reference to the Trust Indenture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We issued $55,200,000 in aggregate principal amount of 8.50% Senior Notes due 2026 on October 13, 2021 (the “Original Notes”) and issued an additional $17,000,000 in aggregate principal amount of 8.50% Senior Notes due 2026 on December 7, 2021 (the “Additional Notes,” and together with the Original Notes, the “Notes”). The Additional Notes rank equally in right of payment with, are fully fungible, and form a single series with the Original Notes for all purposes under the indenture, including without limitation, waivers, amendments, consents, redemptions, and other offers to purchase and voting.</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of December 31, 2023, the total amount of Notes outstanding was $72,200,000.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Notes:</w:t>
      </w:r>
    </w:p>
    <w:p>
      <w:pPr>
        <w:spacing w:after="0" w:line="220"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our general unsecured, senior obligations;</w:t>
      </w:r>
    </w:p>
    <w:p>
      <w:pPr>
        <w:spacing w:after="0" w:line="219"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mature on October 31, 2026 unless earlier redeemed or repurchased, and 100% of the aggregate principal amount will be paid at maturity;</w:t>
      </w:r>
    </w:p>
    <w:p>
      <w:pPr>
        <w:spacing w:after="0" w:line="171" w:lineRule="exact"/>
        <w:rPr>
          <w:rFonts w:ascii="Times New Roman" w:cs="Times New Roman" w:eastAsia="Times New Roman" w:hAnsi="Times New Roman"/>
          <w:sz w:val="22"/>
          <w:szCs w:val="22"/>
          <w:color w:val="auto"/>
        </w:rPr>
      </w:pPr>
    </w:p>
    <w:p>
      <w:pPr>
        <w:ind w:left="980" w:right="20" w:hanging="324"/>
        <w:spacing w:after="0" w:line="271" w:lineRule="auto"/>
        <w:tabs>
          <w:tab w:leader="none" w:pos="97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bear cash interest from October 13, 2021 at an annual rate of 8.50%, payable quarterly in arrears on January 31, April 30, July 31, and October 31 of each year, beginning on January 31, 2022, and at maturity;</w:t>
      </w:r>
    </w:p>
    <w:p>
      <w:pPr>
        <w:spacing w:after="0" w:line="157"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redeemable at our option, in whole or in part, at any time on or after October 31, 2023, at the prices and on the terms described under “-Optional Redemption” below;</w:t>
      </w:r>
    </w:p>
    <w:p>
      <w:pPr>
        <w:spacing w:after="0" w:line="15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issued in denominations of $25 and integral multiples of $25 in excess thereof;</w:t>
      </w:r>
    </w:p>
    <w:p>
      <w:pPr>
        <w:spacing w:after="0" w:line="23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have a sinking fund;</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listed on the Nasdaq Global Select Market under the symbol “GREEL”;</w:t>
      </w:r>
    </w:p>
    <w:p>
      <w:pPr>
        <w:spacing w:after="0" w:line="219" w:lineRule="exact"/>
        <w:rPr>
          <w:rFonts w:ascii="Times New Roman" w:cs="Times New Roman" w:eastAsia="Times New Roman" w:hAnsi="Times New Roman"/>
          <w:sz w:val="22"/>
          <w:szCs w:val="22"/>
          <w:color w:val="auto"/>
        </w:rPr>
      </w:pPr>
    </w:p>
    <w:p>
      <w:pPr>
        <w:ind w:left="980" w:right="20" w:hanging="324"/>
        <w:spacing w:after="0" w:line="271" w:lineRule="auto"/>
        <w:tabs>
          <w:tab w:leader="none" w:pos="97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represented by one or more registered Notes in global form, but in certain limited circumstances may be represented by Notes in definitive 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8" w:right="339" w:bottom="1440" w:gutter="0" w:footer="0" w:header="0"/>
        </w:sectPr>
      </w:pPr>
    </w:p>
    <w:bookmarkStart w:id="116" w:name="page117"/>
    <w:bookmarkEnd w:id="116"/>
    <w:p>
      <w:pPr>
        <w:ind w:left="980" w:right="20" w:hanging="324"/>
        <w:spacing w:after="0" w:line="271" w:lineRule="auto"/>
        <w:tabs>
          <w:tab w:leader="none" w:pos="9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are redeemable at our option, in whole, but not in part, at any time upon the occurrence of certain change of control events, at the prices and on the terms described under “-Optional Redemption Upon Change of Control” below.</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indenture does not limit the amount of indebtedness that we or our subsidiaries may issue. The indenture does not contain any financial covenants and does not restrict us from paying dividends, issuing, or repurchasing our other securities. Other than restrictions described under “-Covenants-Merger,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We may from time to time, without the consent of the existing holders, issue further additional Notes having the same terms as to status, redemption or otherwise (except the price to public, the issue date and, if applicable, the initial interest accrual date and the initial interest payment date) that may constitute a single fungible series with the Notes; provided that if any such additional Notes are not fungible with the Notes initially offered hereby for U.S. federal income tax purposes, such additional Notes will have one or more separate CUSIP numbers. For the avoidance of doubt, such additional Notes will still constitute a single series with all other Notes issued under the indenture for all purposes, including waivers, amendments, redemptions, and offers to purchase.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Ranking</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Notes are senior unsecured obligations of the Company, and, upon our liquidation, dissolution or winding up, will rank (i) senior to the outstanding shares of our common stock, (ii) senior to any of our future subordinated debt, (iii)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(or equally) with our existing and future unsecured and unsubordinated indebtedness, (iv) effectively subordinated to any existing or future secured indebtedness (including indebtedness that is initially unsecured to which we subsequently grant security), to the extent of the value of the assets securing such indebtedness, and (v) structurally subordinated to all existing and future indebtedness of our subsidiaries, financing vehicles or similar facilities. The Notes are obligations solely of the Company and are not guaranteed by any of our subsidiaries.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We derive substantially all of our operating income and cash flow from our investments in our subsidiaries. Claims of creditors of our subsidiaries generally have priority with respect to the assets and earnings of such subsidiaries over the claims of our creditors, including holders of the Notes. As a result, the Notes are effectively subordinated to creditors, including trade creditors and preferred stockholders, if any, other than us, of our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Interest</w:t>
      </w:r>
    </w:p>
    <w:p>
      <w:pPr>
        <w:spacing w:after="0" w:line="224"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Interest on the Notes accrues at an annual rate equal to 8.50% from and including October 13, 2021 to, but excluding, the maturity date or earlier acceleration or redemption and is payable quarterly in arrears on January 31, April 30, July 31 and October 31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17" w:name="page118"/>
    <w:bookmarkEnd w:id="117"/>
    <w:p>
      <w:pPr>
        <w:jc w:val="both"/>
        <w:spacing w:after="0" w:line="257" w:lineRule="auto"/>
        <w:rPr>
          <w:sz w:val="20"/>
          <w:szCs w:val="20"/>
          <w:color w:val="auto"/>
        </w:rPr>
      </w:pPr>
      <w:r>
        <w:rPr>
          <w:rFonts w:ascii="Times New Roman" w:cs="Times New Roman" w:eastAsia="Times New Roman" w:hAnsi="Times New Roman"/>
          <w:sz w:val="22"/>
          <w:szCs w:val="22"/>
          <w:color w:val="auto"/>
        </w:rPr>
        <w:t>beginning on January 31, 2022 and at maturity, to the holders of record at the close of business on the immediately preceding January 15, April 15, July 15 and October 15 (and October 15 immediately preceding the maturity date), as applicable (whether or not a business day).</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initial interest period for the Notes was the period from and including October 13, 2021, to, but excluding, January 31, 2022, and subsequent interest periods are the periods from and including an interest payment date to, but excluding, the next interest payment date or the stated maturity date, as the case may be. The amount of interest payable for any interest period, including interest payable for any partial interest period, is computed on the basis of a 360-day year comprised of twelve 30-day months. If an interest payment date falls on a non-business day, the applicable interest payment will be made on the next business day and no additional interest will accrue as a result of such delayed payment.</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“Business day” means, for any place where the principal and interest on the Notes is payable, each Monday, Tuesday, Wednesday, Thursday, and Friday which is not a day in which banking institutions in New York or Wilmington, Delaware are authorized or obligated by law or executive order to close.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Optional Redemption</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Notes may be redeemed for cash in whole or in part at any time at our option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each case, redemption shall be upon notice not fewer than 10 days and not more than 60 days prior to the date fixed for redemption, except that redemption notices may be delivered more than 60 days prior to a redemption date if the notice is issued in connection with a defeasance of the Notes or a discharge of the indenture. Notices of redemption may be subject to satisfaction or waiver of one or more conditions precedent specified in the notice of redemption.</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If less than all of the Notes are to be redeemed, the particular Notes to be redeemed will be selected not more than 45 days prior to the redemption date by the trustee from the outstanding Notes not previously called for redemption, by lot, or in the trustee’s discretion,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provided that the unredeemed portion of the principal amount of any Notes will be in an authorized denomination (which will not be less than the minimum authorized denomination) for such Notes. The trustee will promptly notify us in writing of the Notes selected for redemption and, in the case of any Notes selected for partial redemption, the principal amount thereof to be redeemed. Beneficial interests in any of the Notes or portions thereof called for redemption that are registered in the name of DTC or its nominee will be selected by DTC in accordance with DTC’s applicable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18" w:name="page119"/>
    <w:bookmarkEnd w:id="118"/>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trustee shall have no obligation to calculate any redemption price or any component thereof, and the trustee shall be entitled to receive and conclusively rely upon an officer’s certificate delivered by the Company that specifies any redemption price.</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we default on the payment of the redemption price, on and after the date of redemption, interest will cease to accrue on the Notes called for redemption.</w:t>
      </w:r>
    </w:p>
    <w:p>
      <w:pPr>
        <w:spacing w:after="0" w:line="158" w:lineRule="exact"/>
        <w:rPr>
          <w:sz w:val="20"/>
          <w:szCs w:val="20"/>
          <w:color w:val="auto"/>
        </w:rPr>
      </w:pPr>
    </w:p>
    <w:p>
      <w:pPr>
        <w:ind w:right="720" w:firstLine="648"/>
        <w:spacing w:after="0" w:line="448" w:lineRule="auto"/>
        <w:rPr>
          <w:sz w:val="20"/>
          <w:szCs w:val="20"/>
          <w:color w:val="auto"/>
        </w:rPr>
      </w:pPr>
      <w:r>
        <w:rPr>
          <w:rFonts w:ascii="Times New Roman" w:cs="Times New Roman" w:eastAsia="Times New Roman" w:hAnsi="Times New Roman"/>
          <w:sz w:val="22"/>
          <w:szCs w:val="22"/>
          <w:color w:val="auto"/>
        </w:rPr>
        <w:t xml:space="preserve">We may at any time, and from time to time, purchase Notes at any price or prices in the open market or otherwise. </w:t>
      </w:r>
      <w:r>
        <w:rPr>
          <w:rFonts w:ascii="Times New Roman" w:cs="Times New Roman" w:eastAsia="Times New Roman" w:hAnsi="Times New Roman"/>
          <w:sz w:val="22"/>
          <w:szCs w:val="22"/>
          <w:b w:val="1"/>
          <w:bCs w:val="1"/>
          <w:color w:val="auto"/>
        </w:rPr>
        <w:t>Optional Redemption Upon Change of Control</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Notes may be redeemed for cash in whole but not in part at our option at any time within 90 days of the occurrence of a Change of Control, at a price equal to 100.5% of their principal amount, plus accrued and unpaid interest to, but excluding, the date of redemption. Redemption shall be upon notice not fewer than 10 days and not more than 60 days prior to the date fixed for redemption. Notices of redemption may be subject to satisfaction or waiver of one or more conditions precedent specified in the notice of redemption.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“Change of Control” will be deemed to have occurred at the time after the Notes are originally issued if:</w:t>
      </w:r>
    </w:p>
    <w:p>
      <w:pPr>
        <w:spacing w:after="0" w:line="220" w:lineRule="exact"/>
        <w:rPr>
          <w:sz w:val="20"/>
          <w:szCs w:val="20"/>
          <w:color w:val="auto"/>
        </w:rPr>
      </w:pPr>
    </w:p>
    <w:p>
      <w:pPr>
        <w:jc w:val="both"/>
        <w:ind w:left="660" w:hanging="4"/>
        <w:spacing w:after="0" w:line="253" w:lineRule="auto"/>
        <w:tabs>
          <w:tab w:leader="none" w:pos="116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used in Sections 13(d) and 14(d) of the Exchange Act) is or becomes the “Beneficial Owner” (as defined in Rules 13d-3 and 13d-5 under the Exchange Act), except that for purposes of this clause (1) such Person shall be deemed to have “Beneficial Ownership” of all shares that any such Person has the right to acquire, whether such right is exercisable immediately or only after the passage of time), directly or indirectly, of more than 50.0% of the total voting power of the Voting Stock of the Company;</w:t>
      </w:r>
    </w:p>
    <w:p>
      <w:pPr>
        <w:spacing w:after="0" w:line="178" w:lineRule="exact"/>
        <w:rPr>
          <w:rFonts w:ascii="Times New Roman" w:cs="Times New Roman" w:eastAsia="Times New Roman" w:hAnsi="Times New Roman"/>
          <w:sz w:val="22"/>
          <w:szCs w:val="22"/>
          <w:color w:val="auto"/>
        </w:rPr>
      </w:pPr>
    </w:p>
    <w:p>
      <w:pPr>
        <w:jc w:val="both"/>
        <w:ind w:left="660" w:hanging="4"/>
        <w:spacing w:after="0" w:line="250" w:lineRule="auto"/>
        <w:tabs>
          <w:tab w:leader="none" w:pos="113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or consolidation of the Company with or into another Person or the merger of another Person with or into the Company, or the sale of all or substantially all the assets of the Company (determined on a consolidated basis) to another Person other than a transaction following which, in the case of a merger or consolidation transaction, holders of securities that represented 100.0% of the Voting Stock of the Company immediately prior to such transaction (or other securities into which such securities are converted as part of such merger or consolidation transaction) own directly or indirectly at least a majority of the voting power of the Voting Stock of the surviving Person in such merger or consolidation transaction immediately after such transaction and in substantially the same proportion as before the transaction;</w:t>
      </w:r>
    </w:p>
    <w:p>
      <w:pPr>
        <w:spacing w:after="0" w:line="186" w:lineRule="exact"/>
        <w:rPr>
          <w:rFonts w:ascii="Times New Roman" w:cs="Times New Roman" w:eastAsia="Times New Roman" w:hAnsi="Times New Roman"/>
          <w:sz w:val="22"/>
          <w:szCs w:val="22"/>
          <w:color w:val="auto"/>
        </w:rPr>
      </w:pPr>
    </w:p>
    <w:p>
      <w:pPr>
        <w:ind w:left="660" w:hanging="4"/>
        <w:spacing w:after="0" w:line="271" w:lineRule="auto"/>
        <w:tabs>
          <w:tab w:leader="none" w:pos="129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Directors” (as defined below) cease to constitute at least a majority of the Company’s board of directors; or</w:t>
      </w:r>
    </w:p>
    <w:p>
      <w:pPr>
        <w:spacing w:after="0" w:line="157" w:lineRule="exact"/>
        <w:rPr>
          <w:rFonts w:ascii="Times New Roman" w:cs="Times New Roman" w:eastAsia="Times New Roman" w:hAnsi="Times New Roman"/>
          <w:sz w:val="22"/>
          <w:szCs w:val="22"/>
          <w:color w:val="auto"/>
        </w:rPr>
      </w:pPr>
    </w:p>
    <w:p>
      <w:pPr>
        <w:ind w:left="660" w:hanging="4"/>
        <w:spacing w:after="0" w:line="271" w:lineRule="auto"/>
        <w:tabs>
          <w:tab w:leader="none" w:pos="114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Notes fail, or at any point cease, to be listed on the Nasdaq Global Select Market or another national securities exchange. For the avoidance of doubt, it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19" w:name="page120"/>
    <w:bookmarkEnd w:id="119"/>
    <w:p>
      <w:pPr>
        <w:ind w:left="660"/>
        <w:spacing w:after="0" w:line="271" w:lineRule="auto"/>
        <w:rPr>
          <w:sz w:val="20"/>
          <w:szCs w:val="20"/>
          <w:color w:val="auto"/>
        </w:rPr>
      </w:pPr>
      <w:r>
        <w:rPr>
          <w:rFonts w:ascii="Times New Roman" w:cs="Times New Roman" w:eastAsia="Times New Roman" w:hAnsi="Times New Roman"/>
          <w:sz w:val="22"/>
          <w:szCs w:val="22"/>
          <w:color w:val="auto"/>
        </w:rPr>
        <w:t>a Change of Control if the Notes are subsequently listed on a different national securities exchange and the prior listing on the Nasdaq Global Select market is terminated.</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“Continuing Director” means a director who either was a member of our board of directors on the issue date of the Notes or who becomes a member of our board of directors subsequent to that date and whose election, appointment or nomination for election by our stockholders is duly approved by a majority of the continuing directors on our board of directors at the time of such approval by such election or appointment.</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“Voting Stock” of any specified Person as of any date means the Capital Stock of such Person that is at the time entitled to vote generally in the election of the Board of Directors of such Person.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Holders of our Notes have rights if an Event of Default occurs in respect of the Notes and is not cured, as described later in this subsection. The term “Event of Default” in respect of the Notes means any of the following:</w:t>
      </w:r>
    </w:p>
    <w:p>
      <w:pPr>
        <w:spacing w:after="0" w:line="158" w:lineRule="exact"/>
        <w:rPr>
          <w:sz w:val="20"/>
          <w:szCs w:val="20"/>
          <w:color w:val="auto"/>
        </w:rPr>
      </w:pPr>
    </w:p>
    <w:p>
      <w:pPr>
        <w:ind w:left="980" w:hanging="319"/>
        <w:spacing w:after="0"/>
        <w:tabs>
          <w:tab w:leader="none" w:pos="9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do not pay interest on any Note when due, and such default is not cured within 30 days;</w:t>
      </w:r>
    </w:p>
    <w:p>
      <w:pPr>
        <w:spacing w:after="0" w:line="219"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do not pay the principal of the Notes when due and payable;</w:t>
      </w:r>
    </w:p>
    <w:p>
      <w:pPr>
        <w:spacing w:after="0" w:line="219" w:lineRule="exact"/>
        <w:rPr>
          <w:rFonts w:ascii="Times New Roman" w:cs="Times New Roman" w:eastAsia="Times New Roman" w:hAnsi="Times New Roman"/>
          <w:sz w:val="22"/>
          <w:szCs w:val="22"/>
          <w:color w:val="auto"/>
        </w:rPr>
      </w:pPr>
    </w:p>
    <w:p>
      <w:pPr>
        <w:jc w:val="both"/>
        <w:ind w:left="980" w:hanging="319"/>
        <w:spacing w:after="0" w:line="263" w:lineRule="auto"/>
        <w:tabs>
          <w:tab w:leader="none" w:pos="97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breach any covenant or warranty in the indenture with respect to the Notes and such breach continues for 60 days after we receive a written notice of such breach from the trustee or the holders of at least 25% of the principal amount of the Notes; and</w:t>
      </w:r>
    </w:p>
    <w:p>
      <w:pPr>
        <w:spacing w:after="0" w:line="167" w:lineRule="exact"/>
        <w:rPr>
          <w:rFonts w:ascii="Times New Roman" w:cs="Times New Roman" w:eastAsia="Times New Roman" w:hAnsi="Times New Roman"/>
          <w:sz w:val="22"/>
          <w:szCs w:val="22"/>
          <w:color w:val="auto"/>
        </w:rPr>
      </w:pPr>
    </w:p>
    <w:p>
      <w:pPr>
        <w:ind w:left="980" w:right="20" w:hanging="319"/>
        <w:spacing w:after="0" w:line="271" w:lineRule="auto"/>
        <w:tabs>
          <w:tab w:leader="none" w:pos="9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certain specified events of bankruptcy, insolvency, or reorganization occur and remain undischarged or unstayed for a period of 90 days.</w:t>
      </w:r>
    </w:p>
    <w:p>
      <w:pPr>
        <w:spacing w:after="0" w:line="158"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1"/>
          <w:szCs w:val="21"/>
          <w:color w:val="auto"/>
        </w:rPr>
        <w:t>The trustee may withhold notice to the holders of the Notes of any default, except in the payment of principal, premium, if any, or interest, if the trustee in good faith determines the withholding of notice to be in the interest of the holders of the Notes.</w:t>
      </w:r>
    </w:p>
    <w:p>
      <w:pPr>
        <w:spacing w:after="0" w:line="1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year, we will furnish to the trustee a written statement of certain of our officers certifying that to their knowledge we are in compliance with the indenture and the Notes, or else specifying any default, its status, and what actions we are taking or propose to take with respect thereto.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Remedies if an Event of Default Occurs</w:t>
      </w:r>
    </w:p>
    <w:p>
      <w:pPr>
        <w:spacing w:after="0" w:line="23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an Event of Default has occurred and is continuing, the trustee or the holders of not less than 25% of the outstanding principal amount of the Notes may declare the entire principal amount of the Notes, together with accrued and unpaid interest, if any, to be due and payable immediately by a notice in writing to us and, if notice is given by the holders of the Notes,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20" w:name="page121"/>
    <w:bookmarkEnd w:id="120"/>
    <w:p>
      <w:pPr>
        <w:jc w:val="both"/>
        <w:spacing w:after="0" w:line="256" w:lineRule="auto"/>
        <w:rPr>
          <w:sz w:val="20"/>
          <w:szCs w:val="20"/>
          <w:color w:val="auto"/>
        </w:rPr>
      </w:pPr>
      <w:r>
        <w:rPr>
          <w:rFonts w:ascii="Times New Roman" w:cs="Times New Roman" w:eastAsia="Times New Roman" w:hAnsi="Times New Roman"/>
          <w:sz w:val="22"/>
          <w:szCs w:val="22"/>
          <w:color w:val="auto"/>
        </w:rPr>
        <w:t>trustee. This is called an “acceleration of maturity.” If the Event of Default occurs in relation to our filing for bankruptcy or certain other events of bankruptcy, insolvency, or reorganization occur, the principal amount of the Notes, together with accrued and unpaid interest, if any, will automatically, and without any declaration or other action on the part of the trustee or the holders, become immediately due and payable.</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At any time after a declaration of acceleration of the Notes has been made by the trustee or the holders of the Notes, and before any judgment or decree for payment of money due has been obtained by the trustee, the holders of a majority of the outstanding principal of the Notes, by written notice to us and the trustee, may rescind and annul such declaration and its consequences if (i) we have paid or deposited with the trustee all amounts due and owed with respect to the Notes (other than principal that has become due solely by reason of such acceleration) and certain other amounts, and (ii) any other Events of Default have been cured or waived.</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At our election, the sole remedy with respect to an Event of Default due to our failure to comply with certain reporting requirements under the Trust Indenture Act or under “-Covenants-Reporting” below, for the first 180 calendar days after the occurrence of such Event of Default, consists exclusively of the right to receive additional interest on the Notes at an annual rate equal to (1) 0.25% for the first 90 calendar days after such default and (2) 0.50% for calendar days 91 through 180 after such default. On the 181st day after such Event of Default, if such violation is not cured or waived, the trustee or the holders of not less than 25% of the outstanding principal amount of the Notes may declare the principal, together with accrued and unpaid interest, if any, on the Notes to be due and payable immediately. If we choose to pay such additional interest, we must notify the trustee and the holders of the Notes by certificate of our election at any time on or before the close of business on the first business day following the Event of Default and we shall deliver to the trustee an officer’s certificate (upon which the trustee may rely conclusively) to that effect stating (i) the amount of such additional interest that is payable and (ii) the date on which such additional interest is payable. Unless and until the trustee receives such a certificate, the trustee may assume without inquiry that no such additional interest is payable and the trustee shall not have any duty to verify our calculations of additional interest.</w:t>
      </w:r>
    </w:p>
    <w:p>
      <w:pPr>
        <w:spacing w:after="0" w:line="17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Before a holder of the Notes is allowed to bypass the trustee and bring a lawsuit or other formal legal action or take other steps to enforce such holder’s rights relating to the Notes, the following must occur:</w:t>
      </w:r>
    </w:p>
    <w:p>
      <w:pPr>
        <w:spacing w:after="0" w:line="171" w:lineRule="exact"/>
        <w:rPr>
          <w:sz w:val="20"/>
          <w:szCs w:val="20"/>
          <w:color w:val="auto"/>
        </w:rPr>
      </w:pPr>
    </w:p>
    <w:p>
      <w:pPr>
        <w:ind w:left="980" w:hanging="319"/>
        <w:spacing w:after="0"/>
        <w:tabs>
          <w:tab w:leader="none" w:pos="9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must give the trustee written notice that the Event of Default has occurred and remains uncured;</w:t>
      </w:r>
    </w:p>
    <w:p>
      <w:pPr>
        <w:spacing w:after="0" w:line="219"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at least 25% of the outstanding principal of the Notes must have made a written request to the trustee to institute proceedings in respect of such Event of Default in its own name as trustee;</w:t>
      </w:r>
    </w:p>
    <w:p>
      <w:pPr>
        <w:spacing w:after="0" w:line="157"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or holders must have offered to the trustee indemnity satisfactory to the trustee against the costs, expenses, and liabilities to be incurred in compliance with such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21" w:name="page122"/>
    <w:bookmarkEnd w:id="121"/>
    <w:p>
      <w:pPr>
        <w:ind w:left="980" w:hanging="319"/>
        <w:spacing w:after="0" w:line="271" w:lineRule="auto"/>
        <w:tabs>
          <w:tab w:leader="none" w:pos="97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for 60 days after its receipt of such notice, request and offer of indemnity has failed to institute any such proceeding; and</w:t>
      </w:r>
    </w:p>
    <w:p>
      <w:pPr>
        <w:spacing w:after="0" w:line="157" w:lineRule="exact"/>
        <w:rPr>
          <w:rFonts w:ascii="Times New Roman" w:cs="Times New Roman" w:eastAsia="Times New Roman" w:hAnsi="Times New Roman"/>
          <w:sz w:val="22"/>
          <w:szCs w:val="22"/>
          <w:color w:val="auto"/>
        </w:rPr>
      </w:pPr>
    </w:p>
    <w:p>
      <w:pPr>
        <w:ind w:left="980" w:hanging="319"/>
        <w:spacing w:after="0" w:line="284"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 direction inconsistent with such written request has been given to the trustee during such 60-day period by holders of a majority of the outstanding principal of the Notes.</w:t>
      </w:r>
    </w:p>
    <w:p>
      <w:pPr>
        <w:spacing w:after="0" w:line="14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 delay or omission in exercising any right or remedy will be treated as a waiver of that right, remedy, or Event of Default.</w:t>
      </w:r>
    </w:p>
    <w:p>
      <w:pPr>
        <w:spacing w:after="0" w:line="158"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21"/>
          <w:szCs w:val="21"/>
          <w:color w:val="auto"/>
        </w:rPr>
        <w:t>The holders of a majority in principal amount of the outstanding Notes may waive any default or Event of Default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Subject to the terms of the indenture, if an Event of Default occurs and continues, the trustee is under no obligation to exercise any of its rights or powers under the indenture at the request or direction of any of the holders, unless such holders have offered the trustee security or indemnity satisfactory to the trustee. The holders of a majority in principal amount of the outstanding Notes has the right to direct the time, method, and place of conducting any proceeding for any remedy available to the trustee, or exercising any trust or power conferred on the trustee, with respect to the Notes, provided that:</w:t>
      </w:r>
    </w:p>
    <w:p>
      <w:pPr>
        <w:spacing w:after="0" w:line="194" w:lineRule="exact"/>
        <w:rPr>
          <w:sz w:val="20"/>
          <w:szCs w:val="20"/>
          <w:color w:val="auto"/>
        </w:rPr>
      </w:pPr>
    </w:p>
    <w:p>
      <w:pPr>
        <w:jc w:val="both"/>
        <w:ind w:left="980" w:hanging="319"/>
        <w:spacing w:after="0" w:line="257" w:lineRule="auto"/>
        <w:tabs>
          <w:tab w:leader="none" w:pos="97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direction so given by the holder is not in conflict with any law or the indenture, nor does it subject the trustee to a risk of personal liability in respect of which the trustee has not received indemnification satisfactory to it in its sole discretion against all losses, liabilities and expenses caused by taking or not taking such action; and</w:t>
      </w:r>
    </w:p>
    <w:p>
      <w:pPr>
        <w:spacing w:after="0" w:line="172"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trustee may take any other action deemed proper by the trustee which is not inconsistent with such direction.</w:t>
      </w:r>
    </w:p>
    <w:p>
      <w:pPr>
        <w:spacing w:after="0" w:line="22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A holder of the Notes has the right to institute a proceeding under the indenture or to appoint a receiver or trustee, or to seek other remedies only if:</w:t>
      </w:r>
    </w:p>
    <w:p>
      <w:pPr>
        <w:spacing w:after="0" w:line="144" w:lineRule="exact"/>
        <w:rPr>
          <w:sz w:val="20"/>
          <w:szCs w:val="20"/>
          <w:color w:val="auto"/>
        </w:rPr>
      </w:pPr>
    </w:p>
    <w:p>
      <w:pPr>
        <w:ind w:left="980" w:hanging="319"/>
        <w:spacing w:after="0"/>
        <w:tabs>
          <w:tab w:leader="none" w:pos="9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has given written notice to the trustee of a continuing Event of Default;</w:t>
      </w:r>
    </w:p>
    <w:p>
      <w:pPr>
        <w:spacing w:after="0" w:line="219" w:lineRule="exact"/>
        <w:rPr>
          <w:rFonts w:ascii="Times New Roman" w:cs="Times New Roman" w:eastAsia="Times New Roman" w:hAnsi="Times New Roman"/>
          <w:sz w:val="22"/>
          <w:szCs w:val="22"/>
          <w:color w:val="auto"/>
        </w:rPr>
      </w:pPr>
    </w:p>
    <w:p>
      <w:pPr>
        <w:jc w:val="both"/>
        <w:ind w:left="980" w:hanging="319"/>
        <w:spacing w:after="0" w:line="256" w:lineRule="auto"/>
        <w:tabs>
          <w:tab w:leader="none" w:pos="97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at least 25% in aggregate principal amount of the then-outstanding Notes have made written request to the trustee to institute proceedings in respect of such Event of Default in its own name as trustee under the indenture, and such holders have offered security or indemnity satisfactory to the trustee to institute the proceeding as trustee; and</w:t>
      </w:r>
    </w:p>
    <w:p>
      <w:pPr>
        <w:spacing w:after="0" w:line="176" w:lineRule="exact"/>
        <w:rPr>
          <w:rFonts w:ascii="Times New Roman" w:cs="Times New Roman" w:eastAsia="Times New Roman" w:hAnsi="Times New Roman"/>
          <w:sz w:val="22"/>
          <w:szCs w:val="22"/>
          <w:color w:val="auto"/>
        </w:rPr>
      </w:pPr>
    </w:p>
    <w:p>
      <w:pPr>
        <w:ind w:left="980" w:right="20" w:hanging="319"/>
        <w:spacing w:after="0" w:line="295" w:lineRule="auto"/>
        <w:tabs>
          <w:tab w:leader="none" w:pos="97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the trustee does not institute the proceeding, and does not receive from the holders of a majority in aggregate principal amount of the outstanding Notes other conflicting directions within 60 days after the notice, request and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22" w:name="page123"/>
    <w:bookmarkEnd w:id="122"/>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These limitations do not apply to a suit instituted by a holder if we default in the payment of the principal, premium, if any, or interest on, the Notes.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Waiver of Defaults</w:t>
      </w:r>
    </w:p>
    <w:p>
      <w:pPr>
        <w:spacing w:after="0" w:line="23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The holders of not less than a majority of the outstanding principal amount of the Notes may on behalf of the holders of all Notes waive any past default with respect to the Notes other than (i) a default in the payment of principal, premium, if any, or interest on the Notes when such payments are due and payable (other than by acceleration as described above), or (ii) in respect of a covenant that cannot per the terms of the indenture be modified or amended without the consent of each holder of Notes.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addition to standard covenants relating to payment of principal, premium, if any, and interest, maintaining an office where payments may be made or securities can be surrendered for payment, payment of taxes by us, and related matters, the following covenants apply to the Notes.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Merger, Consolidation or Sale of Assets</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indenture provides that we will not merge or consolidate with or into any other person (other than a merger of a wholly owned subsidiary into us), or sell, transfer, lease, convey, or otherwise dispose of all or substantially all our property in any one transaction or series of related transactions unless:</w:t>
      </w:r>
    </w:p>
    <w:p>
      <w:pPr>
        <w:spacing w:after="0" w:line="167" w:lineRule="exact"/>
        <w:rPr>
          <w:sz w:val="20"/>
          <w:szCs w:val="20"/>
          <w:color w:val="auto"/>
        </w:rPr>
      </w:pPr>
    </w:p>
    <w:p>
      <w:pPr>
        <w:jc w:val="both"/>
        <w:ind w:left="980" w:hanging="319"/>
        <w:spacing w:after="0" w:line="257" w:lineRule="auto"/>
        <w:tabs>
          <w:tab w:leader="none" w:pos="97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are the surviving entity or the entity (if other than us) formed by such merger or consolidation or to which such sale, transfer, lease, conveyance, or disposition is made will be a corporation or limited liability company organized and existing under the laws of the United States of America, any state thereof or the District of Columbia;</w:t>
      </w:r>
    </w:p>
    <w:p>
      <w:pPr>
        <w:spacing w:after="0" w:line="172" w:lineRule="exact"/>
        <w:rPr>
          <w:rFonts w:ascii="Times New Roman" w:cs="Times New Roman" w:eastAsia="Times New Roman" w:hAnsi="Times New Roman"/>
          <w:sz w:val="22"/>
          <w:szCs w:val="22"/>
          <w:color w:val="auto"/>
        </w:rPr>
      </w:pPr>
    </w:p>
    <w:p>
      <w:pPr>
        <w:jc w:val="both"/>
        <w:ind w:left="980" w:hanging="319"/>
        <w:spacing w:after="0" w:line="256" w:lineRule="auto"/>
        <w:tabs>
          <w:tab w:leader="none" w:pos="97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surviving entity (if other than us) expressly assumes, by supplemental indenture in form reasonably satisfactory to the trustee, executed and delivered to the trustee by such surviving entity, the due and punctual payment of the principal of, and premium, if any, and interest on, all the Notes outstanding, and the due and punctual performance and observance of all the covenants and conditions of the indenture to be performed by us;</w:t>
      </w:r>
    </w:p>
    <w:p>
      <w:pPr>
        <w:spacing w:after="0" w:line="176"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or series of related transactions, no default or Event of Default has occurred and is continuing; and</w:t>
      </w:r>
    </w:p>
    <w:p>
      <w:pPr>
        <w:spacing w:after="0" w:line="171" w:lineRule="exact"/>
        <w:rPr>
          <w:rFonts w:ascii="Times New Roman" w:cs="Times New Roman" w:eastAsia="Times New Roman" w:hAnsi="Times New Roman"/>
          <w:sz w:val="22"/>
          <w:szCs w:val="22"/>
          <w:color w:val="auto"/>
        </w:rPr>
      </w:pPr>
    </w:p>
    <w:p>
      <w:pPr>
        <w:jc w:val="both"/>
        <w:ind w:left="980" w:right="20" w:hanging="319"/>
        <w:spacing w:after="0" w:line="257" w:lineRule="auto"/>
        <w:tabs>
          <w:tab w:leader="none" w:pos="9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case of a merger where the surviving entity is other than us, we or such surviving entity will deliver, or cause to be delivered, to the trustee, an officers’ certificate and an opinion of counsel, each stating that such transaction and the supplemental indenture, if any, in respect thereto, comply with this covenant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23" w:name="page124"/>
    <w:bookmarkEnd w:id="123"/>
    <w:p>
      <w:pPr>
        <w:jc w:val="both"/>
        <w:ind w:left="980"/>
        <w:spacing w:after="0" w:line="257" w:lineRule="auto"/>
        <w:rPr>
          <w:sz w:val="20"/>
          <w:szCs w:val="20"/>
          <w:color w:val="auto"/>
        </w:rPr>
      </w:pPr>
      <w:r>
        <w:rPr>
          <w:rFonts w:ascii="Times New Roman" w:cs="Times New Roman" w:eastAsia="Times New Roman" w:hAnsi="Times New Roman"/>
          <w:sz w:val="22"/>
          <w:szCs w:val="22"/>
          <w:color w:val="auto"/>
        </w:rPr>
        <w:t>all conditions precedent in the indenture relating to such transaction have been complied with; provided that in giving an opinion of counsel, counsel may rely on an officers’ certificate as to any matters of fact, including as to the satisfaction of the preceding bullet.</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surviving entity (if other than us) will succeed to, and be substituted for, and may exercise every right and power of, the Company under the Notes and the indenture, and the Company will automatically and unconditionally be released and discharged from its obligations under the Notes and the indenture.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Reporting</w:t>
      </w:r>
    </w:p>
    <w:p>
      <w:pPr>
        <w:spacing w:after="0" w:line="22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at any time, we are not subject to the reporting requirements of Sections 13 or 15(d) of the Exchange Act to file any periodic reports with the Securities and Exchange Commission,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U.S. Generally Accepted Accounting Principles, as applicable.</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posting or delivery of any such information, documents, and reports to the trustee is for informational purposes only and the trustee’s receipt of such shall not constitute constructive notice of any information contained therein or determinable from information contained therein, including the Company’s compliance with any of the covenants under the indenture (as to which the trustee is entitled to rely exclusively on an officer’s certificate). The trustee shall have no duty to review or analyze reports, information and documents delivered to it. Additionally, the trustee shall not be obligated to monitor or confirm, on a continuing basis or otherwise, the Company’s compliance with the covenants or with respect to any reports or other documents filed with any protected online data system or participate on any conference calls.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or Waiver</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There are three types of changes we can make to the indenture and the Notes: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Changes Not Requiring Approval</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We can make certain changes to the indenture and the Notes without the specific approval of the holders of the Notes. This type is limited to clarifications and certain other changes that would not adversely affect holders of the Notes in any material respect and include changes:</w:t>
      </w:r>
    </w:p>
    <w:p>
      <w:pPr>
        <w:spacing w:after="0" w:line="167" w:lineRule="exact"/>
        <w:rPr>
          <w:sz w:val="20"/>
          <w:szCs w:val="20"/>
          <w:color w:val="auto"/>
        </w:rPr>
      </w:pPr>
    </w:p>
    <w:p>
      <w:pPr>
        <w:ind w:left="980" w:right="20" w:hanging="319"/>
        <w:spacing w:after="0" w:line="271" w:lineRule="auto"/>
        <w:tabs>
          <w:tab w:leader="none" w:pos="97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the succession of another corporation, and the assumption by the successor corporation of our covenants, agreements, and obligations under the indenture and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24" w:name="page125"/>
    <w:bookmarkEnd w:id="124"/>
    <w:p>
      <w:pPr>
        <w:jc w:val="both"/>
        <w:ind w:left="980" w:hanging="319"/>
        <w:spacing w:after="0" w:line="257" w:lineRule="auto"/>
        <w:tabs>
          <w:tab w:leader="none" w:pos="97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to our covenants such new covenants, restrictions, conditions, or provisions for the protection of the holders of the Notes, and to make the occurrence, or the occurrence and continuance, of a default in any of such additional covenants, restrictions, conditions, or provisions an Event of Default;</w:t>
      </w:r>
    </w:p>
    <w:p>
      <w:pPr>
        <w:spacing w:after="0" w:line="186" w:lineRule="exact"/>
        <w:rPr>
          <w:rFonts w:ascii="Times New Roman" w:cs="Times New Roman" w:eastAsia="Times New Roman" w:hAnsi="Times New Roman"/>
          <w:sz w:val="22"/>
          <w:szCs w:val="22"/>
          <w:color w:val="auto"/>
        </w:rPr>
      </w:pPr>
    </w:p>
    <w:p>
      <w:pPr>
        <w:jc w:val="both"/>
        <w:ind w:left="980" w:hanging="319"/>
        <w:spacing w:after="0" w:line="252" w:lineRule="auto"/>
        <w:tabs>
          <w:tab w:leader="none" w:pos="97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eliminate, or add to any of the provisions of the indenture to such extent as necessary to effect the qualification of the indenture under the Trust Indenture Act, and to add to the indenture such other provisions as may be expressly permitted by the Trust Indenture Act, excluding however, the provisions referred to in Section 316(a)(2) of the Trust Indenture Act;</w:t>
      </w:r>
    </w:p>
    <w:p>
      <w:pPr>
        <w:spacing w:after="0" w:line="179" w:lineRule="exact"/>
        <w:rPr>
          <w:rFonts w:ascii="Times New Roman" w:cs="Times New Roman" w:eastAsia="Times New Roman" w:hAnsi="Times New Roman"/>
          <w:sz w:val="22"/>
          <w:szCs w:val="22"/>
          <w:color w:val="auto"/>
        </w:rPr>
      </w:pPr>
    </w:p>
    <w:p>
      <w:pPr>
        <w:ind w:left="980" w:hanging="319"/>
        <w:spacing w:after="0" w:line="284" w:lineRule="auto"/>
        <w:tabs>
          <w:tab w:leader="none" w:pos="97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any ambiguity or to correct or supplement any provision contained in the indenture or in any supplemental indenture which may be defective or inconsistent with other provisions;</w:t>
      </w:r>
    </w:p>
    <w:p>
      <w:pPr>
        <w:spacing w:after="0" w:line="143"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secure the Notes;</w:t>
      </w:r>
    </w:p>
    <w:p>
      <w:pPr>
        <w:spacing w:after="0" w:line="219" w:lineRule="exact"/>
        <w:rPr>
          <w:rFonts w:ascii="Times New Roman" w:cs="Times New Roman" w:eastAsia="Times New Roman" w:hAnsi="Times New Roman"/>
          <w:sz w:val="22"/>
          <w:szCs w:val="22"/>
          <w:color w:val="auto"/>
        </w:rPr>
      </w:pPr>
    </w:p>
    <w:p>
      <w:pPr>
        <w:jc w:val="both"/>
        <w:ind w:left="980" w:hanging="319"/>
        <w:spacing w:after="0" w:line="257" w:lineRule="auto"/>
        <w:tabs>
          <w:tab w:leader="none" w:pos="97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and provide for the acceptance and appointment of a successor trustee and to add or change any provisions of the indenture as necessary to provide for or facilitate the administration of the trust by more than one trustee; and</w:t>
      </w:r>
    </w:p>
    <w:p>
      <w:pPr>
        <w:spacing w:after="0" w:line="172" w:lineRule="exact"/>
        <w:rPr>
          <w:rFonts w:ascii="Times New Roman" w:cs="Times New Roman" w:eastAsia="Times New Roman" w:hAnsi="Times New Roman"/>
          <w:sz w:val="22"/>
          <w:szCs w:val="22"/>
          <w:color w:val="auto"/>
        </w:rPr>
      </w:pPr>
    </w:p>
    <w:p>
      <w:pPr>
        <w:ind w:left="980" w:right="20" w:hanging="319"/>
        <w:spacing w:after="0" w:line="284" w:lineRule="auto"/>
        <w:tabs>
          <w:tab w:leader="none" w:pos="97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make provisions in regard to matters or questions arising under the indenture, so long as such other provisions do not materially affect the interest of any other holder of the Notes.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Changes Requiring Approval of Each Holder</w:t>
      </w:r>
    </w:p>
    <w:p>
      <w:pPr>
        <w:spacing w:after="0" w:line="22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We cannot make certain changes to the Notes without the specific approval of each holder of the Notes. The following is a list of those types of changes:</w:t>
      </w:r>
    </w:p>
    <w:p>
      <w:pPr>
        <w:spacing w:after="0" w:line="158" w:lineRule="exact"/>
        <w:rPr>
          <w:sz w:val="20"/>
          <w:szCs w:val="20"/>
          <w:color w:val="auto"/>
        </w:rPr>
      </w:pPr>
    </w:p>
    <w:p>
      <w:pPr>
        <w:ind w:left="980" w:hanging="319"/>
        <w:spacing w:after="0"/>
        <w:tabs>
          <w:tab w:leader="none" w:pos="9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changing the stated maturity of the principal of, or any installment of interest on, any Note;</w:t>
      </w:r>
    </w:p>
    <w:p>
      <w:pPr>
        <w:spacing w:after="0" w:line="233"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reducing the principal amount or rate of interest of any Note;</w:t>
      </w:r>
    </w:p>
    <w:p>
      <w:pPr>
        <w:spacing w:after="0" w:line="219"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changing the place of payment where any Note or any interest is payable;</w:t>
      </w:r>
    </w:p>
    <w:p>
      <w:pPr>
        <w:spacing w:after="0" w:line="219"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impairing the right to institute suit for the enforcement of any payment on or after the date on which it is due and payable;</w:t>
      </w:r>
    </w:p>
    <w:p>
      <w:pPr>
        <w:spacing w:after="0" w:line="157" w:lineRule="exact"/>
        <w:rPr>
          <w:rFonts w:ascii="Times New Roman" w:cs="Times New Roman" w:eastAsia="Times New Roman" w:hAnsi="Times New Roman"/>
          <w:sz w:val="22"/>
          <w:szCs w:val="22"/>
          <w:color w:val="auto"/>
        </w:rPr>
      </w:pPr>
    </w:p>
    <w:p>
      <w:pPr>
        <w:ind w:left="980" w:hanging="319"/>
        <w:spacing w:after="0" w:line="284" w:lineRule="auto"/>
        <w:tabs>
          <w:tab w:leader="none" w:pos="97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reducing the percentage in principal amount of holders of the Notes whose consent is needed to modify or amend the indenture; and</w:t>
      </w:r>
    </w:p>
    <w:p>
      <w:pPr>
        <w:spacing w:after="0" w:line="143"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reducing the percentage in principal amount of holders of the Notes whose consent is needed to waive compliance with certain provisions of the indenture or to waive certain defaults.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b w:val="1"/>
          <w:bCs w:val="1"/>
          <w:i w:val="1"/>
          <w:iCs w:val="1"/>
          <w:color w:val="auto"/>
        </w:rPr>
        <w:t>Changes Requiring Majority Approval</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Any other change to the indenture and the Notes requires the approval by holders of not less than a majority in aggregate principal amount of the outstanding Notes.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Consent from holders to any change to the indenture or the Notes must be given in writing. The consent of the holders of the Notes is not necessary under the indenture to approve the particular form of any proposed amendment. It is sufficient if such consent approves the substance of the proposed amendment.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Further Details Concerning Voting</w:t>
      </w:r>
    </w:p>
    <w:p>
      <w:pPr>
        <w:spacing w:after="0" w:line="226"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The amount of Notes deemed to be outstanding for the purpose of voting includes all Notes authenticated and delivered under the indenture as of the date of determination except:</w:t>
      </w:r>
    </w:p>
    <w:p>
      <w:pPr>
        <w:spacing w:after="0" w:line="144" w:lineRule="exact"/>
        <w:rPr>
          <w:sz w:val="20"/>
          <w:szCs w:val="20"/>
          <w:color w:val="auto"/>
        </w:rPr>
      </w:pPr>
    </w:p>
    <w:p>
      <w:pPr>
        <w:ind w:left="980" w:hanging="319"/>
        <w:spacing w:after="0"/>
        <w:tabs>
          <w:tab w:leader="none" w:pos="9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cancelled by the trustee or delivered to the trustee for cancellation;</w:t>
      </w:r>
    </w:p>
    <w:p>
      <w:pPr>
        <w:spacing w:after="0" w:line="219" w:lineRule="exact"/>
        <w:rPr>
          <w:rFonts w:ascii="Times New Roman" w:cs="Times New Roman" w:eastAsia="Times New Roman" w:hAnsi="Times New Roman"/>
          <w:sz w:val="22"/>
          <w:szCs w:val="22"/>
          <w:color w:val="auto"/>
        </w:rPr>
      </w:pPr>
    </w:p>
    <w:p>
      <w:pPr>
        <w:jc w:val="both"/>
        <w:ind w:left="980" w:hanging="319"/>
        <w:spacing w:after="0" w:line="257" w:lineRule="auto"/>
        <w:tabs>
          <w:tab w:leader="none" w:pos="97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for which we have deposited with the trustee or paying agent or set aside in trust money for their payment or redemption and, if money has been set aside for the redemption of the Notes, notice of such redemption has been duly given pursuant to the indenture to the satisfaction of the trustee;</w:t>
      </w:r>
    </w:p>
    <w:p>
      <w:pPr>
        <w:spacing w:after="0" w:line="172" w:lineRule="exact"/>
        <w:rPr>
          <w:rFonts w:ascii="Times New Roman" w:cs="Times New Roman" w:eastAsia="Times New Roman" w:hAnsi="Times New Roman"/>
          <w:sz w:val="22"/>
          <w:szCs w:val="22"/>
          <w:color w:val="auto"/>
        </w:rPr>
      </w:pPr>
    </w:p>
    <w:p>
      <w:pPr>
        <w:jc w:val="both"/>
        <w:ind w:left="980" w:right="20" w:hanging="319"/>
        <w:spacing w:after="0" w:line="263" w:lineRule="auto"/>
        <w:tabs>
          <w:tab w:leader="none" w:pos="97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held by the Company, its subsidiaries or any other entity which is an obligor under the Notes, unless such Notes have been pledged in good faith and the pledgee is not the Company, an affiliate of the Company or an obligor under the Notes;</w:t>
      </w:r>
    </w:p>
    <w:p>
      <w:pPr>
        <w:spacing w:after="0" w:line="167"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which have undergone full defeasance, as described below; and</w:t>
      </w:r>
    </w:p>
    <w:p>
      <w:pPr>
        <w:spacing w:after="0" w:line="219" w:lineRule="exact"/>
        <w:rPr>
          <w:rFonts w:ascii="Times New Roman" w:cs="Times New Roman" w:eastAsia="Times New Roman" w:hAnsi="Times New Roman"/>
          <w:sz w:val="22"/>
          <w:szCs w:val="22"/>
          <w:color w:val="auto"/>
        </w:rPr>
      </w:pPr>
    </w:p>
    <w:p>
      <w:pPr>
        <w:jc w:val="both"/>
        <w:ind w:left="980" w:hanging="319"/>
        <w:spacing w:after="0" w:line="263" w:lineRule="auto"/>
        <w:tabs>
          <w:tab w:leader="none" w:pos="97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Notes which have been paid or exchanged for other Notes due to such Notes’ loss, destruction, or mutilation, with the exception of any such Notes held by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purchasers who have presented proof to the trustee that such Notes are valid obligations of the Company.</w:t>
      </w:r>
    </w:p>
    <w:p>
      <w:pPr>
        <w:spacing w:after="0" w:line="16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We are generally entitled to set any day as a record date for the purpose of determining the holders of the Notes that are entitled to vote or take other action under the indenture, and the trustee is generally entitled to set any day as a record date for the purpose of determining the holders of the Notes that are entitled to join in the giving or making of any Notice of Default, any declaration of acceleration of maturity of the Notes, any request to institute proceedings or the reversal of such declaration. If we or the trustee set a record date for a vote or other action to be taken by the holders of the Notes that vote or action can only be taken by persons who are holders of the Notes on the record date and, unless otherwise specified, such vote or action must take place on or prior to the 180th day after the record date. We may change the record date at our option, and we will provide written notice to the trustee and to each holder of the Notes of any such change of record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16" w:right="339" w:bottom="1440" w:gutter="0" w:footer="0" w:header="0"/>
        </w:sectPr>
      </w:pPr>
    </w:p>
    <w:bookmarkStart w:id="126" w:name="page127"/>
    <w:bookmarkEnd w:id="126"/>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indenture provides that we can elect to be discharged from our obligations with respect to the Notes, except for specified obligations, including obligations to:</w:t>
      </w:r>
    </w:p>
    <w:p>
      <w:pPr>
        <w:spacing w:after="0" w:line="158" w:lineRule="exact"/>
        <w:rPr>
          <w:sz w:val="20"/>
          <w:szCs w:val="20"/>
          <w:color w:val="auto"/>
        </w:rPr>
      </w:pPr>
    </w:p>
    <w:p>
      <w:pPr>
        <w:ind w:left="980" w:hanging="319"/>
        <w:spacing w:after="0"/>
        <w:tabs>
          <w:tab w:leader="none" w:pos="9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 the transfer or exchange of the Notes;</w:t>
      </w:r>
    </w:p>
    <w:p>
      <w:pPr>
        <w:spacing w:after="0" w:line="233"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replace stolen, lost, or mutilated Notes;</w:t>
      </w:r>
    </w:p>
    <w:p>
      <w:pPr>
        <w:spacing w:after="0" w:line="219"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paying agencies; and</w:t>
      </w:r>
    </w:p>
    <w:p>
      <w:pPr>
        <w:spacing w:after="0" w:line="219"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hold monies for payment in trust.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In order to exercise our rights to be discharged, we must (i) deposit with the trustee money or U.S. government obligations, or a combination thereof, sufficient (to the extent of any U.S. government obligations, in the opinion of a nationally recognized firm of independent public accountants, investment bank, or appraisal firm, to generate enough cash to make interest, principal, and any other applicable payments on the Notes on the applicable due date) to pay all the principal of, any premium and interest on, the Notes on the dates payments are due, (ii) deliver irrevocable instructions to the trustee to apply the deposited cash and/or U.S. government obligations toward the payment of the Notes at maturity or on the redemption date, as the case may be, and (iii) deliver an officer’s certificate and opinion of counsel to the trustee stating that all conditions precedent under the indenture relating to the satisfaction and discharge of the indenture have been complied with.</w:t>
      </w:r>
    </w:p>
    <w:p>
      <w:pPr>
        <w:spacing w:after="0" w:line="19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“U.S. government obligations” means securities that are (1) direct obligations of the United States for the payment of which its full faith and credit is pledged, or (2) obligations of a person controlled or supervised by and acting as an agency or instrumentality of the United States, the payment of which is unconditionally guaranteed as a full faith and credit obligation by the United States, which in either case, are not callable or redeemable by the issuer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U.S. government obligations or the specific payment of principal of or interest on the U.S. government obligations evidenced by such depository receipt.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Defeasance</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following defeasance provisions are applicable to the Notes. “Defeasance” means that, by irrevocably depositing with the trustee an amount of cash denominated in U.S. dollars and/or U.S. government obligations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governing the Notes. The consequences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127" w:name="page128"/>
    <w:bookmarkEnd w:id="127"/>
    <w:p>
      <w:pPr>
        <w:jc w:val="both"/>
        <w:spacing w:after="0" w:line="257" w:lineRule="auto"/>
        <w:rPr>
          <w:sz w:val="20"/>
          <w:szCs w:val="20"/>
          <w:color w:val="auto"/>
        </w:rPr>
      </w:pPr>
      <w:r>
        <w:rPr>
          <w:rFonts w:ascii="Times New Roman" w:cs="Times New Roman" w:eastAsia="Times New Roman" w:hAnsi="Times New Roman"/>
          <w:sz w:val="22"/>
          <w:szCs w:val="22"/>
          <w:color w:val="auto"/>
        </w:rPr>
        <w:t>the holders of the Notes would be that, while they would no longer benefit from certain covenants under the indenture, and while the Notes could not be accelerated for any reason, the holders of the Notes nonetheless would be guaranteed to receive the principal and interest owed to them.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Covenant Defeasance</w:t>
      </w:r>
    </w:p>
    <w:p>
      <w:pPr>
        <w:spacing w:after="0" w:line="22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Under the indenture, we have the option to take the actions described below and be released from some of the restrictive covenants under the indenture under which the Notes were issued. This is called “covenant defeasance.” In that event, holders of the Notes would lose the protection of those restrictive covenants but would gain the protection of having money and government securities set aside in trust to repay the Notes. In order to achieve covenant defeasance, the following must occur:</w:t>
      </w:r>
    </w:p>
    <w:p>
      <w:pPr>
        <w:spacing w:after="0" w:line="193" w:lineRule="exact"/>
        <w:rPr>
          <w:sz w:val="20"/>
          <w:szCs w:val="20"/>
          <w:color w:val="auto"/>
        </w:rPr>
      </w:pPr>
    </w:p>
    <w:p>
      <w:pPr>
        <w:jc w:val="both"/>
        <w:ind w:left="980" w:hanging="319"/>
        <w:spacing w:after="0" w:line="250" w:lineRule="auto"/>
        <w:tabs>
          <w:tab w:leader="none" w:pos="97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80" w:lineRule="exact"/>
        <w:rPr>
          <w:rFonts w:ascii="Times New Roman" w:cs="Times New Roman" w:eastAsia="Times New Roman" w:hAnsi="Times New Roman"/>
          <w:sz w:val="22"/>
          <w:szCs w:val="22"/>
          <w:color w:val="auto"/>
        </w:rPr>
      </w:pPr>
    </w:p>
    <w:p>
      <w:pPr>
        <w:jc w:val="both"/>
        <w:ind w:left="980" w:right="20" w:hanging="319"/>
        <w:spacing w:after="0" w:line="263" w:lineRule="auto"/>
        <w:tabs>
          <w:tab w:leader="none" w:pos="97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deliver to the trustee an opinion of counsel stating that under U.S. federal income tax law, we may make the above deposit and covenant defeasance without causing holders to be taxed on the Notes differently than if those actions were not taken;</w:t>
      </w:r>
    </w:p>
    <w:p>
      <w:pPr>
        <w:spacing w:after="0" w:line="167" w:lineRule="exact"/>
        <w:rPr>
          <w:rFonts w:ascii="Times New Roman" w:cs="Times New Roman" w:eastAsia="Times New Roman" w:hAnsi="Times New Roman"/>
          <w:sz w:val="22"/>
          <w:szCs w:val="22"/>
          <w:color w:val="auto"/>
        </w:rPr>
      </w:pPr>
    </w:p>
    <w:p>
      <w:pPr>
        <w:ind w:left="980" w:right="20" w:hanging="319"/>
        <w:spacing w:after="0" w:line="271" w:lineRule="auto"/>
        <w:tabs>
          <w:tab w:leader="none" w:pos="97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deliver to the trustee an officers’ certificate stating that the Notes, if then listed on any securities exchange, will not be delisted as a result of the deposit;</w:t>
      </w:r>
    </w:p>
    <w:p>
      <w:pPr>
        <w:spacing w:after="0" w:line="157" w:lineRule="exact"/>
        <w:rPr>
          <w:rFonts w:ascii="Times New Roman" w:cs="Times New Roman" w:eastAsia="Times New Roman" w:hAnsi="Times New Roman"/>
          <w:sz w:val="22"/>
          <w:szCs w:val="22"/>
          <w:color w:val="auto"/>
        </w:rPr>
      </w:pPr>
    </w:p>
    <w:p>
      <w:pPr>
        <w:ind w:left="980" w:hanging="319"/>
        <w:spacing w:after="0" w:line="284" w:lineRule="auto"/>
        <w:tabs>
          <w:tab w:leader="none" w:pos="97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43"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covenant defeasance must not cause the trustee to have a conflicting interest within the meaning of the Trust Indenture Act;</w:t>
      </w:r>
    </w:p>
    <w:p>
      <w:pPr>
        <w:spacing w:after="0" w:line="157"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covenant defeasance must not result in a breach or violation of, or constitute a default under, the indenture or any other material agreements or instruments to which we are a party;</w:t>
      </w:r>
    </w:p>
    <w:p>
      <w:pPr>
        <w:spacing w:after="0" w:line="171" w:lineRule="exact"/>
        <w:rPr>
          <w:rFonts w:ascii="Times New Roman" w:cs="Times New Roman" w:eastAsia="Times New Roman" w:hAnsi="Times New Roman"/>
          <w:sz w:val="22"/>
          <w:szCs w:val="22"/>
          <w:color w:val="auto"/>
        </w:rPr>
      </w:pPr>
    </w:p>
    <w:p>
      <w:pPr>
        <w:jc w:val="both"/>
        <w:ind w:left="980" w:hanging="319"/>
        <w:spacing w:after="0" w:line="257" w:lineRule="auto"/>
        <w:tabs>
          <w:tab w:leader="none" w:pos="97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covenant defeasance must not result in the trust arising from the deposit constituting an investment company within the meaning of the Investment Company Act of 1940, as amended (the “Investment Company Act”), unless such trust will be registered under the Investment Company Act or exempt from registration thereunder;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128" w:name="page129"/>
    <w:bookmarkEnd w:id="128"/>
    <w:p>
      <w:pPr>
        <w:ind w:left="980" w:hanging="319"/>
        <w:spacing w:after="0" w:line="271" w:lineRule="auto"/>
        <w:tabs>
          <w:tab w:leader="none" w:pos="9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we must deliver to the trustee an officers’ certificate and an opinion of counsel stating that all conditions precedent with respect to the covenant defeasance have been complied with.</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Full Defeasance</w:t>
      </w:r>
    </w:p>
    <w:p>
      <w:pPr>
        <w:spacing w:after="0" w:line="239"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If there is a change in U.S. federal income tax law, we can legally release ourselves from all payment and other obligations on the Notes if we take the following actions:</w:t>
      </w:r>
    </w:p>
    <w:p>
      <w:pPr>
        <w:spacing w:after="0" w:line="158" w:lineRule="exact"/>
        <w:rPr>
          <w:sz w:val="20"/>
          <w:szCs w:val="20"/>
          <w:color w:val="auto"/>
        </w:rPr>
      </w:pPr>
    </w:p>
    <w:p>
      <w:pPr>
        <w:jc w:val="both"/>
        <w:ind w:left="980" w:hanging="319"/>
        <w:spacing w:after="0" w:line="253" w:lineRule="auto"/>
        <w:tabs>
          <w:tab w:leader="none" w:pos="97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78" w:lineRule="exact"/>
        <w:rPr>
          <w:rFonts w:ascii="Times New Roman" w:cs="Times New Roman" w:eastAsia="Times New Roman" w:hAnsi="Times New Roman"/>
          <w:sz w:val="22"/>
          <w:szCs w:val="22"/>
          <w:color w:val="auto"/>
        </w:rPr>
      </w:pPr>
    </w:p>
    <w:p>
      <w:pPr>
        <w:jc w:val="both"/>
        <w:ind w:left="980" w:hanging="319"/>
        <w:spacing w:after="0" w:line="257" w:lineRule="auto"/>
        <w:tabs>
          <w:tab w:leader="none" w:pos="97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deliver to the trustee an opinion of counsel confirming that there has been a change to the current U.S. federal income tax law or an Internal Revenue Service ruling that allows us to make the above deposit without causing holders to be taxed on the Notes any differently than if we did not make the deposit;</w:t>
      </w:r>
    </w:p>
    <w:p>
      <w:pPr>
        <w:spacing w:after="0" w:line="172" w:lineRule="exact"/>
        <w:rPr>
          <w:rFonts w:ascii="Times New Roman" w:cs="Times New Roman" w:eastAsia="Times New Roman" w:hAnsi="Times New Roman"/>
          <w:sz w:val="22"/>
          <w:szCs w:val="22"/>
          <w:color w:val="auto"/>
        </w:rPr>
      </w:pPr>
    </w:p>
    <w:p>
      <w:pPr>
        <w:ind w:left="980" w:right="20" w:hanging="319"/>
        <w:spacing w:after="0" w:line="284" w:lineRule="auto"/>
        <w:tabs>
          <w:tab w:leader="none" w:pos="97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deliver to the trustee an officers’ certificate stating that the Notes, if then listed on any securities exchange, will not be delisted as a result of the deposit;</w:t>
      </w:r>
    </w:p>
    <w:p>
      <w:pPr>
        <w:spacing w:after="0" w:line="143"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57"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defeasance must not cause the trustee to have a conflicting interest within the meaning of the Trust Indenture Act;</w:t>
      </w:r>
    </w:p>
    <w:p>
      <w:pPr>
        <w:spacing w:after="0" w:line="171"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defeasance must not result in a breach or violation of, or constitute a default under, the indenture or any other material agreements or instruments to which we are a party;</w:t>
      </w:r>
    </w:p>
    <w:p>
      <w:pPr>
        <w:spacing w:after="0" w:line="157" w:lineRule="exact"/>
        <w:rPr>
          <w:rFonts w:ascii="Times New Roman" w:cs="Times New Roman" w:eastAsia="Times New Roman" w:hAnsi="Times New Roman"/>
          <w:sz w:val="22"/>
          <w:szCs w:val="22"/>
          <w:color w:val="auto"/>
        </w:rPr>
      </w:pPr>
    </w:p>
    <w:p>
      <w:pPr>
        <w:jc w:val="both"/>
        <w:ind w:left="980" w:hanging="319"/>
        <w:spacing w:after="0" w:line="257" w:lineRule="auto"/>
        <w:tabs>
          <w:tab w:leader="none" w:pos="97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86" w:lineRule="exact"/>
        <w:rPr>
          <w:rFonts w:ascii="Times New Roman" w:cs="Times New Roman" w:eastAsia="Times New Roman" w:hAnsi="Times New Roman"/>
          <w:sz w:val="22"/>
          <w:szCs w:val="22"/>
          <w:color w:val="auto"/>
        </w:rPr>
      </w:pPr>
    </w:p>
    <w:p>
      <w:pPr>
        <w:ind w:left="980" w:hanging="319"/>
        <w:spacing w:after="0" w:line="271" w:lineRule="auto"/>
        <w:tabs>
          <w:tab w:leader="none" w:pos="97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we must deliver to the trustee an officers’ certificate and an opinion of counsel stating that all conditions precedent with respect to the full defeasance have been complied with.</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the event that the trustee is unable to apply the funds held in trust to the payment of obligations under the Notes by reason of a court order or governmental injunction or prohibition,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129" w:name="page130"/>
    <w:bookmarkEnd w:id="129"/>
    <w:p>
      <w:pPr>
        <w:jc w:val="both"/>
        <w:spacing w:after="0" w:line="253" w:lineRule="auto"/>
        <w:rPr>
          <w:sz w:val="20"/>
          <w:szCs w:val="20"/>
          <w:color w:val="auto"/>
        </w:rPr>
      </w:pPr>
      <w:r>
        <w:rPr>
          <w:rFonts w:ascii="Times New Roman" w:cs="Times New Roman" w:eastAsia="Times New Roman" w:hAnsi="Times New Roman"/>
          <w:sz w:val="22"/>
          <w:szCs w:val="22"/>
          <w:color w:val="auto"/>
        </w:rPr>
        <w:t>then those of our obligations discharged under the full defeasance or covenant defeasance will be revived and reinstated as though no deposit of funds had occurred, until such time as the trustee is permitted to apply all funds held in trust under the procedure described above to the payment of obligations under the Notes. However, if we make any payment of principal, premium, if any, or interest on the Notes to the holders, we will have the right to receive such payments from the trust in the place of the holders.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Counsel may rely on an officers’ certificate as to any matters of fact in giving an opinion of counsel in connection with the full defeasance or covenant defeasance provisions.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Notes are listed on the Nasdaq Global Select Market and have been trading under the symbol “GREEL” since October 14,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Governing Law</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indenture and the Notes are governed by and construed in accordance with the laws of the State of New York.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Global Notes; Book-Entry Issuance</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Notes are issued in the form of one or more global certificates, or “Global Notes,” registered in the name of The Depository Trust Company, or “DTC.”</w:t>
      </w:r>
    </w:p>
    <w:p>
      <w:pPr>
        <w:spacing w:after="0" w:line="14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Cede &amp; Co. is the initial registered holder of the Notes. No person that acquires a beneficial interest in the Notes is entitled to receive a certificate representing that person’s interest in the Notes except as described herein. Unless and until definitive securities are issued under the limited circumstances described below, all references to actions by holders of the Notes refer to actions taken by DTC upon instructions from its participants, and all references to payments and notices to holders refer to payments and notices to DTC or Cede &amp; Co., as the registered holder of these securities.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DTC has informed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130" w:name="page131"/>
    <w:bookmarkEnd w:id="130"/>
    <w:p>
      <w:pPr>
        <w:jc w:val="both"/>
        <w:spacing w:after="0" w:line="271" w:lineRule="auto"/>
        <w:rPr>
          <w:sz w:val="20"/>
          <w:szCs w:val="20"/>
          <w:color w:val="auto"/>
        </w:rPr>
      </w:pPr>
      <w:r>
        <w:rPr>
          <w:rFonts w:ascii="Times New Roman" w:cs="Times New Roman" w:eastAsia="Times New Roman" w:hAnsi="Times New Roman"/>
          <w:sz w:val="22"/>
          <w:szCs w:val="22"/>
          <w:color w:val="auto"/>
        </w:rPr>
        <w:t>corporations and certain other organizations. DTC is a wholly owned subsidiary of The Depository Trust &amp; Clearing Corporation, or “DTCC.”</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and, together with Direct Participants, “Participants”). DTC has an S&amp;P rating of AA+ and a Moody’s rating of Aaa. The DTC Rules applicable to its participants are on file with the SEC. More information about DTC can be found at www.dtcc.com.</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Purchases of the Notes under the DTC system must be made by or through Direct Participants, which receive a credit for the Notes on DTC’s records. The ownership interest of each actual purchaser of each Note, or the “Beneficial Owner,” is in turn to be recorded on the Direct and Indirect Participants’ records. Beneficial Owners do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do not receive certificates representing their ownership interests in the Notes, except in the event that use of the book-entry system for the Notes is discontinued.</w:t>
      </w:r>
    </w:p>
    <w:p>
      <w:pPr>
        <w:spacing w:after="0" w:line="17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remain responsible for keeping account of their holdings on behalf of their customers.</w:t>
      </w:r>
    </w:p>
    <w:p>
      <w:pPr>
        <w:spacing w:after="0" w:line="1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Conveyance of notices and other communications by DTC to Direct Participants, by Direct Participants to Indirect Participants, and by Direct Participants and Indirect Participants to Beneficial Owners is be governed by arrangements among them, subject to any statutory or regulatory requirements as may be in effect from time to time.</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Redemption notices are sent to DTC. If less than all of the Notes are being redeemed, DTC’s practice is to determine by lot the amount of the interest of each Direct Participant in the Notes to be redeemed.</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Neither DTC nor Cede &amp; Co. (nor any other DTC nominee) will consent or vote with respect to the Notes unless authorized by a Direct Participant in accordance with DTC’s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131" w:name="page132"/>
    <w:bookmarkEnd w:id="131"/>
    <w:p>
      <w:pPr>
        <w:jc w:val="both"/>
        <w:spacing w:after="0" w:line="257" w:lineRule="auto"/>
        <w:rPr>
          <w:sz w:val="20"/>
          <w:szCs w:val="20"/>
          <w:color w:val="auto"/>
        </w:rPr>
      </w:pPr>
      <w:r>
        <w:rPr>
          <w:rFonts w:ascii="Times New Roman" w:cs="Times New Roman" w:eastAsia="Times New Roman" w:hAnsi="Times New Roman"/>
          <w:sz w:val="22"/>
          <w:szCs w:val="22"/>
          <w:color w:val="auto"/>
        </w:rPr>
        <w:t>applicable procedures. Under its usual procedures, DTC mails an Omnibus Proxy to us as soon as possible after the record date. The Omnibus Proxy assigns Cede &amp; Co.’s consent or voting rights to those Direct Participants to whose accounts the Notes are credited on the record date (identified in a listing attached to the Omnibus Proxy).</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Redemption proceeds, distributions and interest payments on the Notes are made to Cede &amp; Co., or such other nominee as may be requested by an authorized representative of DTC. DTC’s practice is to credit Direct Participants’ accounts upon DTC’s receipt of funds and corresponding detail information from us or the applicable trustee or depositary on the payment date in accordance with their respective holdings shown on DTC’s records. Payments by Participants to Beneficial Owners are governed by standing instructions and customary practices, as is the case with the Notes held for the accounts of customers in bearer form or registered in “street name,” and are the responsibility of such Participant and not of DTC nor its nominee, the applicable trustee or depositary,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applicable trustee or depositary. Disbursement of such payments to Direct Participants is the responsibility of DTC, and disbursement of such payments to the Beneficial Owners is the responsibility of Direct Participants and Indirect Participants.</w:t>
      </w:r>
    </w:p>
    <w:p>
      <w:pPr>
        <w:spacing w:after="0" w:line="20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information in this section concerning DTC and DTC’s book-entry system has been obtained from sources that we believe to be reliable, but we take no responsibility for the accuracy thereof.</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None of the Company, the trustee, any depositary, or any agent of any of them have any responsibility or liability for any aspect of DTC’s or any participant’s records relating to, or for payments made on account of, beneficial interests in a Global Note, or for maintaining, supervising, or reviewing any records relating to such beneficial interests.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Termination of a Global Note</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a Global Note is terminated for any reason, interest in it will be exchanged for certificates in non-book-entry form as certificated securities. After such exchange, the choice of whether to hold the certificated Notes directly or in street name will be up to the investor. Investors must consult their own banks or brokers to find out how to have their interests in a Global Note transferred on termination to their own names, so that they will be holders of the Notes. See “-Form, Exchange and Transfer of Certificated 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Payment and Paying Agents</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will pay interest to the person listed in the trustee’s records as the owner of the Notes at the close of business on the record date for the applicable interest payment date, even if that person no longer owns the Note on the interest payment date. Because we pay all the interest for an interest period to the holders on the record date, holders buying and selling the Notes must work out between themselves the appropriate purchase price. The most common manner is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132" w:name="page133"/>
    <w:bookmarkEnd w:id="132"/>
    <w:p>
      <w:pPr>
        <w:jc w:val="both"/>
        <w:spacing w:after="0" w:line="271" w:lineRule="auto"/>
        <w:rPr>
          <w:sz w:val="20"/>
          <w:szCs w:val="20"/>
          <w:color w:val="auto"/>
        </w:rPr>
      </w:pPr>
      <w:r>
        <w:rPr>
          <w:rFonts w:ascii="Times New Roman" w:cs="Times New Roman" w:eastAsia="Times New Roman" w:hAnsi="Times New Roman"/>
          <w:sz w:val="22"/>
          <w:szCs w:val="22"/>
          <w:color w:val="auto"/>
        </w:rPr>
        <w:t>adjust the sales price of the Notes to prorate interest fairly between buyer and seller based on their respective ownership periods within the particular interest period.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Payments on Global Notes</w:t>
      </w:r>
    </w:p>
    <w:p>
      <w:pPr>
        <w:spacing w:after="0" w:line="23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will make payments on the Notes so long as they are represented by Global Notes in accordance with the applicable policies of the depositary in effect from time to time. Under those policies, we will make payments directly to the depositary, or its nominee, and not to any indirect holders who own beneficial interest in the Global Notes. An indirect holder’s right to those payments will be governed by the rules and practices of the depositary and its participants.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Payments on Certificated Securities</w:t>
      </w:r>
    </w:p>
    <w:p>
      <w:pPr>
        <w:spacing w:after="0" w:line="2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the event the Notes become represented by certificates, we will make payments on the Notes as follows. We will pay interest that is due on an interest payment date by check mailed on the interest payment date to the holder of the Note at his or her address shown on the trustee’s records as of the close of business on the record date. We will make all payments of principal by check or wire transfer at the office of the trustee in the contiguous United States and/or at other offices that may be specified in the indenture or a notice to holders against surrender of the Note.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Payment When Offices Are Closed</w:t>
      </w:r>
    </w:p>
    <w:p>
      <w:pPr>
        <w:spacing w:after="0" w:line="23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Form, Exchange and Transfer of Certificated Registered Securities</w:t>
      </w:r>
    </w:p>
    <w:p>
      <w:pPr>
        <w:spacing w:after="0" w:line="23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Notes in physical, certificated form will be issued and delivered to each person that DTC identifies as a beneficial owner of the related Notes only if:</w:t>
      </w:r>
    </w:p>
    <w:p>
      <w:pPr>
        <w:spacing w:after="0" w:line="158" w:lineRule="exact"/>
        <w:rPr>
          <w:sz w:val="20"/>
          <w:szCs w:val="20"/>
          <w:color w:val="auto"/>
        </w:rPr>
      </w:pPr>
    </w:p>
    <w:p>
      <w:pPr>
        <w:ind w:left="980" w:hanging="319"/>
        <w:spacing w:after="0"/>
        <w:tabs>
          <w:tab w:leader="none" w:pos="9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DTC notified us at any time that it is unwilling or unable to continue as depositary for the Global Notes;</w:t>
      </w:r>
    </w:p>
    <w:p>
      <w:pPr>
        <w:spacing w:after="0" w:line="219"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DTC ceases to be registered as a clearing agency under the Exchange Act; or</w:t>
      </w:r>
    </w:p>
    <w:p>
      <w:pPr>
        <w:spacing w:after="0" w:line="219" w:lineRule="exact"/>
        <w:rPr>
          <w:rFonts w:ascii="Times New Roman" w:cs="Times New Roman" w:eastAsia="Times New Roman" w:hAnsi="Times New Roman"/>
          <w:sz w:val="22"/>
          <w:szCs w:val="22"/>
          <w:color w:val="auto"/>
        </w:rPr>
      </w:pPr>
    </w:p>
    <w:p>
      <w:pPr>
        <w:ind w:left="980" w:hanging="319"/>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 Event of Default with respect to such Global Note has occurred and is continuing.</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Holders may exchange their certificated securities for Notes of smaller denominations or combined into fewer Notes of larger denominations, as long as the total principal amount is not changed and as long as the denomination is equal to or greater than $25.</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Holders may exchange or transfer their certificated securities at the office of the trustee. We have appointed the trustee to act as our agent for registering the Notes in the name of holders transferring Notes. We may at any time designate additional transfer agents or rescind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color w:val="auto"/>
        </w:rPr>
        <w:t>designation of any transfer agent or approve a change in the office through which any transfer agent acts.</w:t>
      </w:r>
    </w:p>
    <w:p>
      <w:pPr>
        <w:spacing w:after="0" w:line="22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Holders are not required to pay a service charge for any registration of transfer or exchange of their certificated securities, but they may be required to pay any tax or other governmental charge associated with the registration of transfer or exchange. The transfer or exchange will be made only if our transfer agent is satisfied with the holder’s proof of legal ownership.</w:t>
      </w:r>
    </w:p>
    <w:p>
      <w:pPr>
        <w:spacing w:after="0" w:line="1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we redeem any of the Notes, we may block the transfer or exchange of those Notes selected for redemption during the period beginning 15 days before the day we deliver the notice of redemption and ending on the day of such delivery, in order to determine or fix the list of holders. We may also refuse to register transfers or exchanges of any certificated Notes selected for redemption, except that we will continue to permit transfers and exchanges of the unredeemed portion of any Note that will be partially redeemed.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the Trustee</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Wilmington Savings Fund Society, FSB is the trustee under the indenture and is the principal paying agent and registrar for the Notes. The trustee may resign or be removed with respect to the Notes provided that a successor trustee is appointed to act with respect to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1" w:right="339" w:bottom="1440" w:gutter="0" w:footer="0" w:header="0"/>
        </w:sectPr>
      </w:pPr>
    </w:p>
    <w:bookmarkStart w:id="134" w:name="page135"/>
    <w:bookmarkEnd w:id="134"/>
    <w:p>
      <w:pPr>
        <w:spacing w:after="0" w:line="151" w:lineRule="exact"/>
        <w:rPr>
          <w:sz w:val="20"/>
          <w:szCs w:val="20"/>
          <w:color w:val="auto"/>
        </w:rPr>
      </w:pPr>
    </w:p>
    <w:p>
      <w:pPr>
        <w:jc w:val="right"/>
        <w:spacing w:after="0"/>
        <w:rPr>
          <w:sz w:val="20"/>
          <w:szCs w:val="20"/>
          <w:color w:val="auto"/>
        </w:rPr>
      </w:pPr>
      <w:r>
        <w:rPr>
          <w:rFonts w:ascii="Calibri" w:cs="Calibri" w:eastAsia="Calibri" w:hAnsi="Calibri"/>
          <w:sz w:val="20"/>
          <w:szCs w:val="20"/>
          <w:b w:val="1"/>
          <w:bCs w:val="1"/>
          <w:color w:val="auto"/>
        </w:rPr>
        <w:t>Exhibit 21.1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120" w:type="dxa"/>
            <w:vAlign w:val="bottom"/>
          </w:tcPr>
          <w:p>
            <w:pPr>
              <w:ind w:left="4840"/>
              <w:spacing w:after="0"/>
              <w:rPr>
                <w:sz w:val="20"/>
                <w:szCs w:val="20"/>
                <w:color w:val="auto"/>
              </w:rPr>
            </w:pPr>
            <w:r>
              <w:rPr>
                <w:rFonts w:ascii="Calibri" w:cs="Calibri" w:eastAsia="Calibri" w:hAnsi="Calibri"/>
                <w:sz w:val="20"/>
                <w:szCs w:val="20"/>
                <w:b w:val="1"/>
                <w:bCs w:val="1"/>
                <w:color w:val="auto"/>
              </w:rPr>
              <w:t>List of Subsidiaries</w:t>
            </w:r>
          </w:p>
        </w:tc>
        <w:tc>
          <w:tcPr>
            <w:tcW w:w="2820" w:type="dxa"/>
            <w:vAlign w:val="bottom"/>
          </w:tcPr>
          <w:p>
            <w:pPr>
              <w:spacing w:after="0"/>
              <w:rPr>
                <w:sz w:val="21"/>
                <w:szCs w:val="21"/>
                <w:color w:val="auto"/>
              </w:rPr>
            </w:pPr>
          </w:p>
        </w:tc>
      </w:tr>
      <w:tr>
        <w:trPr>
          <w:trHeight w:val="446"/>
        </w:trPr>
        <w:tc>
          <w:tcPr>
            <w:tcW w:w="7120" w:type="dxa"/>
            <w:vAlign w:val="bottom"/>
          </w:tcPr>
          <w:p>
            <w:pPr>
              <w:spacing w:after="0"/>
              <w:rPr>
                <w:sz w:val="20"/>
                <w:szCs w:val="20"/>
                <w:color w:val="auto"/>
              </w:rPr>
            </w:pPr>
            <w:r>
              <w:rPr>
                <w:rFonts w:ascii="Calibri" w:cs="Calibri" w:eastAsia="Calibri" w:hAnsi="Calibri"/>
                <w:sz w:val="20"/>
                <w:szCs w:val="20"/>
                <w:color w:val="auto"/>
              </w:rPr>
              <w:t>Greenidge Generaton Holdings Inc.’s subsidiaries are listed below.</w:t>
            </w:r>
          </w:p>
        </w:tc>
        <w:tc>
          <w:tcPr>
            <w:tcW w:w="2820" w:type="dxa"/>
            <w:vAlign w:val="bottom"/>
          </w:tcPr>
          <w:p>
            <w:pPr>
              <w:spacing w:after="0"/>
              <w:rPr>
                <w:sz w:val="24"/>
                <w:szCs w:val="24"/>
                <w:color w:val="auto"/>
              </w:rPr>
            </w:pPr>
          </w:p>
        </w:tc>
      </w:tr>
      <w:tr>
        <w:trPr>
          <w:trHeight w:val="499"/>
        </w:trPr>
        <w:tc>
          <w:tcPr>
            <w:tcW w:w="7120" w:type="dxa"/>
            <w:vAlign w:val="bottom"/>
          </w:tcPr>
          <w:p>
            <w:pPr>
              <w:ind w:left="80"/>
              <w:spacing w:after="0"/>
              <w:rPr>
                <w:sz w:val="20"/>
                <w:szCs w:val="20"/>
                <w:color w:val="auto"/>
              </w:rPr>
            </w:pPr>
            <w:r>
              <w:rPr>
                <w:rFonts w:ascii="Calibri" w:cs="Calibri" w:eastAsia="Calibri" w:hAnsi="Calibri"/>
                <w:sz w:val="20"/>
                <w:szCs w:val="20"/>
                <w:b w:val="1"/>
                <w:bCs w:val="1"/>
                <w:color w:val="auto"/>
              </w:rPr>
              <w:t>Name of Subsidiary</w:t>
            </w:r>
          </w:p>
        </w:tc>
        <w:tc>
          <w:tcPr>
            <w:tcW w:w="2820" w:type="dxa"/>
            <w:vAlign w:val="bottom"/>
          </w:tcPr>
          <w:p>
            <w:pPr>
              <w:jc w:val="center"/>
              <w:ind w:left="650"/>
              <w:spacing w:after="0"/>
              <w:rPr>
                <w:sz w:val="20"/>
                <w:szCs w:val="20"/>
                <w:color w:val="auto"/>
              </w:rPr>
            </w:pPr>
            <w:r>
              <w:rPr>
                <w:rFonts w:ascii="Calibri" w:cs="Calibri" w:eastAsia="Calibri" w:hAnsi="Calibri"/>
                <w:sz w:val="20"/>
                <w:szCs w:val="20"/>
                <w:b w:val="1"/>
                <w:bCs w:val="1"/>
                <w:color w:val="auto"/>
              </w:rPr>
              <w:t>Jurisdicton of Formaton</w:t>
            </w:r>
          </w:p>
        </w:tc>
      </w:tr>
      <w:tr>
        <w:trPr>
          <w:trHeight w:val="536"/>
        </w:trPr>
        <w:tc>
          <w:tcPr>
            <w:tcW w:w="7120" w:type="dxa"/>
            <w:vAlign w:val="bottom"/>
          </w:tcPr>
          <w:p>
            <w:pPr>
              <w:ind w:left="80"/>
              <w:spacing w:after="0"/>
              <w:rPr>
                <w:sz w:val="20"/>
                <w:szCs w:val="20"/>
                <w:color w:val="auto"/>
              </w:rPr>
            </w:pPr>
            <w:r>
              <w:rPr>
                <w:rFonts w:ascii="Calibri" w:cs="Calibri" w:eastAsia="Calibri" w:hAnsi="Calibri"/>
                <w:sz w:val="18"/>
                <w:szCs w:val="18"/>
                <w:color w:val="auto"/>
              </w:rPr>
              <w:t>Greenidge Generaton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6"/>
              </w:rPr>
              <w:t>New York</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Lockwood Hills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6"/>
              </w:rPr>
              <w:t>New York</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Greenidge Solar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Greenidge Pipeline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Greenidge Pipeline Propertes Corporaton</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6"/>
              </w:rPr>
              <w:t>New York</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Greenidge Markets and Trading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Greenidge Generaton Blocker Inc.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Greenidge Generaton Holdings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Greenidge Secured Lending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Support.com, Inc.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Greenidge Texas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GNY Collateral Holding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GNY Collateral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Greenidge Britsh Columbia ULC</w:t>
            </w:r>
          </w:p>
        </w:tc>
        <w:tc>
          <w:tcPr>
            <w:tcW w:w="2820" w:type="dxa"/>
            <w:vAlign w:val="bottom"/>
          </w:tcPr>
          <w:p>
            <w:pPr>
              <w:jc w:val="center"/>
              <w:ind w:left="670"/>
              <w:spacing w:after="0"/>
              <w:rPr>
                <w:sz w:val="20"/>
                <w:szCs w:val="20"/>
                <w:color w:val="auto"/>
              </w:rPr>
            </w:pPr>
            <w:r>
              <w:rPr>
                <w:rFonts w:ascii="Calibri" w:cs="Calibri" w:eastAsia="Calibri" w:hAnsi="Calibri"/>
                <w:sz w:val="18"/>
                <w:szCs w:val="18"/>
                <w:color w:val="auto"/>
                <w:w w:val="99"/>
              </w:rPr>
              <w:t>Canada</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GTX Gen 1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GTX Gen 1 Collateral Holding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GTX Gen 1 Collateral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GTX Dev 1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Greenidge South Carolina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GSC Collateral Holding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GSC Collateral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GSC RE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GSC DemoCo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300 Jones Road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GGHI Inactve Holdings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Greenidge Mississippi LLC</w:t>
            </w:r>
          </w:p>
        </w:tc>
        <w:tc>
          <w:tcPr>
            <w:tcW w:w="2820" w:type="dxa"/>
            <w:vAlign w:val="bottom"/>
          </w:tcPr>
          <w:p>
            <w:pPr>
              <w:jc w:val="center"/>
              <w:ind w:left="670"/>
              <w:spacing w:after="0"/>
              <w:rPr>
                <w:sz w:val="20"/>
                <w:szCs w:val="20"/>
                <w:color w:val="auto"/>
              </w:rPr>
            </w:pPr>
            <w:r>
              <w:rPr>
                <w:rFonts w:ascii="Calibri" w:cs="Calibri" w:eastAsia="Calibri" w:hAnsi="Calibri"/>
                <w:sz w:val="18"/>
                <w:szCs w:val="18"/>
                <w:color w:val="auto"/>
                <w:w w:val="98"/>
              </w:rPr>
              <w:t>Mississippi</w:t>
            </w:r>
          </w:p>
        </w:tc>
      </w:tr>
      <w:tr>
        <w:trPr>
          <w:trHeight w:val="297"/>
        </w:trPr>
        <w:tc>
          <w:tcPr>
            <w:tcW w:w="7120" w:type="dxa"/>
            <w:vAlign w:val="bottom"/>
          </w:tcPr>
          <w:p>
            <w:pPr>
              <w:ind w:left="80"/>
              <w:spacing w:after="0"/>
              <w:rPr>
                <w:sz w:val="20"/>
                <w:szCs w:val="20"/>
                <w:color w:val="auto"/>
              </w:rPr>
            </w:pPr>
            <w:r>
              <w:rPr>
                <w:rFonts w:ascii="Calibri" w:cs="Calibri" w:eastAsia="Calibri" w:hAnsi="Calibri"/>
                <w:sz w:val="18"/>
                <w:szCs w:val="18"/>
                <w:color w:val="auto"/>
              </w:rPr>
              <w:t>Greenidge North Dakota, LLC</w:t>
            </w:r>
          </w:p>
        </w:tc>
        <w:tc>
          <w:tcPr>
            <w:tcW w:w="2820" w:type="dxa"/>
            <w:vAlign w:val="bottom"/>
          </w:tcPr>
          <w:p>
            <w:pPr>
              <w:jc w:val="center"/>
              <w:ind w:left="650"/>
              <w:spacing w:after="0"/>
              <w:rPr>
                <w:sz w:val="20"/>
                <w:szCs w:val="20"/>
                <w:color w:val="auto"/>
              </w:rPr>
            </w:pPr>
            <w:r>
              <w:rPr>
                <w:rFonts w:ascii="Calibri" w:cs="Calibri" w:eastAsia="Calibri" w:hAnsi="Calibri"/>
                <w:sz w:val="18"/>
                <w:szCs w:val="18"/>
                <w:color w:val="auto"/>
                <w:w w:val="97"/>
              </w:rPr>
              <w:t>Delaware</w:t>
            </w:r>
          </w:p>
        </w:tc>
      </w:tr>
    </w:tbl>
    <w:p>
      <w:pPr>
        <w:sectPr>
          <w:pgSz w:w="11900" w:h="16838" w:orient="portrait"/>
          <w:cols w:equalWidth="0" w:num="1">
            <w:col w:w="11240"/>
          </w:cols>
          <w:pgMar w:left="320" w:top="1440" w:right="339" w:bottom="1440" w:gutter="0" w:footer="0" w:header="0"/>
        </w:sectPr>
      </w:pPr>
    </w:p>
    <w:bookmarkStart w:id="135" w:name="page136"/>
    <w:bookmarkEnd w:id="135"/>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Forms S-3 (File Nos. 333-267506 and 333-278600), Forms S-8 (File Nos. 333-260257, 333-268074, 333-272238 and 333-284956) and Form S-1 (File No. 333-281156) of our report dated March 31, 2025 with respect to the audited consolidated financial statements of Greenidge Generation Holdings Inc. and its subsidiaries (collectively, the “Company”) appearing in this Annual Report Form on 10-K for the year ended December 31, 2024.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MaloneBailey,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www.malonebailey.com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ectPr>
          <w:pgSz w:w="11900" w:h="16838" w:orient="portrait"/>
          <w:cols w:equalWidth="0" w:num="1">
            <w:col w:w="9920"/>
          </w:cols>
          <w:pgMar w:left="980" w:top="1440" w:right="999" w:bottom="1440" w:gutter="0" w:footer="0" w:header="0"/>
        </w:sectPr>
      </w:pPr>
    </w:p>
    <w:bookmarkStart w:id="136" w:name="page137"/>
    <w:bookmarkEnd w:id="136"/>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5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b w:val="1"/>
          <w:bCs w:val="1"/>
          <w:color w:val="auto"/>
        </w:rPr>
        <w:t>AS AMENDED, 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Jordan Kovler, Chief Executive Officer of Greenidge Generation Holdings, Inc., certify that:</w:t>
      </w:r>
    </w:p>
    <w:p>
      <w:pPr>
        <w:spacing w:after="0" w:line="243"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Greenidge Generation Holdings, Inc.;</w:t>
      </w:r>
    </w:p>
    <w:p>
      <w:pPr>
        <w:spacing w:after="0" w:line="256"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20"/>
          <w:szCs w:val="20"/>
          <w:color w:val="auto"/>
        </w:rPr>
      </w:pPr>
    </w:p>
    <w:p>
      <w:pPr>
        <w:ind w:left="660" w:right="200" w:hanging="328"/>
        <w:spacing w:after="0" w:line="268" w:lineRule="auto"/>
        <w:tabs>
          <w:tab w:leader="none" w:pos="6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88" w:lineRule="exact"/>
        <w:rPr>
          <w:rFonts w:ascii="Times New Roman" w:cs="Times New Roman" w:eastAsia="Times New Roman" w:hAnsi="Times New Roman"/>
          <w:sz w:val="20"/>
          <w:szCs w:val="20"/>
          <w:color w:val="auto"/>
        </w:rPr>
      </w:pPr>
    </w:p>
    <w:p>
      <w:pPr>
        <w:ind w:left="1300" w:right="100" w:hanging="320"/>
        <w:spacing w:after="0" w:line="261" w:lineRule="auto"/>
        <w:tabs>
          <w:tab w:leader="none" w:pos="129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ind w:left="1300" w:right="560" w:hanging="320"/>
        <w:spacing w:after="0" w:line="281" w:lineRule="auto"/>
        <w:tabs>
          <w:tab w:leader="none" w:pos="1288"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9"/>
          <w:szCs w:val="19"/>
          <w:color w:val="auto"/>
        </w:rPr>
      </w:pPr>
    </w:p>
    <w:p>
      <w:pPr>
        <w:jc w:val="both"/>
        <w:ind w:left="1300" w:right="80" w:hanging="320"/>
        <w:spacing w:after="0" w:line="261" w:lineRule="auto"/>
        <w:tabs>
          <w:tab w:leader="none" w:pos="129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Times New Roman" w:cs="Times New Roman" w:eastAsia="Times New Roman" w:hAnsi="Times New Roman"/>
          <w:sz w:val="20"/>
          <w:szCs w:val="20"/>
          <w:color w:val="auto"/>
        </w:rPr>
      </w:pPr>
    </w:p>
    <w:p>
      <w:pPr>
        <w:ind w:left="1300" w:right="120" w:hanging="320"/>
        <w:spacing w:after="0" w:line="281" w:lineRule="auto"/>
        <w:tabs>
          <w:tab w:leader="none" w:pos="1288"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9" w:lineRule="exact"/>
        <w:rPr>
          <w:sz w:val="20"/>
          <w:szCs w:val="20"/>
          <w:color w:val="auto"/>
        </w:rPr>
      </w:pPr>
    </w:p>
    <w:p>
      <w:pPr>
        <w:ind w:left="580" w:hanging="328"/>
        <w:spacing w:after="0" w:line="268" w:lineRule="auto"/>
        <w:tabs>
          <w:tab w:leader="none" w:pos="5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0"/>
          <w:szCs w:val="20"/>
          <w:color w:val="auto"/>
        </w:rPr>
      </w:pPr>
    </w:p>
    <w:p>
      <w:pPr>
        <w:ind w:left="1220" w:right="260" w:hanging="320"/>
        <w:spacing w:after="0" w:line="261" w:lineRule="auto"/>
        <w:tabs>
          <w:tab w:leader="none" w:pos="121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220" w:right="680" w:hanging="320"/>
        <w:spacing w:after="0" w:line="269" w:lineRule="auto"/>
        <w:tabs>
          <w:tab w:leader="none" w:pos="1208"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spacing w:after="0"/>
        <w:tabs>
          <w:tab w:leader="none" w:pos="3020" w:val="left"/>
          <w:tab w:leader="none" w:pos="5880" w:val="left"/>
          <w:tab w:leader="none" w:pos="830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March 31,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Jordan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48260</wp:posOffset>
            </wp:positionV>
            <wp:extent cx="55118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pacing w:after="0" w:line="84"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20"/>
          <w:szCs w:val="20"/>
          <w:b w:val="1"/>
          <w:bCs w:val="1"/>
          <w:color w:val="auto"/>
        </w:rPr>
        <w:t>Jordan Kovler</w:t>
      </w:r>
    </w:p>
    <w:p>
      <w:pPr>
        <w:spacing w:after="0" w:line="94"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20"/>
          <w:szCs w:val="20"/>
          <w:b w:val="1"/>
          <w:bCs w:val="1"/>
          <w:color w:val="auto"/>
        </w:rPr>
        <w:t>Chief Executive Officer</w:t>
      </w:r>
    </w:p>
    <w:p>
      <w:pPr>
        <w:sectPr>
          <w:pgSz w:w="11900" w:h="16838" w:orient="portrait"/>
          <w:cols w:equalWidth="0" w:num="1">
            <w:col w:w="11080"/>
          </w:cols>
          <w:pgMar w:left="400" w:top="1440" w:right="419" w:bottom="1440" w:gutter="0" w:footer="0" w:header="0"/>
        </w:sectPr>
      </w:pPr>
    </w:p>
    <w:bookmarkStart w:id="138" w:name="page139"/>
    <w:bookmarkEnd w:id="138"/>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5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b w:val="1"/>
          <w:bCs w:val="1"/>
          <w:color w:val="auto"/>
        </w:rPr>
        <w:t>AS AMENDED, 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Christian Mulvihill, Chief Financial Officer of Greenidge Generation Holdings, Inc., certify that:</w:t>
      </w:r>
    </w:p>
    <w:p>
      <w:pPr>
        <w:spacing w:after="0" w:line="243"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Greenidge Generation Holdings, Inc.;</w:t>
      </w:r>
    </w:p>
    <w:p>
      <w:pPr>
        <w:spacing w:after="0" w:line="256"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20"/>
          <w:szCs w:val="20"/>
          <w:color w:val="auto"/>
        </w:rPr>
      </w:pPr>
    </w:p>
    <w:p>
      <w:pPr>
        <w:ind w:left="660" w:right="200" w:hanging="328"/>
        <w:spacing w:after="0" w:line="268" w:lineRule="auto"/>
        <w:tabs>
          <w:tab w:leader="none" w:pos="6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88" w:lineRule="exact"/>
        <w:rPr>
          <w:rFonts w:ascii="Times New Roman" w:cs="Times New Roman" w:eastAsia="Times New Roman" w:hAnsi="Times New Roman"/>
          <w:sz w:val="20"/>
          <w:szCs w:val="20"/>
          <w:color w:val="auto"/>
        </w:rPr>
      </w:pPr>
    </w:p>
    <w:p>
      <w:pPr>
        <w:ind w:left="1300" w:right="100" w:hanging="320"/>
        <w:spacing w:after="0" w:line="261" w:lineRule="auto"/>
        <w:tabs>
          <w:tab w:leader="none" w:pos="129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ind w:left="1300" w:right="560" w:hanging="320"/>
        <w:spacing w:after="0" w:line="281" w:lineRule="auto"/>
        <w:tabs>
          <w:tab w:leader="none" w:pos="1288"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9"/>
          <w:szCs w:val="19"/>
          <w:color w:val="auto"/>
        </w:rPr>
      </w:pPr>
    </w:p>
    <w:p>
      <w:pPr>
        <w:jc w:val="both"/>
        <w:ind w:left="1300" w:right="80" w:hanging="320"/>
        <w:spacing w:after="0" w:line="261" w:lineRule="auto"/>
        <w:tabs>
          <w:tab w:leader="none" w:pos="129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Times New Roman" w:cs="Times New Roman" w:eastAsia="Times New Roman" w:hAnsi="Times New Roman"/>
          <w:sz w:val="20"/>
          <w:szCs w:val="20"/>
          <w:color w:val="auto"/>
        </w:rPr>
      </w:pPr>
    </w:p>
    <w:p>
      <w:pPr>
        <w:ind w:left="1300" w:right="120" w:hanging="320"/>
        <w:spacing w:after="0" w:line="281" w:lineRule="auto"/>
        <w:tabs>
          <w:tab w:leader="none" w:pos="1288"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9" w:lineRule="exact"/>
        <w:rPr>
          <w:sz w:val="20"/>
          <w:szCs w:val="20"/>
          <w:color w:val="auto"/>
        </w:rPr>
      </w:pPr>
    </w:p>
    <w:p>
      <w:pPr>
        <w:ind w:left="580" w:hanging="328"/>
        <w:spacing w:after="0" w:line="268" w:lineRule="auto"/>
        <w:tabs>
          <w:tab w:leader="none" w:pos="5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0"/>
          <w:szCs w:val="20"/>
          <w:color w:val="auto"/>
        </w:rPr>
      </w:pPr>
    </w:p>
    <w:p>
      <w:pPr>
        <w:ind w:left="1220" w:right="260" w:hanging="320"/>
        <w:spacing w:after="0" w:line="261" w:lineRule="auto"/>
        <w:tabs>
          <w:tab w:leader="none" w:pos="121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220" w:right="680" w:hanging="320"/>
        <w:spacing w:after="0" w:line="269" w:lineRule="auto"/>
        <w:tabs>
          <w:tab w:leader="none" w:pos="1208"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spacing w:after="0"/>
        <w:tabs>
          <w:tab w:leader="none" w:pos="3020" w:val="left"/>
          <w:tab w:leader="none" w:pos="5880" w:val="left"/>
          <w:tab w:leader="none" w:pos="810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March 31,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Christian Mulvihill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48260</wp:posOffset>
            </wp:positionV>
            <wp:extent cx="55118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pacing w:after="0" w:line="84"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20"/>
          <w:szCs w:val="20"/>
          <w:b w:val="1"/>
          <w:bCs w:val="1"/>
          <w:color w:val="auto"/>
        </w:rPr>
        <w:t>Christian Mulvihill</w:t>
      </w:r>
    </w:p>
    <w:p>
      <w:pPr>
        <w:spacing w:after="0" w:line="94"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20"/>
          <w:szCs w:val="20"/>
          <w:b w:val="1"/>
          <w:bCs w:val="1"/>
          <w:color w:val="auto"/>
        </w:rPr>
        <w:t>Chief Financial Officer</w:t>
      </w:r>
    </w:p>
    <w:p>
      <w:pPr>
        <w:sectPr>
          <w:pgSz w:w="11900" w:h="16838" w:orient="portrait"/>
          <w:cols w:equalWidth="0" w:num="1">
            <w:col w:w="11080"/>
          </w:cols>
          <w:pgMar w:left="400" w:top="1440" w:right="419" w:bottom="1440" w:gutter="0" w:footer="0" w:header="0"/>
        </w:sectPr>
      </w:pPr>
    </w:p>
    <w:bookmarkStart w:id="140" w:name="page141"/>
    <w:bookmarkEnd w:id="140"/>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connection with the annual report of Greenidge Generation Holdings, Inc. (the “Company”) on Form 10-K for the period ended December 31, 2024 as filed with the Securities and Exchange Commission on the date hereof (the “Report”), I, Jordan Kovler, Chief Executive Officer of the Company, certify, pursuant to Rule 13a-14(b) or Rule 15d-14(b) of the Securities Exchange Act of 1934 (the “Exchange Act”) and Section 1350 of Chapter 63 of Title 18 of the United States Code, as adopted pursuant to Section 906 of the Sarbanes-Oxley Act of 2002, that, to the best of my knowledge:</w:t>
      </w:r>
    </w:p>
    <w:p>
      <w:pPr>
        <w:spacing w:after="0" w:line="219"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Sections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660" w:hanging="328"/>
        <w:spacing w:after="0" w:line="283" w:lineRule="auto"/>
        <w:tabs>
          <w:tab w:leader="none" w:pos="6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p>
      <w:pPr>
        <w:ind w:left="80"/>
        <w:spacing w:after="0"/>
        <w:tabs>
          <w:tab w:leader="none" w:pos="3100" w:val="left"/>
          <w:tab w:leader="none" w:pos="5960" w:val="left"/>
          <w:tab w:leader="none" w:pos="83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March 31,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Jordan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48260</wp:posOffset>
            </wp:positionV>
            <wp:extent cx="55118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pacing w:after="0" w:line="84"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20"/>
          <w:szCs w:val="20"/>
          <w:b w:val="1"/>
          <w:bCs w:val="1"/>
          <w:color w:val="auto"/>
        </w:rPr>
        <w:t>Jordan Kovler</w:t>
      </w:r>
    </w:p>
    <w:p>
      <w:pPr>
        <w:spacing w:after="0" w:line="94"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20"/>
          <w:szCs w:val="20"/>
          <w:b w:val="1"/>
          <w:bCs w:val="1"/>
          <w:color w:val="auto"/>
        </w:rPr>
        <w:t>Chief Executive Officer</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connection with the annual report of Greenidge Generation Holdings, Inc. (the “Company”) on Form 10-K for the period ended December 31, 2024 as filed with the Securities and Exchange Commission on the date hereof (the “Report”), I, Christian Mulvihill, Chief Financial Officer of the Company, certify, pursuant to Rule 13a-14(b) or Rule 15d-14(b) of the Securities Exchange Act of 1934 (the “Exchange Act”) and Section 1350 of Chapter 63 of Title 18 of the United States Code, as adopted pursuant to Section 906 of the Sarbanes-Oxley Act of 2002, that, to the best of my knowledge:</w:t>
      </w:r>
    </w:p>
    <w:p>
      <w:pPr>
        <w:spacing w:after="0" w:line="219"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Sections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660" w:hanging="328"/>
        <w:spacing w:after="0" w:line="283" w:lineRule="auto"/>
        <w:tabs>
          <w:tab w:leader="none" w:pos="6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p>
      <w:pPr>
        <w:ind w:left="80"/>
        <w:spacing w:after="0"/>
        <w:tabs>
          <w:tab w:leader="none" w:pos="3100" w:val="left"/>
          <w:tab w:leader="none" w:pos="5960" w:val="left"/>
          <w:tab w:leader="none" w:pos="81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March 31,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Christian Mulvihill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48260</wp:posOffset>
            </wp:positionV>
            <wp:extent cx="55118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pacing w:after="0" w:line="84"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20"/>
          <w:szCs w:val="20"/>
          <w:b w:val="1"/>
          <w:bCs w:val="1"/>
          <w:color w:val="auto"/>
        </w:rPr>
        <w:t>Christian Mulvihill</w:t>
      </w:r>
    </w:p>
    <w:p>
      <w:pPr>
        <w:spacing w:after="0" w:line="94"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20"/>
          <w:szCs w:val="20"/>
          <w:b w:val="1"/>
          <w:bCs w:val="1"/>
          <w:color w:val="auto"/>
        </w:rPr>
        <w:t>Chief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1."/>
      <w:numFmt w:val="decimal"/>
      <w:start w:val="2"/>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1)"/>
      <w:numFmt w:val="lowerLetter"/>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decimal"/>
      <w:start w:val="2"/>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lowerRoman"/>
      <w:start w:val="3"/>
    </w:lvl>
  </w:abstractNum>
  <w:abstractNum w:abstractNumId="41">
    <w:nsid w:val="649BB77C"/>
    <w:multiLevelType w:val="hybridMultilevel"/>
    <w:lvl w:ilvl="0">
      <w:lvlJc w:val="left"/>
      <w:lvlText w:val="%1."/>
      <w:numFmt w:val="decimal"/>
      <w:start w:val="6"/>
    </w:lvl>
  </w:abstractNum>
  <w:abstractNum w:abstractNumId="42">
    <w:nsid w:val="275AC794"/>
    <w:multiLevelType w:val="hybridMultilevel"/>
    <w:lvl w:ilvl="0">
      <w:lvlJc w:val="left"/>
      <w:lvlText w:val="%1."/>
      <w:numFmt w:val="decimal"/>
      <w:start w:val="8"/>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decimal"/>
      <w:start w:val="1"/>
    </w:lvl>
    <w:lvl w:ilvl="1">
      <w:lvlJc w:val="left"/>
      <w:lvlText w:val="(%2)"/>
      <w:numFmt w:val="lowerLetter"/>
      <w:start w:val="1"/>
    </w:lvl>
  </w:abstractNum>
  <w:abstractNum w:abstractNumId="64">
    <w:nsid w:val="1F48EAA1"/>
    <w:multiLevelType w:val="hybridMultilevel"/>
    <w:lvl w:ilvl="0">
      <w:lvlJc w:val="left"/>
      <w:lvlText w:val="%1."/>
      <w:numFmt w:val="decimal"/>
      <w:start w:val="5"/>
    </w:lvl>
    <w:lvl w:ilvl="1">
      <w:lvlJc w:val="left"/>
      <w:lvlText w:val="(%2)"/>
      <w:numFmt w:val="lowerLetter"/>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5"/>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9" Type="http://schemas.openxmlformats.org/officeDocument/2006/relationships/image" Target="media/image81.png"/><Relationship Id="rId130" Type="http://schemas.openxmlformats.org/officeDocument/2006/relationships/image" Target="media/image82.png"/><Relationship Id="rId131" Type="http://schemas.openxmlformats.org/officeDocument/2006/relationships/image" Target="media/image83.png"/><Relationship Id="rId132" Type="http://schemas.openxmlformats.org/officeDocument/2006/relationships/image" Target="media/image84.png"/><Relationship Id="rId133" Type="http://schemas.openxmlformats.org/officeDocument/2006/relationships/image" Target="media/image85.png"/><Relationship Id="rId134" Type="http://schemas.openxmlformats.org/officeDocument/2006/relationships/image" Target="media/image86.png"/><Relationship Id="rId135" Type="http://schemas.openxmlformats.org/officeDocument/2006/relationships/image" Target="media/image87.png"/><Relationship Id="rId136" Type="http://schemas.openxmlformats.org/officeDocument/2006/relationships/image" Target="media/image88.png"/><Relationship Id="rId137" Type="http://schemas.openxmlformats.org/officeDocument/2006/relationships/image" Target="media/image89.png"/><Relationship Id="rId138" Type="http://schemas.openxmlformats.org/officeDocument/2006/relationships/image" Target="media/image90.png"/><Relationship Id="rId139" Type="http://schemas.openxmlformats.org/officeDocument/2006/relationships/image" Target="media/image91.png"/><Relationship Id="rId140" Type="http://schemas.openxmlformats.org/officeDocument/2006/relationships/image" Target="media/image92.png"/><Relationship Id="rId141" Type="http://schemas.openxmlformats.org/officeDocument/2006/relationships/image" Target="media/image93.png"/><Relationship Id="rId142" Type="http://schemas.openxmlformats.org/officeDocument/2006/relationships/image" Target="media/image94.png"/><Relationship Id="rId143" Type="http://schemas.openxmlformats.org/officeDocument/2006/relationships/image" Target="media/image95.png"/><Relationship Id="rId144" Type="http://schemas.openxmlformats.org/officeDocument/2006/relationships/image" Target="media/image96.png"/><Relationship Id="rId145" Type="http://schemas.openxmlformats.org/officeDocument/2006/relationships/image" Target="media/image97.png"/><Relationship Id="rId146" Type="http://schemas.openxmlformats.org/officeDocument/2006/relationships/image" Target="media/image98.png"/><Relationship Id="rId147" Type="http://schemas.openxmlformats.org/officeDocument/2006/relationships/image" Target="media/image99.png"/><Relationship Id="rId148" Type="http://schemas.openxmlformats.org/officeDocument/2006/relationships/image" Target="media/image100.png"/><Relationship Id="rId149" Type="http://schemas.openxmlformats.org/officeDocument/2006/relationships/image" Target="media/image101.png"/><Relationship Id="rId150" Type="http://schemas.openxmlformats.org/officeDocument/2006/relationships/image" Target="media/image102.png"/><Relationship Id="rId151" Type="http://schemas.openxmlformats.org/officeDocument/2006/relationships/image" Target="media/image103.png"/><Relationship Id="rId152" Type="http://schemas.openxmlformats.org/officeDocument/2006/relationships/image" Target="media/image104.png"/><Relationship Id="rId153" Type="http://schemas.openxmlformats.org/officeDocument/2006/relationships/image" Target="media/image105.png"/><Relationship Id="rId154" Type="http://schemas.openxmlformats.org/officeDocument/2006/relationships/image" Target="media/image106.png"/><Relationship Id="rId155" Type="http://schemas.openxmlformats.org/officeDocument/2006/relationships/image" Target="media/image107.png"/><Relationship Id="rId156"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84" Type="http://schemas.openxmlformats.org/officeDocument/2006/relationships/hyperlink" Target="https://www.sec.gov/Archives/edgar/data/1844971/000119312521149057/d166032ds4.htm" TargetMode="External"/><Relationship Id="rId85" Type="http://schemas.openxmlformats.org/officeDocument/2006/relationships/hyperlink" Target="https://www.sec.gov/Archives/edgar/data/1844971/000094787122001118/ss1462961_ex0301.htm" TargetMode="External"/><Relationship Id="rId86" Type="http://schemas.openxmlformats.org/officeDocument/2006/relationships/hyperlink" Target="https://www.sec.gov/Archives/edgar/data/1844971/000162828023018079/ex-31.htm" TargetMode="External"/><Relationship Id="rId87" Type="http://schemas.openxmlformats.org/officeDocument/2006/relationships/hyperlink" Target="https://www.sec.gov/Archives/edgar/data/1844971/000119312521217543/d166032dex32.htm" TargetMode="External"/><Relationship Id="rId88" Type="http://schemas.openxmlformats.org/officeDocument/2006/relationships/hyperlink" Target="https://www.sec.gov/Archives/edgar/data/1844971/000119312521297840/d207492dex41.htm" TargetMode="External"/><Relationship Id="rId89" Type="http://schemas.openxmlformats.org/officeDocument/2006/relationships/hyperlink" Target="https://www.sec.gov/Archives/edgar/data/1844971/000119312521297840/d207492dex42.htm" TargetMode="External"/><Relationship Id="rId90" Type="http://schemas.openxmlformats.org/officeDocument/2006/relationships/hyperlink" Target="https://www.sec.gov/Archives/edgar/data/1844971/000119312521344458/d253482dex108.htm" TargetMode="External"/><Relationship Id="rId91" Type="http://schemas.openxmlformats.org/officeDocument/2006/relationships/hyperlink" Target="https://www.sec.gov/Archives/edgar/data/1844971/000092189524002764/def14c14132005_11132024.htm" TargetMode="External"/><Relationship Id="rId92" Type="http://schemas.openxmlformats.org/officeDocument/2006/relationships/hyperlink" Target="https://www.sec.gov/Archives/edgar/data/1844971/000119312521149057/d166032dex102.htm" TargetMode="External"/><Relationship Id="rId93" Type="http://schemas.openxmlformats.org/officeDocument/2006/relationships/hyperlink" Target="https://www.sec.gov/Archives/edgar/data/1844971/000119312521149057/d166032dex103.htm" TargetMode="External"/><Relationship Id="rId94" Type="http://schemas.openxmlformats.org/officeDocument/2006/relationships/hyperlink" Target="https://www.sec.gov/Archives/edgar/data/1844971/000095017021004487/gree-ex10_7.htm" TargetMode="External"/><Relationship Id="rId95" Type="http://schemas.openxmlformats.org/officeDocument/2006/relationships/hyperlink" Target="https://www.sec.gov/Archives/edgar/data/1844971/000095017021004487/gree-ex10_3.htm" TargetMode="External"/><Relationship Id="rId96" Type="http://schemas.openxmlformats.org/officeDocument/2006/relationships/hyperlink" Target="https://www.sec.gov/Archives/edgar/data/1844971/000119312521200431/d166032dex107.htm" TargetMode="External"/><Relationship Id="rId97" Type="http://schemas.openxmlformats.org/officeDocument/2006/relationships/hyperlink" Target="https://www.sec.gov/Archives/edgar/data/1844971/000095017021004487/gree-ex10_6.htm" TargetMode="External"/><Relationship Id="rId98" Type="http://schemas.openxmlformats.org/officeDocument/2006/relationships/hyperlink" Target="https://www.sec.gov/Archives/edgar/data/1844971/000119312522099511/d305185dex101.htm" TargetMode="External"/><Relationship Id="rId99" Type="http://schemas.openxmlformats.org/officeDocument/2006/relationships/hyperlink" Target="https://www.sec.gov/Archives/edgar/data/1844971/000119312522105679/d322201dex101.htm" TargetMode="External"/><Relationship Id="rId100" Type="http://schemas.openxmlformats.org/officeDocument/2006/relationships/hyperlink" Target="https://www.sec.gov/Archives/edgar/data/1844971/000095017022017424/gree-ex10_7.htm" TargetMode="External"/><Relationship Id="rId101" Type="http://schemas.openxmlformats.org/officeDocument/2006/relationships/hyperlink" Target="https://www.sec.gov/Archives/edgar/data/1844971/000119312522247179/d397978dex11.htm" TargetMode="External"/><Relationship Id="rId104" Type="http://schemas.openxmlformats.org/officeDocument/2006/relationships/hyperlink" Target="https://www.sec.gov/Archives/edgar/data/1844971/000119312522256918/d258070dex101.htm" TargetMode="External"/><Relationship Id="rId105" Type="http://schemas.openxmlformats.org/officeDocument/2006/relationships/hyperlink" Target="https://www.sec.gov/Archives/edgar/data/1844971/000162828023001779/exhibit103_greex2023x01x30.htm" TargetMode="External"/><Relationship Id="rId106" Type="http://schemas.openxmlformats.org/officeDocument/2006/relationships/hyperlink" Target="https://www.sec.gov/Archives/edgar/data/1844971/000162828023001779/exhibit104_greex2023x01x30.htm" TargetMode="External"/><Relationship Id="rId107" Type="http://schemas.openxmlformats.org/officeDocument/2006/relationships/hyperlink" Target="https://www.sec.gov/Archives/edgar/data/1844971/000162828023010227/ex1027_andersonofferletter.htm" TargetMode="External"/><Relationship Id="rId108" Type="http://schemas.openxmlformats.org/officeDocument/2006/relationships/hyperlink" Target="https://www.sec.gov/Archives/edgar/data/1844971/000162828024018968/releaseagreementsmackenzie.htm" TargetMode="External"/><Relationship Id="rId109" Type="http://schemas.openxmlformats.org/officeDocument/2006/relationships/hyperlink" Target="https://www.sec.gov/Archives/edgar/data/1844971/000094787122001118/ss1462961_ex9901.htm" TargetMode="External"/><Relationship Id="rId110" Type="http://schemas.openxmlformats.org/officeDocument/2006/relationships/hyperlink" Target="https://www.sec.gov/Archives/edgar/data/1844971/000162828023039003/a1spartanburg-apaexecute.htm" TargetMode="External"/><Relationship Id="rId111" Type="http://schemas.openxmlformats.org/officeDocument/2006/relationships/hyperlink" Target="https://www.sec.gov/Archives/edgar/data/1844971/000162828023039003/a2spartanburg-repaexecut.htm" TargetMode="External"/><Relationship Id="rId112" Type="http://schemas.openxmlformats.org/officeDocument/2006/relationships/hyperlink" Target="https://www.sec.gov/Archives/edgar/data/1844971/000162828023039003/a3spartanburg-tsaexecute.htm" TargetMode="External"/><Relationship Id="rId113" Type="http://schemas.openxmlformats.org/officeDocument/2006/relationships/hyperlink" Target="https://www.sec.gov/Archives/edgar/data/1844971/000162828023039003/a4spartanburg-hostingter.htm" TargetMode="External"/><Relationship Id="rId114" Type="http://schemas.openxmlformats.org/officeDocument/2006/relationships/hyperlink" Target="https://www.sec.gov/Archives/edgar/data/1844971/000162828024015540/mulvihillofferletterexec.htm" TargetMode="External"/><Relationship Id="rId115" Type="http://schemas.openxmlformats.org/officeDocument/2006/relationships/hyperlink" Target="https://www.sec.gov/Archives/edgar/data/1844971/000162828023041278/ex101-greexirmasterservice.htm" TargetMode="External"/><Relationship Id="rId116" Type="http://schemas.openxmlformats.org/officeDocument/2006/relationships/hyperlink" Target="https://www.sec.gov/Archives/edgar/data/1844971/000162828023041278/ex102-infiniterealityxgree.htm" TargetMode="External"/><Relationship Id="rId117" Type="http://schemas.openxmlformats.org/officeDocument/2006/relationships/hyperlink" Target="https://www.sec.gov/Archives/edgar/data/1844971/000162828023041278/ex103-infiniterealityxgree.htm" TargetMode="External"/><Relationship Id="rId118" Type="http://schemas.openxmlformats.org/officeDocument/2006/relationships/hyperlink" Target="https://www.sec.gov/Archives/edgar/data/1844971/000162828023041278/ex104-greexinfinitereality.htm" TargetMode="External"/><Relationship Id="rId119" Type="http://schemas.openxmlformats.org/officeDocument/2006/relationships/hyperlink" Target="https://www.sec.gov/Archives/edgar/data/1844971/000162828024005237/greespa.htm" TargetMode="External"/><Relationship Id="rId120" Type="http://schemas.openxmlformats.org/officeDocument/2006/relationships/hyperlink" Target="https://www.sec.gov/Archives/edgar/data/1844971/000162828024005237/prefundedwarrant.htm" TargetMode="External"/><Relationship Id="rId123" Type="http://schemas.openxmlformats.org/officeDocument/2006/relationships/hyperlink" Target="https://www.sec.gov/Archives/edgar/data/1844971/000162828024005237/fiveyearwarrant.htm" TargetMode="External"/><Relationship Id="rId124" Type="http://schemas.openxmlformats.org/officeDocument/2006/relationships/hyperlink" Target="https://www.sec.gov/Archives/edgar/data/1844971/000162828024015540/commercialpurchaseandsalea.htm" TargetMode="External"/><Relationship Id="rId125" Type="http://schemas.openxmlformats.org/officeDocument/2006/relationships/hyperlink" Target="https://www.sec.gov/Archives/edgar/data/1844971/000162828024033782/greecef-commonstockpurch.htm" TargetMode="External"/><Relationship Id="rId126" Type="http://schemas.openxmlformats.org/officeDocument/2006/relationships/hyperlink" Target="https://www.sec.gov/Archives/edgar/data/1844971/000162828024033782/greecef-registrationrigh.htm" TargetMode="External"/><Relationship Id="rId127" Type="http://schemas.openxmlformats.org/officeDocument/2006/relationships/hyperlink" Target="https://www.sec.gov/Archives/edgar/data/1844971/000162828025002834/atlas-greexequityinterestp.htm" TargetMode="External"/><Relationship Id="rId128" Type="http://schemas.openxmlformats.org/officeDocument/2006/relationships/hyperlink" Target="https://www.sec.gov/ix?doc=/Archives/edgar/data/1844971/000162828024015540/gree-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2025-03-31T06:34:58Z</dcterms:created>
  <dcterms:modified xsi:type="dcterms:W3CDTF">2025-03-31T06:34:58Z</dcterms:modified>
</cp:coreProperties>
</file>