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spacing w:lineRule="auto" w:line="288" w:before="0" w:after="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WASHINGTON, D.C. 20549</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36"/>
        </w:rPr>
      </w:pPr>
      <w:r>
        <w:rPr>
          <w:rFonts w:ascii="Calibri;sans-serif" w:hAnsi="Calibri;sans-serif"/>
          <w:b/>
          <w:color w:val="000000"/>
          <w:sz w:val="36"/>
        </w:rPr>
        <w:t>FORM 10-Q</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(Mark One)</w:t>
      </w:r>
    </w:p>
    <w:p>
      <w:pPr>
        <w:pStyle w:val="TextBody"/>
        <w:bidi w:val="0"/>
        <w:spacing w:lineRule="auto" w:line="288" w:before="0" w:after="0"/>
        <w:ind w:left="0" w:right="0" w:hanging="720"/>
        <w:jc w:val="left"/>
        <w:rPr/>
      </w:pPr>
      <w:r>
        <w:rPr>
          <w:rFonts w:ascii="Wingdings;sans-serif" w:hAnsi="Wingdings;sans-serif"/>
          <w:b/>
          <w:color w:val="000000"/>
          <w:sz w:val="24"/>
        </w:rPr>
        <w:t>x</w:t>
      </w:r>
      <w:r>
        <w:rPr>
          <w:color w:val="000000"/>
        </w:rPr>
        <w:t>    </w:t>
      </w:r>
      <w:r>
        <w:rPr>
          <w:rFonts w:ascii="Calibri;sans-serif" w:hAnsi="Calibri;sans-serif"/>
          <w:b/>
          <w:color w:val="000000"/>
          <w:sz w:val="24"/>
        </w:rPr>
        <w:t>QUARTERLY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For the quarterly period ended June 30, 2023 </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spacing w:lineRule="auto" w:line="288" w:before="120" w:after="283"/>
        <w:ind w:left="0" w:right="0" w:hanging="720"/>
        <w:jc w:val="left"/>
        <w:rPr/>
      </w:pPr>
      <w:r>
        <w:rPr>
          <w:rFonts w:ascii="Wingdings;sans-serif" w:hAnsi="Wingdings;sans-serif"/>
          <w:b/>
          <w:color w:val="000000"/>
          <w:sz w:val="24"/>
        </w:rPr>
        <w:t>o</w:t>
      </w:r>
      <w:r>
        <w:rPr>
          <w:color w:val="000000"/>
        </w:rPr>
        <w:t>    </w:t>
      </w:r>
      <w:r>
        <w:rPr>
          <w:rFonts w:ascii="Calibri;sans-serif" w:hAnsi="Calibri;sans-serif"/>
          <w:b/>
          <w:color w:val="000000"/>
          <w:sz w:val="24"/>
        </w:rPr>
        <w:t>TRANSITION REPORT PURSUANT TO SECTION 13 OR 15(d) OF THE SECURITIES EXCHANGE ACT OF 1934</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For the transition period from _____________________ to _____________________</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Commission File Number: 001-40808</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center"/>
        <w:rPr>
          <w:rFonts w:ascii="Calibri;sans-serif" w:hAnsi="Calibri;sans-serif"/>
          <w:b/>
          <w:color w:val="000000"/>
          <w:sz w:val="48"/>
        </w:rPr>
      </w:pPr>
      <w:r>
        <w:rPr>
          <w:rFonts w:ascii="Calibri;sans-serif" w:hAnsi="Calibri;sans-serif"/>
          <w:b/>
          <w:color w:val="000000"/>
          <w:sz w:val="48"/>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tbl>
      <w:tblPr>
        <w:tblW w:w="4467" w:type="dxa"/>
        <w:jc w:val="left"/>
        <w:tblInd w:w="0" w:type="dxa"/>
        <w:tblLayout w:type="fixed"/>
        <w:tblCellMar>
          <w:top w:w="28" w:type="dxa"/>
          <w:left w:w="28" w:type="dxa"/>
          <w:bottom w:w="28" w:type="dxa"/>
          <w:right w:w="28" w:type="dxa"/>
        </w:tblCellMar>
      </w:tblPr>
      <w:tblGrid>
        <w:gridCol w:w="996"/>
        <w:gridCol w:w="878"/>
        <w:gridCol w:w="886"/>
        <w:gridCol w:w="109"/>
        <w:gridCol w:w="109"/>
        <w:gridCol w:w="109"/>
        <w:gridCol w:w="403"/>
        <w:gridCol w:w="403"/>
        <w:gridCol w:w="574"/>
      </w:tblGrid>
      <w:tr>
        <w:trPr/>
        <w:tc>
          <w:tcPr>
            <w:tcW w:w="9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86-1746728</w:t>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135 Rennell Drive, 3rd Floor</w:t>
            </w:r>
          </w:p>
          <w:p>
            <w:pPr>
              <w:pStyle w:val="TableContents"/>
              <w:bidi w:val="0"/>
              <w:spacing w:lineRule="auto" w:line="288" w:before="0" w:after="0"/>
              <w:jc w:val="center"/>
              <w:rPr>
                <w:color w:val="000000"/>
              </w:rPr>
            </w:pPr>
            <w:r>
              <w:rPr>
                <w:color w:val="000000"/>
              </w:rPr>
              <w:t> </w:t>
            </w:r>
            <w:r>
              <w:rPr>
                <w:rFonts w:ascii="Calibri;sans-serif" w:hAnsi="Calibri;sans-serif"/>
                <w:b/>
                <w:color w:val="000000"/>
                <w:sz w:val="20"/>
              </w:rPr>
              <w:t>Fairfield, 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06890</w:t>
            </w:r>
          </w:p>
        </w:tc>
      </w:tr>
      <w:tr>
        <w:trPr/>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Registrant’s telephone number, including area code: (203) 718-5960</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8052" w:type="dxa"/>
        <w:jc w:val="left"/>
        <w:tblInd w:w="0" w:type="dxa"/>
        <w:tblLayout w:type="fixed"/>
        <w:tblCellMar>
          <w:top w:w="28" w:type="dxa"/>
          <w:left w:w="28" w:type="dxa"/>
          <w:bottom w:w="28" w:type="dxa"/>
          <w:right w:w="28" w:type="dxa"/>
        </w:tblCellMar>
      </w:tblPr>
      <w:tblGrid>
        <w:gridCol w:w="1150"/>
        <w:gridCol w:w="1011"/>
        <w:gridCol w:w="1018"/>
        <w:gridCol w:w="479"/>
        <w:gridCol w:w="479"/>
        <w:gridCol w:w="481"/>
        <w:gridCol w:w="1006"/>
        <w:gridCol w:w="1006"/>
        <w:gridCol w:w="1422"/>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1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Class A 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r>
        <w:trPr/>
        <w:tc>
          <w:tcPr>
            <w:tcW w:w="31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8.50% Senior Notes due 2026</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GREEL</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283"/>
              <w:jc w:val="center"/>
              <w:rPr>
                <w:rFonts w:ascii="Calibri;sans-serif" w:hAnsi="Calibri;sans-serif"/>
                <w:b w:val="false"/>
                <w:color w:val="000000"/>
                <w:sz w:val="18"/>
              </w:rPr>
            </w:pPr>
            <w:r>
              <w:rPr>
                <w:rFonts w:ascii="Calibri;sans-serif" w:hAnsi="Calibri;sans-serif"/>
                <w:b w:val="false"/>
                <w:color w:val="000000"/>
                <w:sz w:val="18"/>
              </w:rPr>
              <w:t>The Nasdaq Global Select Market</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749"/>
        <w:gridCol w:w="749"/>
        <w:gridCol w:w="752"/>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83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ind w:left="0" w:right="0" w:firstLine="540"/>
        <w:jc w:val="left"/>
        <w:rPr/>
      </w:pPr>
      <w:r>
        <w:rPr>
          <w:rFonts w:ascii="Calibri;sans-serif" w:hAnsi="Calibr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Calibri;sans-serif" w:hAnsi="Calibri;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Calibri;sans-serif" w:hAnsi="Calibri;sans-serif"/>
          <w:b w:val="false"/>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Securities registered pursuant to Section 12(g) of the Act: None</w:t>
      </w:r>
    </w:p>
    <w:p>
      <w:pPr>
        <w:pStyle w:val="TextBody"/>
        <w:bidi w:val="0"/>
        <w:spacing w:lineRule="auto" w:line="288" w:before="120" w:after="283"/>
        <w:ind w:left="0" w:right="0" w:firstLine="540"/>
        <w:jc w:val="left"/>
        <w:rPr>
          <w:rFonts w:ascii="Calibri;sans-serif" w:hAnsi="Calibri;sans-serif"/>
          <w:b w:val="false"/>
          <w:color w:val="000000"/>
          <w:sz w:val="18"/>
        </w:rPr>
      </w:pPr>
      <w:r>
        <w:rPr>
          <w:rFonts w:ascii="Calibri;sans-serif" w:hAnsi="Calibri;sans-serif"/>
          <w:b w:val="false"/>
          <w:color w:val="000000"/>
          <w:sz w:val="18"/>
        </w:rPr>
        <w:t>As of August 10, 2023, the registrant had 4,384,017 shares of Class A common stock, $0.0001 par value per share, outstanding and 2,852,639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Table of Contents</w:t>
      </w:r>
    </w:p>
    <w:tbl>
      <w:tblPr>
        <w:tblW w:w="9106" w:type="dxa"/>
        <w:jc w:val="left"/>
        <w:tblInd w:w="0" w:type="dxa"/>
        <w:tblLayout w:type="fixed"/>
        <w:tblCellMar>
          <w:top w:w="28" w:type="dxa"/>
          <w:left w:w="28" w:type="dxa"/>
          <w:bottom w:w="28" w:type="dxa"/>
          <w:right w:w="28" w:type="dxa"/>
        </w:tblCellMar>
      </w:tblPr>
      <w:tblGrid>
        <w:gridCol w:w="283"/>
        <w:gridCol w:w="247"/>
        <w:gridCol w:w="250"/>
        <w:gridCol w:w="2613"/>
        <w:gridCol w:w="2613"/>
        <w:gridCol w:w="2619"/>
        <w:gridCol w:w="140"/>
        <w:gridCol w:w="140"/>
        <w:gridCol w:w="201"/>
      </w:tblGrid>
      <w:tr>
        <w:trPr/>
        <w:tc>
          <w:tcPr>
            <w:tcW w:w="2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3">
              <w:r>
                <w:rPr>
                  <w:rStyle w:val="InternetLink"/>
                  <w:rFonts w:ascii="Calibri;sans-serif" w:hAnsi="Calibri;sans-serif"/>
                  <w:b/>
                  <w:strike w:val="false"/>
                  <w:dstrike w:val="false"/>
                  <w:color w:val="000000"/>
                  <w:sz w:val="20"/>
                  <w:u w:val="none"/>
                  <w:effect w:val="none"/>
                </w:rPr>
                <w:t>PART 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3">
              <w:r>
                <w:rPr>
                  <w:rStyle w:val="InternetLink"/>
                  <w:rFonts w:ascii="Calibri;sans-serif" w:hAnsi="Calibri;sans-serif"/>
                  <w:b/>
                  <w:color w:val="0563C1"/>
                  <w:sz w:val="20"/>
                  <w:u w:val="single"/>
                </w:rPr>
                <w:t>FINANCIAL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6">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6">
              <w:r>
                <w:rPr>
                  <w:rStyle w:val="InternetLink"/>
                  <w:rFonts w:ascii="Calibri;sans-serif" w:hAnsi="Calibri;sans-serif"/>
                  <w:b w:val="false"/>
                  <w:color w:val="0563C1"/>
                  <w:sz w:val="20"/>
                  <w:u w:val="single"/>
                </w:rPr>
                <w:t>Financial Statements</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9">
              <w:r>
                <w:rPr>
                  <w:rStyle w:val="InternetLink"/>
                  <w:rFonts w:ascii="Calibri;sans-serif" w:hAnsi="Calibri;sans-serif"/>
                  <w:b w:val="false"/>
                  <w:color w:val="0563C1"/>
                  <w:sz w:val="20"/>
                  <w:u w:val="single"/>
                </w:rPr>
                <w:t>Condensed Consolidated Balance Sheets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9">
              <w:r>
                <w:rPr>
                  <w:rStyle w:val="InternetLink"/>
                  <w:rFonts w:ascii="Calibri;sans-serif" w:hAnsi="Calibri;sans-serif"/>
                  <w:b w:val="false"/>
                  <w:strike w:val="false"/>
                  <w:dstrike w:val="false"/>
                  <w:color w:val="000000"/>
                  <w:sz w:val="20"/>
                  <w:u w:val="none"/>
                  <w:effect w:val="none"/>
                </w:rPr>
                <w:t>3</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22">
              <w:r>
                <w:rPr>
                  <w:rStyle w:val="InternetLink"/>
                  <w:rFonts w:ascii="Calibri;sans-serif" w:hAnsi="Calibri;sans-serif"/>
                  <w:b w:val="false"/>
                  <w:color w:val="0563C1"/>
                  <w:sz w:val="20"/>
                  <w:u w:val="single"/>
                </w:rPr>
                <w:t>Condensed Consolidated Statements of Operations and Comprehensive (Loss) Income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22">
              <w:r>
                <w:rPr>
                  <w:rStyle w:val="InternetLink"/>
                  <w:rFonts w:ascii="Calibri;sans-serif" w:hAnsi="Calibri;sans-serif"/>
                  <w:b w:val="false"/>
                  <w:strike w:val="false"/>
                  <w:dstrike w:val="false"/>
                  <w:color w:val="000000"/>
                  <w:sz w:val="20"/>
                  <w:u w:val="none"/>
                  <w:effect w:val="none"/>
                </w:rPr>
                <w:t>4</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25">
              <w:r>
                <w:rPr>
                  <w:rStyle w:val="InternetLink"/>
                  <w:rFonts w:ascii="Calibri;sans-serif" w:hAnsi="Calibri;sans-serif"/>
                  <w:b w:val="false"/>
                  <w:color w:val="0563C1"/>
                  <w:sz w:val="20"/>
                  <w:u w:val="single"/>
                </w:rPr>
                <w:t>Condensed Consolidated Statements of Stockholders’ Equity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25">
              <w:r>
                <w:rPr>
                  <w:rStyle w:val="InternetLink"/>
                  <w:rFonts w:ascii="Calibri;sans-serif" w:hAnsi="Calibri;sans-serif"/>
                  <w:b w:val="false"/>
                  <w:strike w:val="false"/>
                  <w:dstrike w:val="false"/>
                  <w:color w:val="000000"/>
                  <w:sz w:val="20"/>
                  <w:u w:val="none"/>
                  <w:effect w:val="none"/>
                </w:rPr>
                <w:t>5</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28">
              <w:r>
                <w:rPr>
                  <w:rStyle w:val="InternetLink"/>
                  <w:rFonts w:ascii="Calibri;sans-serif" w:hAnsi="Calibri;sans-serif"/>
                  <w:b w:val="false"/>
                  <w:color w:val="0563C1"/>
                  <w:sz w:val="20"/>
                  <w:u w:val="single"/>
                </w:rPr>
                <w:t>Condensed Consolidated Statements of Cash Flows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28">
              <w:r>
                <w:rPr>
                  <w:rStyle w:val="InternetLink"/>
                  <w:rFonts w:ascii="Calibri;sans-serif" w:hAnsi="Calibri;sans-serif"/>
                  <w:b w:val="false"/>
                  <w:strike w:val="false"/>
                  <w:dstrike w:val="false"/>
                  <w:color w:val="000000"/>
                  <w:sz w:val="20"/>
                  <w:u w:val="none"/>
                  <w:effect w:val="none"/>
                </w:rPr>
                <w:t>6</w:t>
              </w:r>
            </w:hyperlink>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31">
              <w:r>
                <w:rPr>
                  <w:rStyle w:val="InternetLink"/>
                  <w:rFonts w:ascii="Calibri;sans-serif" w:hAnsi="Calibri;sans-serif"/>
                  <w:b w:val="false"/>
                  <w:color w:val="0563C1"/>
                  <w:sz w:val="20"/>
                  <w:u w:val="single"/>
                </w:rPr>
                <w:t>Notes to Condensed 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31">
              <w:r>
                <w:rPr>
                  <w:rStyle w:val="InternetLink"/>
                  <w:rFonts w:ascii="Calibri;sans-serif" w:hAnsi="Calibri;sans-serif"/>
                  <w:b w:val="false"/>
                  <w:strike w:val="false"/>
                  <w:dstrike w:val="false"/>
                  <w:color w:val="000000"/>
                  <w:sz w:val="20"/>
                  <w:u w:val="none"/>
                  <w:effect w:val="none"/>
                </w:rPr>
                <w:t>8</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76">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76">
              <w:r>
                <w:rPr>
                  <w:rStyle w:val="InternetLink"/>
                  <w:rFonts w:ascii="Calibri;sans-serif" w:hAnsi="Calibri;sans-serif"/>
                  <w:b w:val="false"/>
                  <w:color w:val="0563C1"/>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76">
              <w:r>
                <w:rPr>
                  <w:rStyle w:val="InternetLink"/>
                  <w:rFonts w:ascii="Calibri;sans-serif" w:hAnsi="Calibri;sans-serif"/>
                  <w:b w:val="false"/>
                  <w:strike w:val="false"/>
                  <w:dstrike w:val="false"/>
                  <w:color w:val="000000"/>
                  <w:sz w:val="20"/>
                  <w:u w:val="none"/>
                  <w:effect w:val="none"/>
                </w:rPr>
                <w:t>27</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03">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03">
              <w:r>
                <w:rPr>
                  <w:rStyle w:val="InternetLink"/>
                  <w:rFonts w:ascii="Calibri;sans-serif" w:hAnsi="Calibri;sans-serif"/>
                  <w:b w:val="false"/>
                  <w:color w:val="0563C1"/>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03">
              <w:r>
                <w:rPr>
                  <w:rStyle w:val="InternetLink"/>
                  <w:rFonts w:ascii="Calibri;sans-serif" w:hAnsi="Calibri;sans-serif"/>
                  <w:b w:val="false"/>
                  <w:strike w:val="false"/>
                  <w:dstrike w:val="false"/>
                  <w:color w:val="000000"/>
                  <w:sz w:val="20"/>
                  <w:u w:val="none"/>
                  <w:effect w:val="none"/>
                </w:rPr>
                <w:t>49</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06">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06">
              <w:r>
                <w:rPr>
                  <w:rStyle w:val="InternetLink"/>
                  <w:rFonts w:ascii="Calibri;sans-serif" w:hAnsi="Calibri;sans-serif"/>
                  <w:b w:val="false"/>
                  <w:color w:val="0563C1"/>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06">
              <w:r>
                <w:rPr>
                  <w:rStyle w:val="InternetLink"/>
                  <w:rFonts w:ascii="Calibri;sans-serif" w:hAnsi="Calibri;sans-serif"/>
                  <w:b w:val="false"/>
                  <w:strike w:val="false"/>
                  <w:dstrike w:val="false"/>
                  <w:color w:val="000000"/>
                  <w:sz w:val="20"/>
                  <w:u w:val="none"/>
                  <w:effect w:val="none"/>
                </w:rPr>
                <w:t>49</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09">
              <w:r>
                <w:rPr>
                  <w:rStyle w:val="InternetLink"/>
                  <w:rFonts w:ascii="Calibri;sans-serif" w:hAnsi="Calibri;sans-serif"/>
                  <w:b/>
                  <w:strike w:val="false"/>
                  <w:dstrike w:val="false"/>
                  <w:color w:val="000000"/>
                  <w:sz w:val="20"/>
                  <w:u w:val="none"/>
                  <w:effect w:val="none"/>
                </w:rPr>
                <w:t>PART II.</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09">
              <w:r>
                <w:rPr>
                  <w:rStyle w:val="InternetLink"/>
                  <w:rFonts w:ascii="Calibri;sans-serif" w:hAnsi="Calibri;sans-serif"/>
                  <w:b/>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12">
              <w:r>
                <w:rPr>
                  <w:rStyle w:val="InternetLink"/>
                  <w:rFonts w:ascii="Calibri;sans-serif" w:hAnsi="Calibri;sans-serif"/>
                  <w:b w:val="false"/>
                  <w:strike w:val="false"/>
                  <w:dstrike w:val="false"/>
                  <w:color w:val="000000"/>
                  <w:sz w:val="20"/>
                  <w:u w:val="none"/>
                  <w:effect w:val="none"/>
                </w:rPr>
                <w:t>Item 1.</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12">
              <w:r>
                <w:rPr>
                  <w:rStyle w:val="InternetLink"/>
                  <w:rFonts w:ascii="Calibri;sans-serif" w:hAnsi="Calibri;sans-serif"/>
                  <w:b w:val="false"/>
                  <w:color w:val="0563C1"/>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12">
              <w:r>
                <w:rPr>
                  <w:rStyle w:val="InternetLink"/>
                  <w:rFonts w:ascii="Calibri;sans-serif" w:hAnsi="Calibri;sans-serif"/>
                  <w:b w:val="false"/>
                  <w:strike w:val="false"/>
                  <w:dstrike w:val="false"/>
                  <w:color w:val="000000"/>
                  <w:sz w:val="20"/>
                  <w:u w:val="none"/>
                  <w:effect w:val="none"/>
                </w:rPr>
                <w:t>50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15">
              <w:r>
                <w:rPr>
                  <w:rStyle w:val="InternetLink"/>
                  <w:rFonts w:ascii="Calibri;sans-serif" w:hAnsi="Calibri;sans-serif"/>
                  <w:b w:val="false"/>
                  <w:strike w:val="false"/>
                  <w:dstrike w:val="false"/>
                  <w:color w:val="000000"/>
                  <w:sz w:val="20"/>
                  <w:u w:val="none"/>
                  <w:effect w:val="none"/>
                </w:rPr>
                <w:t>Item 1A.</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15">
              <w:r>
                <w:rPr>
                  <w:rStyle w:val="InternetLink"/>
                  <w:rFonts w:ascii="Calibri;sans-serif" w:hAnsi="Calibri;sans-serif"/>
                  <w:b w:val="false"/>
                  <w:color w:val="0563C1"/>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15">
              <w:r>
                <w:rPr>
                  <w:rStyle w:val="InternetLink"/>
                  <w:rFonts w:ascii="Calibri;sans-serif" w:hAnsi="Calibri;sans-serif"/>
                  <w:b w:val="false"/>
                  <w:strike w:val="false"/>
                  <w:dstrike w:val="false"/>
                  <w:color w:val="000000"/>
                  <w:sz w:val="20"/>
                  <w:u w:val="none"/>
                  <w:effect w:val="none"/>
                </w:rPr>
                <w:t>50</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18">
              <w:r>
                <w:rPr>
                  <w:rStyle w:val="InternetLink"/>
                  <w:rFonts w:ascii="Calibri;sans-serif" w:hAnsi="Calibri;sans-serif"/>
                  <w:b w:val="false"/>
                  <w:strike w:val="false"/>
                  <w:dstrike w:val="false"/>
                  <w:color w:val="000000"/>
                  <w:sz w:val="20"/>
                  <w:u w:val="none"/>
                  <w:effect w:val="none"/>
                </w:rPr>
                <w:t>Item 2.</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18">
              <w:r>
                <w:rPr>
                  <w:rStyle w:val="InternetLink"/>
                  <w:rFonts w:ascii="Calibri;sans-serif" w:hAnsi="Calibri;sans-serif"/>
                  <w:b w:val="false"/>
                  <w:color w:val="0563C1"/>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18">
              <w:r>
                <w:rPr>
                  <w:rStyle w:val="InternetLink"/>
                  <w:rFonts w:ascii="Calibri;sans-serif" w:hAnsi="Calibri;sans-serif"/>
                  <w:b w:val="false"/>
                  <w:strike w:val="false"/>
                  <w:dstrike w:val="false"/>
                  <w:color w:val="000000"/>
                  <w:sz w:val="20"/>
                  <w:u w:val="none"/>
                  <w:effect w:val="none"/>
                </w:rPr>
                <w:t>53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21">
              <w:r>
                <w:rPr>
                  <w:rStyle w:val="InternetLink"/>
                  <w:rFonts w:ascii="Calibri;sans-serif" w:hAnsi="Calibri;sans-serif"/>
                  <w:b w:val="false"/>
                  <w:strike w:val="false"/>
                  <w:dstrike w:val="false"/>
                  <w:color w:val="000000"/>
                  <w:sz w:val="20"/>
                  <w:u w:val="none"/>
                  <w:effect w:val="none"/>
                </w:rPr>
                <w:t>Item 3.</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21">
              <w:r>
                <w:rPr>
                  <w:rStyle w:val="InternetLink"/>
                  <w:rFonts w:ascii="Calibri;sans-serif" w:hAnsi="Calibri;sans-serif"/>
                  <w:b w:val="false"/>
                  <w:color w:val="0563C1"/>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21">
              <w:r>
                <w:rPr>
                  <w:rStyle w:val="InternetLink"/>
                  <w:rFonts w:ascii="Calibri;sans-serif" w:hAnsi="Calibri;sans-serif"/>
                  <w:b w:val="false"/>
                  <w:strike w:val="false"/>
                  <w:dstrike w:val="false"/>
                  <w:color w:val="000000"/>
                  <w:sz w:val="20"/>
                  <w:u w:val="none"/>
                  <w:effect w:val="none"/>
                </w:rPr>
                <w:t>53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24">
              <w:r>
                <w:rPr>
                  <w:rStyle w:val="InternetLink"/>
                  <w:rFonts w:ascii="Calibri;sans-serif" w:hAnsi="Calibri;sans-serif"/>
                  <w:b w:val="false"/>
                  <w:strike w:val="false"/>
                  <w:dstrike w:val="false"/>
                  <w:color w:val="000000"/>
                  <w:sz w:val="20"/>
                  <w:u w:val="none"/>
                  <w:effect w:val="none"/>
                </w:rPr>
                <w:t>Item 4.</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24">
              <w:r>
                <w:rPr>
                  <w:rStyle w:val="InternetLink"/>
                  <w:rFonts w:ascii="Calibri;sans-serif" w:hAnsi="Calibri;sans-serif"/>
                  <w:b w:val="false"/>
                  <w:color w:val="0563C1"/>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24">
              <w:r>
                <w:rPr>
                  <w:rStyle w:val="InternetLink"/>
                  <w:rFonts w:ascii="Calibri;sans-serif" w:hAnsi="Calibri;sans-serif"/>
                  <w:b w:val="false"/>
                  <w:strike w:val="false"/>
                  <w:dstrike w:val="false"/>
                  <w:color w:val="000000"/>
                  <w:sz w:val="20"/>
                  <w:u w:val="none"/>
                  <w:effect w:val="none"/>
                </w:rPr>
                <w:t>53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27">
              <w:r>
                <w:rPr>
                  <w:rStyle w:val="InternetLink"/>
                  <w:rFonts w:ascii="Calibri;sans-serif" w:hAnsi="Calibri;sans-serif"/>
                  <w:b w:val="false"/>
                  <w:strike w:val="false"/>
                  <w:dstrike w:val="false"/>
                  <w:color w:val="000000"/>
                  <w:sz w:val="20"/>
                  <w:u w:val="none"/>
                  <w:effect w:val="none"/>
                </w:rPr>
                <w:t>Item 5.</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27">
              <w:r>
                <w:rPr>
                  <w:rStyle w:val="InternetLink"/>
                  <w:rFonts w:ascii="Calibri;sans-serif" w:hAnsi="Calibri;sans-serif"/>
                  <w:b w:val="false"/>
                  <w:color w:val="0563C1"/>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27">
              <w:r>
                <w:rPr>
                  <w:rStyle w:val="InternetLink"/>
                  <w:rFonts w:ascii="Calibri;sans-serif" w:hAnsi="Calibri;sans-serif"/>
                  <w:b w:val="false"/>
                  <w:strike w:val="false"/>
                  <w:dstrike w:val="false"/>
                  <w:color w:val="000000"/>
                  <w:sz w:val="20"/>
                  <w:u w:val="none"/>
                  <w:effect w:val="none"/>
                </w:rPr>
                <w:t>53</w:t>
              </w:r>
            </w:hyperlink>
          </w:p>
        </w:tc>
      </w:tr>
      <w:tr>
        <w:trPr/>
        <w:tc>
          <w:tcPr>
            <w:tcW w:w="780"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30">
              <w:r>
                <w:rPr>
                  <w:rStyle w:val="InternetLink"/>
                  <w:rFonts w:ascii="Calibri;sans-serif" w:hAnsi="Calibri;sans-serif"/>
                  <w:b w:val="false"/>
                  <w:strike w:val="false"/>
                  <w:dstrike w:val="false"/>
                  <w:color w:val="000000"/>
                  <w:sz w:val="20"/>
                  <w:u w:val="none"/>
                  <w:effect w:val="none"/>
                </w:rPr>
                <w:t>Item 6.</w:t>
              </w:r>
            </w:hyperlink>
          </w:p>
        </w:tc>
        <w:tc>
          <w:tcPr>
            <w:tcW w:w="7845"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30">
              <w:r>
                <w:rPr>
                  <w:rStyle w:val="InternetLink"/>
                  <w:rFonts w:ascii="Calibri;sans-serif" w:hAnsi="Calibri;sans-serif"/>
                  <w:b w:val="false"/>
                  <w:color w:val="0563C1"/>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30">
              <w:r>
                <w:rPr>
                  <w:rStyle w:val="InternetLink"/>
                  <w:rFonts w:ascii="Calibri;sans-serif" w:hAnsi="Calibri;sans-serif"/>
                  <w:b w:val="false"/>
                  <w:strike w:val="false"/>
                  <w:dstrike w:val="false"/>
                  <w:color w:val="000000"/>
                  <w:sz w:val="20"/>
                  <w:u w:val="none"/>
                  <w:effect w:val="none"/>
                </w:rPr>
                <w:t>53</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14" w:after="283"/>
              <w:jc w:val="left"/>
              <w:rPr/>
            </w:pPr>
            <w:hyperlink w:anchor="i609f6556d3bb46c98dcf608f0581b5f6_133">
              <w:r>
                <w:rPr>
                  <w:rStyle w:val="InternetLink"/>
                  <w:rFonts w:ascii="Calibri;sans-serif" w:hAnsi="Calibri;sans-serif"/>
                  <w:b w:val="false"/>
                  <w:color w:val="0563C1"/>
                  <w:sz w:val="20"/>
                  <w:u w:val="single"/>
                </w:rPr>
                <w:t>Exhibit Index</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33">
              <w:r>
                <w:rPr>
                  <w:rStyle w:val="InternetLink"/>
                  <w:rFonts w:ascii="Calibri;sans-serif" w:hAnsi="Calibri;sans-serif"/>
                  <w:b w:val="false"/>
                  <w:strike w:val="false"/>
                  <w:dstrike w:val="false"/>
                  <w:color w:val="000000"/>
                  <w:sz w:val="20"/>
                  <w:u w:val="none"/>
                  <w:effect w:val="none"/>
                </w:rPr>
                <w:t>54</w:t>
              </w:r>
            </w:hyperlink>
          </w:p>
        </w:tc>
      </w:tr>
      <w:tr>
        <w:trPr/>
        <w:tc>
          <w:tcPr>
            <w:tcW w:w="8625"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609f6556d3bb46c98dcf608f0581b5f6_136">
              <w:r>
                <w:rPr>
                  <w:rStyle w:val="InternetLink"/>
                  <w:rFonts w:ascii="Calibri;sans-serif" w:hAnsi="Calibri;sans-serif"/>
                  <w:b w:val="false"/>
                  <w:color w:val="0563C1"/>
                  <w:sz w:val="20"/>
                  <w:u w:val="single"/>
                </w:rPr>
                <w:t>Signatures</w:t>
              </w:r>
            </w:hyperlink>
          </w:p>
        </w:tc>
        <w:tc>
          <w:tcPr>
            <w:tcW w:w="481"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609f6556d3bb46c98dcf608f0581b5f6_136">
              <w:r>
                <w:rPr>
                  <w:rStyle w:val="InternetLink"/>
                  <w:rFonts w:ascii="Calibri;sans-serif" w:hAnsi="Calibri;sans-serif"/>
                  <w:b w:val="false"/>
                  <w:strike w:val="false"/>
                  <w:dstrike w:val="false"/>
                  <w:color w:val="000000"/>
                  <w:sz w:val="20"/>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2E74B5"/>
          <w:sz w:val="20"/>
        </w:rPr>
      </w:pPr>
      <w:r>
        <w:rPr>
          <w:rFonts w:ascii="Calibri;sans-serif" w:hAnsi="Calibri;sans-serif"/>
          <w:b/>
          <w:color w:val="2E74B5"/>
          <w:sz w:val="20"/>
        </w:rPr>
        <w:t>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 </w:t>
      </w:r>
    </w:p>
    <w:p>
      <w:pPr>
        <w:pStyle w:val="TextBody"/>
        <w:bidi w:val="0"/>
        <w:spacing w:lineRule="auto" w:line="288" w:before="240" w:after="283"/>
        <w:jc w:val="left"/>
        <w:rPr/>
      </w:pPr>
      <w:r>
        <w:rPr>
          <w:rFonts w:ascii="Calibri;sans-serif" w:hAnsi="Calibr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of Greenidge's Form 10-K for the year ended December 31, 2022 filed with the Securities and Exchange Commission ("SEC") on March 31, 2023 and in this Quarterly Report on Form 10-Q, as well as those described from time to time in our future reports filed with the SEC, which should be reviewed carefully. Please consider Greenidge's forward-looking statements in light of those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BALANCE SHEETS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(Dollar amounts in thousands, except share data)</w:t>
      </w:r>
    </w:p>
    <w:tbl>
      <w:tblPr>
        <w:tblW w:w="10205" w:type="dxa"/>
        <w:jc w:val="left"/>
        <w:tblInd w:w="0" w:type="dxa"/>
        <w:tblLayout w:type="fixed"/>
        <w:tblCellMar>
          <w:top w:w="28" w:type="dxa"/>
          <w:left w:w="28" w:type="dxa"/>
          <w:bottom w:w="28" w:type="dxa"/>
          <w:right w:w="28" w:type="dxa"/>
        </w:tblCellMar>
      </w:tblPr>
      <w:tblGrid>
        <w:gridCol w:w="2896"/>
        <w:gridCol w:w="2275"/>
        <w:gridCol w:w="2301"/>
        <w:gridCol w:w="214"/>
        <w:gridCol w:w="733"/>
        <w:gridCol w:w="110"/>
        <w:gridCol w:w="109"/>
        <w:gridCol w:w="109"/>
        <w:gridCol w:w="109"/>
        <w:gridCol w:w="238"/>
        <w:gridCol w:w="933"/>
        <w:gridCol w:w="178"/>
      </w:tblGrid>
      <w:tr>
        <w:trPr/>
        <w:tc>
          <w:tcPr>
            <w:tcW w:w="2896"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Accounts receivable, net of allowance for doubtful accounts of</w:t>
            </w:r>
          </w:p>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$0 at June 30, 2023 and December 31, 2022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33,058 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70,816 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94,297 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163,767 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LIABILITIES AND STOCKHOLDERS' EQUITY</w:t>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9,608 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Short-term environmental liability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98,722 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86,687 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146,065 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210,814 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COMMITMENTS AND CONTINGENCIES (NOTE 10)</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STOCKHOLDERS' EQUITY:</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Preferred stock, par value $0.0001, 20,000,000 shares authorized, none outstanding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Common stock, par value $0.0001, 500,000,000 shares authorized, 7,236,614 and $4,625,278 shares issued and outstanding as of June 30, 2023 and December 31,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307,238 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293,774 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Cumulative translation adjustment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(358,677)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(340,464)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stockholders'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(51,768)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(47,047)</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liabilities and stockholders' equity</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94,297 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163,767 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4"/>
        </w:rPr>
      </w:pPr>
      <w:r>
        <w:rPr>
          <w:rFonts w:ascii="Calibri;sans-serif" w:hAnsi="Calibri;sans-serif"/>
          <w:b/>
          <w:color w:val="000000"/>
          <w:sz w:val="24"/>
        </w:rPr>
        <w:t>Greenidge Generation Holdings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OPERATIONS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1706"/>
        <w:gridCol w:w="1419"/>
        <w:gridCol w:w="1430"/>
        <w:gridCol w:w="211"/>
        <w:gridCol w:w="783"/>
        <w:gridCol w:w="109"/>
        <w:gridCol w:w="109"/>
        <w:gridCol w:w="109"/>
        <w:gridCol w:w="109"/>
        <w:gridCol w:w="211"/>
        <w:gridCol w:w="888"/>
        <w:gridCol w:w="109"/>
        <w:gridCol w:w="109"/>
        <w:gridCol w:w="109"/>
        <w:gridCol w:w="109"/>
        <w:gridCol w:w="211"/>
        <w:gridCol w:w="783"/>
        <w:gridCol w:w="109"/>
        <w:gridCol w:w="109"/>
        <w:gridCol w:w="109"/>
        <w:gridCol w:w="109"/>
        <w:gridCol w:w="211"/>
        <w:gridCol w:w="888"/>
        <w:gridCol w:w="156"/>
      </w:tblGrid>
      <w:tr>
        <w:trPr/>
        <w:tc>
          <w:tcPr>
            <w:tcW w:w="170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4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datacenter hosting (exclusive of depreciation)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mining (exclusive of depreciation)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137,586 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(85,505)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(10,239)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(95,744)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(110,782)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discontinued operations, net of tax</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(108,311)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basic share from discontinued operations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diluted share from discontinued operations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Shares Outstanding</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Basic </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CONDENSED CONSOLIDATED STATEMENTS OF STOCKHOLDERS’ EQUITY (UNAUDITED)</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except share data) </w:t>
      </w:r>
    </w:p>
    <w:tbl>
      <w:tblPr>
        <w:tblW w:w="10205" w:type="dxa"/>
        <w:jc w:val="left"/>
        <w:tblInd w:w="0" w:type="dxa"/>
        <w:tblLayout w:type="fixed"/>
        <w:tblCellMar>
          <w:top w:w="28" w:type="dxa"/>
          <w:left w:w="28" w:type="dxa"/>
          <w:bottom w:w="28" w:type="dxa"/>
          <w:right w:w="28" w:type="dxa"/>
        </w:tblCellMar>
      </w:tblPr>
      <w:tblGrid>
        <w:gridCol w:w="1244"/>
        <w:gridCol w:w="803"/>
        <w:gridCol w:w="806"/>
        <w:gridCol w:w="435"/>
        <w:gridCol w:w="436"/>
        <w:gridCol w:w="161"/>
        <w:gridCol w:w="109"/>
        <w:gridCol w:w="109"/>
        <w:gridCol w:w="109"/>
        <w:gridCol w:w="196"/>
        <w:gridCol w:w="406"/>
        <w:gridCol w:w="109"/>
        <w:gridCol w:w="109"/>
        <w:gridCol w:w="109"/>
        <w:gridCol w:w="109"/>
        <w:gridCol w:w="196"/>
        <w:gridCol w:w="736"/>
        <w:gridCol w:w="109"/>
        <w:gridCol w:w="109"/>
        <w:gridCol w:w="109"/>
        <w:gridCol w:w="109"/>
        <w:gridCol w:w="196"/>
        <w:gridCol w:w="469"/>
        <w:gridCol w:w="109"/>
        <w:gridCol w:w="109"/>
        <w:gridCol w:w="109"/>
        <w:gridCol w:w="109"/>
        <w:gridCol w:w="196"/>
        <w:gridCol w:w="766"/>
        <w:gridCol w:w="109"/>
        <w:gridCol w:w="109"/>
        <w:gridCol w:w="109"/>
        <w:gridCol w:w="109"/>
        <w:gridCol w:w="196"/>
        <w:gridCol w:w="736"/>
        <w:gridCol w:w="156"/>
      </w:tblGrid>
      <w:tr>
        <w:trPr/>
        <w:tc>
          <w:tcPr>
            <w:tcW w:w="124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Additional </w:t>
              <w:br/>
              <w:t xml:space="preserve">Paid - 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Cumulative </w:t>
              <w:br/>
              <w:t xml:space="preserve">Translation </w:t>
              <w:br/>
              <w:t xml:space="preserve">Adjustment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Calibri;sans-serif" w:hAnsi="Calibri;sans-serif"/>
                <w:b/>
                <w:color w:val="000000"/>
                <w:sz w:val="14"/>
              </w:rPr>
              <w:t xml:space="preserve">Total </w:t>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4,625,278 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293,774 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(47,047)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1,211,926 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shares award issuance, net of withholdings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8"/>
              </w:rPr>
            </w:pPr>
            <w:r>
              <w:rPr>
                <w:rFonts w:ascii="Calibri;sans-serif" w:hAnsi="Calibri;sans-serif"/>
                <w:b w:val="false"/>
                <w:color w:val="000000"/>
                <w:sz w:val="18"/>
              </w:rPr>
              <w:t>Issuance of shares for amendment fee associated with debt modification (Note 9), net of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March 31,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5,979,812 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(45,624)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1,253,434 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shares award issuance, net of withholdings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June 30,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7,236,614 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307,238 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(358,677)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(51,768)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January 1, 2022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4,086,534 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212,423 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Restricted shares award issuance, net of withholdings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stock options 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March 31, 2022</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4,136,327 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216,052 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Issuance of shares, net of issuance costs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55,359 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stock options 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Foreign currency translation adjustment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(107,882)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Balance at June 30, 2022</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4,191,882 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288,305 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(177,707)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110,432 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center"/>
        <w:rPr/>
      </w:pPr>
      <w:r>
        <w:rPr>
          <w:rFonts w:ascii="Calibri;sans-serif" w:hAnsi="Calibri;sans-serif"/>
          <w:b/>
          <w:color w:val="000000"/>
          <w:sz w:val="24"/>
        </w:rPr>
        <w:t>Greenidge Generation Holdings Inc.</w:t>
      </w:r>
      <w:r>
        <w:rPr>
          <w:color w:val="000000"/>
        </w:rPr>
        <w:t xml:space="preserve">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CONDENSED CONSOLIDATED STATEMENTS OF CASH FLOWS (UNAUDITED) </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2737"/>
        <w:gridCol w:w="2381"/>
        <w:gridCol w:w="2389"/>
        <w:gridCol w:w="211"/>
        <w:gridCol w:w="789"/>
        <w:gridCol w:w="109"/>
        <w:gridCol w:w="109"/>
        <w:gridCol w:w="109"/>
        <w:gridCol w:w="109"/>
        <w:gridCol w:w="211"/>
        <w:gridCol w:w="894"/>
        <w:gridCol w:w="157"/>
      </w:tblGrid>
      <w:tr>
        <w:trPr/>
        <w:tc>
          <w:tcPr>
            <w:tcW w:w="2737"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OPERATING ACTIVITIES FROM CONTINUING OPERATIONS: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(108,311)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from discontinued operations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(110,782)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Adjustments to reconcile net loss from continuing operations to net cash flow from operating activities: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added to principal</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income taxes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Amortization of debt issuance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Professional fees paid in common stock</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Changes in operating assets and liabilities:</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Emissions and carbon offset credits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Digital assets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Prepaids and other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receivable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emissions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operating activities from continuing operations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INVESTING ACTIVITIES FROM CONTINUING OPERATIONS: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Purchases of and deposits for property and equipment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(105,374)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assets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sale of marketable securities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used for investing activities from continuing operations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(103,742)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FINANCING ACTIVITIES FROM CONTINUING OPERATIONS: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issuance of common stock, net of issuance costs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stock options exercised</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Restricted stock unit awards settled in cash for taxes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Proceeds from debt, net of issuance costs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Principal payments on debt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(17,574)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Repayments of lease obligations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flow provided by financing activities from continuing operations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84,376 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Discontinued Operations: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operating activities of discontinued operations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Net cash flow from investing activities of discontinued operations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Increase in cash and cash equivalents from discontinued operations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CASH AND CASH EQUIVALENTS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(16,217)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 beginning of year</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66,382 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See Note 13 for supplemental cash flow information</w:t>
      </w:r>
    </w:p>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 ORGANIZATION AND DESCRIPTION OF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Generation Holdings Inc. ("Greenidge") and its subsidiaries (collectively, the "Company") own and operate a vertically integrated cryptocurrency datacenter and power generation company. The Company owns and operates facilities at two locations: the Town of Torrey, New York (the "New York Facility") and Spartanburg, South Carolina (the "South Carolina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earned bitcoin are then exchanged for U.S. dollars. The Company also owns and operates a 106 megawatt ("MW") power facility that is connected to the New York Independent System Operator ("NYISO") power grid. In addition to the electricity used "behind the meter" by the New York datacenter, the Company sells electricity to the NYISO at all times when its power plant is running and increases or decreases the amount of electricity sold based on prevailing prices in the wholesale electricity market and demand for electricity.</w:t>
      </w:r>
    </w:p>
    <w:p>
      <w:pPr>
        <w:pStyle w:val="TextBody"/>
        <w:bidi w:val="0"/>
        <w:spacing w:lineRule="auto" w:line="288" w:before="120" w:after="283"/>
        <w:jc w:val="left"/>
        <w:rPr/>
      </w:pPr>
      <w:r>
        <w:rPr>
          <w:rFonts w:ascii="Calibri;sans-serif" w:hAnsi="Calibri;sans-serif"/>
          <w:b w:val="false"/>
          <w:color w:val="000000"/>
          <w:sz w:val="20"/>
        </w:rPr>
        <w:t>Effective May 16, 2023, the Company effected a 1-for-10 reverse stock split of its outstanding shares of common stock. Unless specifically provided otherwise herein, all share and per share amounts of our common stock presented have been retroactively adjusted to reflect the reverse stock split. See Note 9, "</w:t>
      </w:r>
      <w:r>
        <w:rPr>
          <w:rFonts w:ascii="Calibri;sans-serif" w:hAnsi="Calibri;sans-serif"/>
          <w:b w:val="false"/>
          <w:i/>
          <w:color w:val="000000"/>
          <w:sz w:val="20"/>
        </w:rPr>
        <w:t>Stockholder's Equity</w:t>
      </w:r>
      <w:r>
        <w:rPr>
          <w:rFonts w:ascii="Calibri;sans-serif" w:hAnsi="Calibri;sans-serif"/>
          <w:b w:val="false"/>
          <w:color w:val="000000"/>
          <w:sz w:val="20"/>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2. SUMMARY OF SIGNIFICANT ACCOUNTING POLICIES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Presentation of Condensed Consolidated Financial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2023 or for any future interim period. The unaudited interim condensed consolidated financial statements do not include all of the information and notes required by United States Generally Accepted Accounting Principles for complete financial statements. </w:t>
      </w:r>
    </w:p>
    <w:p>
      <w:pPr>
        <w:pStyle w:val="TextBody"/>
        <w:bidi w:val="0"/>
        <w:spacing w:lineRule="auto" w:line="288" w:before="360" w:after="283"/>
        <w:jc w:val="left"/>
        <w:rPr/>
      </w:pPr>
      <w:r>
        <w:rPr>
          <w:rFonts w:ascii="Calibri;sans-serif" w:hAnsi="Calibri;sans-serif"/>
          <w:b w:val="false"/>
          <w:color w:val="000000"/>
          <w:sz w:val="20"/>
        </w:rPr>
        <w:t>The Company has reflected the operations of its Support.com business as discontinued operations for all periods presented.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for further information. Unless otherwise noted, amounts and disclosures throughout these notes to the Company's condensed consolidated financial statements relate solely to continuing operations and exclude all discontinued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accompanying condensed consolidated financial statements should be read in conjunction with the notes to the consolidated financial statements of the Company in its 2022 Annual Report on Form 10-K. </w:t>
      </w:r>
    </w:p>
    <w:p>
      <w:pPr>
        <w:pStyle w:val="TextBody"/>
        <w:bidi w:val="0"/>
        <w:spacing w:lineRule="auto" w:line="288" w:before="240" w:after="180"/>
        <w:jc w:val="left"/>
        <w:rPr>
          <w:rFonts w:ascii="Calibri;sans-serif" w:hAnsi="Calibri;sans-serif"/>
          <w:b w:val="false"/>
          <w:i/>
          <w:color w:val="000000"/>
          <w:sz w:val="20"/>
        </w:rPr>
      </w:pPr>
      <w:r>
        <w:rPr>
          <w:rFonts w:ascii="Calibri;sans-serif" w:hAnsi="Calibri;sans-serif"/>
          <w:b w:val="false"/>
          <w:i/>
          <w:color w:val="000000"/>
          <w:sz w:val="20"/>
        </w:rPr>
        <w:t>Going Concern</w:t>
      </w:r>
    </w:p>
    <w:p>
      <w:pPr>
        <w:pStyle w:val="TextBody"/>
        <w:bidi w:val="0"/>
        <w:spacing w:lineRule="auto" w:line="288" w:before="240" w:after="283"/>
        <w:jc w:val="left"/>
        <w:rPr/>
      </w:pPr>
      <w:r>
        <w:rPr>
          <w:rFonts w:ascii="Calibri;sans-serif" w:hAnsi="Calibri;sans-serif"/>
          <w:b w:val="false"/>
          <w:color w:val="000000"/>
          <w:sz w:val="20"/>
        </w:rPr>
        <w:t xml:space="preserve">In accordance with the Financial Accounting Standards Board (the "FASB") Accounting Standards Update ("ASU") 2014-15, </w:t>
      </w:r>
      <w:r>
        <w:rPr>
          <w:rFonts w:ascii="Calibri;sans-serif" w:hAnsi="Calibri;sans-serif"/>
          <w:b w:val="false"/>
          <w:i/>
          <w:color w:val="000000"/>
          <w:sz w:val="20"/>
        </w:rPr>
        <w:t>Presentation of Financial Statements – Going Concern</w:t>
      </w:r>
      <w:r>
        <w:rPr>
          <w:rFonts w:ascii="Calibri;sans-serif" w:hAnsi="Calibri;sans-serif"/>
          <w:b w:val="false"/>
          <w:color w:val="000000"/>
          <w:sz w:val="20"/>
        </w:rPr>
        <w:t xml:space="preserve">, the Greenidge's management evaluated whether there are conditions or events that pose risk associated with the Company's ability to continue as a going concern within one year after the date these financial statements have been issued. The Company’s condensed consolidated financial statements have been prepared assuming that it will continue as a going concern.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When comparing to December 31, 2021, during 2022 the bitcoin price declined as much as 66% and ended the year 64% lower. Natural gas prices were much higher during 2022 compared to 2021, peaking at approximately 160% higher than the December 31, 2021 price, and ending the year approximately 47% higher than the December 31, 2021 price. The volatility in these commodity prices negatively impacted the Company's results in 2022. As a result, management took certain actions during the second half of 2022 and the first half of 2023 to improve the Company's liquidity that are described further below. At June 30, 2023, the Company had $15.4 million of cash and cash equivalents, while having $22.9 million of accounts payable and accrued expenses, an estimated $1.7 million of environmental liability spend in the next 12 months, as well as $14.5 million of principal and interest payments on debt due within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ability to continue as a going concern is dependent upon the Company generating profitable operations in the future and/or obtaining the necessary financing to meet its obligations and repay its liabilities arising from normal business operations when they come due. In an effort to improve liquidity, the Company has completed or is in the process of completing the following transactions: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In September 2022, Greenidge entered into an at-the-market issuance sales agreement, as amended, dated as of September 19, 2022, by and among the Company, B. Riley Securities, Inc. (“B. Riley Securities”) and Northland Securities, Inc., relating to shares of Greenidge’s Class A common stock (the "ATM Agreement"), and since October 23, 2022 through August 1, 2023, have received net proceeds of $14.3 million from sales of Class A common stock under the ATM Agreement, of which $12.2 million of net proceeds was received since January 1, 2023. See Note 9, "</w:t>
      </w:r>
      <w:r>
        <w:rPr>
          <w:rFonts w:ascii="Calibri;sans-serif" w:hAnsi="Calibri;sans-serif"/>
          <w:b w:val="false"/>
          <w:i/>
          <w:color w:val="000000"/>
          <w:sz w:val="20"/>
        </w:rPr>
        <w:t>Stockholder's Equity</w:t>
      </w:r>
      <w:r>
        <w:rPr>
          <w:rFonts w:ascii="Calibri;sans-serif" w:hAnsi="Calibri;sans-serif"/>
          <w:b w:val="false"/>
          <w:color w:val="000000"/>
          <w:sz w:val="20"/>
        </w:rPr>
        <w:t xml:space="preserve">", for further details. </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On January 30, 2023, the Company entered into debt restructuring agreements with NYDIG ABL LLC ("NYDIG") and B. Riley Commercial Capital, LLC ("B. Riley Commercial"). The restructuring of the NYDIG debt is expected to improve the Company's liquidity during 2023 as the payments required in 2023 on the remaining principal balance is interest payments of $2.0 million. This reduced debt service is substantially lower than the $62.7 million of principal and interest payments which would have been required in 2023 pursuant to the 2021 and 2022 Master Equipment Finance Agreements, both of which were refinanced in January 2023. See Note 5, "</w:t>
      </w:r>
      <w:r>
        <w:rPr>
          <w:rFonts w:ascii="Calibri;sans-serif" w:hAnsi="Calibri;sans-serif"/>
          <w:b w:val="false"/>
          <w:i/>
          <w:color w:val="000000"/>
          <w:sz w:val="20"/>
        </w:rPr>
        <w:t>Debt</w:t>
      </w:r>
      <w:r>
        <w:rPr>
          <w:rFonts w:ascii="Calibri;sans-serif" w:hAnsi="Calibri;sans-serif"/>
          <w:b w:val="false"/>
          <w:color w:val="000000"/>
          <w:sz w:val="20"/>
        </w:rPr>
        <w:t>" for further details regarding the debt restructuring agreements.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 xml:space="preserve">In conjunction with the restructuring of the debt with NYDIG, the Company also entered into hosting agreements with NYDIG on January 30, 2023 (the “NYDIG Hosting Agreements”), which is expected to improve its liquidity position, as it provided for cost reimbursements for key input costs, while allowing the Company to participate in the upside should bitcoin prices rise. </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 xml:space="preserve">In August 2023, in connection with a non-binding term sheet that the Company entered into with NYDIG in June to effect a deleveraging transaction, the Company completed an electrical upgrade at its South Carolina facility increasing the capacity to 44 MW. Upon completion of this expansion, on August 10, 2023, the Company and NYDIG amended the NYDIG Hosting Agreements to increase the number of miners being hosted by Greenidge utilizing all of the expansion. The NYDIG Hosting Agreements were amended in furtherance of the broader transaction contemplated by the non-binding term sheet pursuant to which the Company would sell to NYDIG all of the upgraded mining facilities at the South Carolina site and would also subdivide and sell to NYDIG the approximately 25 acres of land on which the facilities are located. Additionally, pursuant to the non-binding term sheet, in recognition of the capital expenditures required to be made by the Company to upgrade the South Carolina facility, NYDIG agreed that in the event that the Company was proceeding in good faith in connection with the transaction contemplated by the non-binding term sheet, that in the event the Company’s cash reserves fell below $10 million, that the covenant set forth in the NYDIG Senior Secured Loan requiring the Company to maintain a minimum of $10 million of cash would be reduced to $6 million. As the Company has completed the upgrade but is still in the process of subdividing the 25 acre parcel, which is required to close the transaction pursuant to the non-binding term sheet, as an interim measure the parties amended the existing NYDIG Hosting Agreements. In connection with amending the NYDIG Hosting Agreements, and in order to facilitate the transactions contemplated by the non-binding term sheet, on August 11, 2023, NYDIG granted a limited waiver to the Company with respect to reducing the Company’s minimum cash requirement under the NYDIG Senior Secured Loan from $10 million to $6 million and also agreed to amend, on or before August 21, 2023, the NYDIG Senior Secured Loan and the Secured Promissory Note issued to B Riley Commercial (which NYDIG purchased from B Riley Commercial on July 20, 2023 at par) to extend the waiver of the minimum cash requirement as well as to suspend interest and principal payments due under both the NYDIG Senior Loan and the B Riley Commercial Note until the earlier of (i) the completion of the transactions contemplated by the non-binding term sheet, or (ii) December 29, 2023 (the “Limited Waiver”). The Company is actively working towards completing the subdivision of the 25 acre parcel on which the upgraded mining facilities are located so it can consummate the transaction contemplated by the non-binding term sheet, and although there can be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assurances that the Company will close such transaction, the Company currently anticipates that it will be able to do so in the fourth quarter of 2023 and prior to the end of the calendar year.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Upon the closing of the transaction contemplated by the non-binding term sheet, the Company would retain approximately 150 acres of land at the site. In exchange for the sale to NYDIG of the upgraded South Carolina mining facilities and the subdivided approximate 25 acres of land, Greenidge would receive:</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Senior Secured Loan with NYDIG with remaining principal of approximately $17.7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B Riley Commercial Secured Promissory Note with remaining principal of approximately $5.6 million as of June 30, 2023, which NYDIG purchased from B. Riley Commercial on July 20, 2023 at par following Greenidge's principal payment to B. Riley Commercial, which reduced the principal balance to approximately $4.1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Relief from principal and interest payments between August 2023 and the earlier of closing of the sale or December 29, 2023; however, interest on the Senior Secured Loan and the Secured Promissory Note will accrue over that period;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$4.9 million, net of the accrued interest payments on the NYDIG Senior Loan and the B Riley Commercial Secured Promissory Note and certain transaction fees owed to NYDIG;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Bonus payments of up to approximately $2.6 million tied to completion of the expansion of the upgraded mining facility and uptime performance of the facility.</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In addition, the Company sold equipment, coupons and certain environmental credits for total proceeds of $11.7 million from the second quarter of 2022 through the second quarter of 2023 to raise additional funds.</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Since entering into the NYDIG Hosting Agreements, the Company has identified opportunities to deploy its company-owned miners. In March 2023, the Company entered into a hosting agreement with Conifex Timber Inc. ("Conifex"), whereby Conifex will provide hosting services to Greenidge utilizing renewable power (the “Conifex Hosting Agreement”). In April 2023, the Company entered into a hosting agreement with Core Scientific, Inc. ("Core") in which Core will host and operate Greenidge-owned bitcoin miners at its facilities (the “Core Hosting Agreement”, and together with the NYDIG Hosting Agreements and the Conifex Hosting Agreement, the “Hosting Agreements”). In addition, the Company installed approximately 1,500 additional company-owned miners at its existing facilities in Dresden, New York. The Company believes that the installation of these miners at Conifex and Core facilities along with those miners at its own facilities will improve the Company's profits and liquidity during the remainder of 2023 and beyond.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debt servicing requirements. Management will continue to work towards completing the sale of the South Carolina facility, which is expected to occur during the fourth quarter, but it is contingent on the completion of certain actions that would allow the Company to subdivide the 25 acres in order to be able to transfer the facilities along with real estate. While completion of the sale of the South Carolina facility would provide additional liquidity, management continues to assess different options to improve its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issuances of equity, including but not limited to issuances under the Equity Purchase Agreement and/or the ATM Agreement.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 xml:space="preserve">a sale of the Company's excess real estate at its South Carolina facility that is not used in its datacenter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As a result of the Company's development of the buildout of the upgrade of power capacity and construction of additional mining infrastructure in South Carolina in anticipation of the sale of the site, the Company estimates that cash resources will fall below $10 million during the third quarter 2023; however, as discussed above, pursuant to the Limited Waiver, NYDIG agreed to reduce the minimum cash requirement to $6 million. If the Company is unable to complete the sale of the South Carolina site by December 29, 2023, and it is determined by both parties that the sale would not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Calibri;sans-serif" w:hAnsi="Calibri;sans-serif"/>
          <w:b w:val="false"/>
          <w:color w:val="000000"/>
          <w:sz w:val="20"/>
        </w:rPr>
        <w:t xml:space="preserve">(i) the Company would then be required to repay in full the entire principal amount (approximately $4.1 million) and all accrued interest in respect to Secured Promissory Note, (ii) the Company would be required to pay all accrued interest in respect of the NYDIG Senior Secured Loan, (iii) the Company would have a 60-day cure period before the minimum cash requirement would revert to $10 million, and (iv) the Hosting Agreements, as amended, would remain in place. If this were to occur, we would expect that we likely would not have cash in excess of $10 million, which would be considered an Event of Default as defined under the Senior Secured Loan that would require the repayment of the loan balance if a waiver is not obtained from NYDIG. The Company's estimate of cash resources available to the Company for the next 12 months is dependent on completion of certain actions, including the completion of the sale of the South Carolina mining facility and related real estate, bitcoin prices and blockchain difficulty levels similar to those existing as of the filing of this Quarterly Report on Form 10-Q and energy prices similar to the those experienced in the second quarter of 2023. While bitcoin prices have begun to recover from the significant declines experienced in 2022 during the first six months of 2023, management cannot predict when or if bitcoin prices will recover to prior levels, or the volatility of energy costs. While the Company continues to work to implement options to improve liquidity, there can be no assurance that these efforts will be successful and the Company's liquidity could be negatively impacted by factors outside of its control, in particular, significant decreases in the price of bitcoin, regulatory changes concerning cryptocurrency, increases in energy costs or other macroeconomic conditions and other matters identified in Part I, Item 1A </w:t>
      </w:r>
      <w:r>
        <w:rPr>
          <w:rFonts w:ascii="Calibri;sans-serif" w:hAnsi="Calibri;sans-serif"/>
          <w:b w:val="false"/>
          <w:i/>
          <w:color w:val="000000"/>
          <w:sz w:val="20"/>
        </w:rPr>
        <w:t>"Risk Factors"</w:t>
      </w:r>
      <w:r>
        <w:rPr>
          <w:color w:val="000000"/>
        </w:rPr>
        <w:t xml:space="preserve"> </w:t>
      </w:r>
      <w:r>
        <w:rPr>
          <w:rFonts w:ascii="Calibri;sans-serif" w:hAnsi="Calibri;sans-serif"/>
          <w:b w:val="false"/>
          <w:color w:val="000000"/>
          <w:sz w:val="20"/>
        </w:rPr>
        <w:t>in the Company's Annual Report on Form 10-K for the year ended December 31, 2022 and in this Quarterly Report on Form 10-Q. Given this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 xml:space="preserve">Revenue From Contracts With Customer - Hosting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On January 30, 2023, Greenidge entered into the NYDIG Hosting Agreements, with Greenidge operating miners owned by NYDIG affiliates. Under these agreements, the Company agreed to host, power and provide technical support services, and other related services, to NYDIG affiliates’ mining equipment at certain Greenidge facilities for a term of five years. The terms of such arrangements requires NYDIG affiliates to pay a reimbursement fee that covers the cost of power and direct costs associated with management of the mining facilities, a hosting fee as well as a gross profit-sharing arrangement. Under the NYDIG Hosting Agreements, NYDIG affiliates are required to provide Greenidge an upfront security deposit, pay a configuration fee for the setup of new or relocated miners, and pay for repairs and parts consumed in non-routine maintenance (i.e., units that are out of service for more than 12 hours).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Company generates revenue from contracts with customers from providing hosting services to a single third-party customer. Hosting revenue is recognized as services are performed on a variable basis. The Company recognizes variable hosting revenue each month as the uncertainty related to the consideration is resolved, hosting services are provided to its customer, and its customer utilizes the hosting service (the customer simultaneously receives and consumes the benefits of the Company's performance). The Company's performance obligation related to these services is satisfied over time. The Company recognizes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The Company bills its customer at the beginning of each month based on the anticipated consumption under the contract. Invoices are collected in the month of invoicing under the terms of the contract. The Company recognizes revenue based on actual consumption in the period and invoices adjustments in subsequent periods or retains credits toward future consumption.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Cryptocurrency Datacenter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Greenidge has entered into digital asset mining pools by executing contracts with the mining pool operators to provide computing power to the mining pool. The contracts are terminable at any time at no cost by either party and Greenidge’s enforceable right to compensation begins only when, and lasts as long as, Greenidge provides computing power to the mining pool operator. In exchange for providing computing power, Greenidge is entitled to a fractional share of the cryptocurrency award the mining pool operator theoretically receives less digital asset transaction fees to the mining pool operator. The agreements entered into with the pool operators payout based on a Full-Pay-Per-Share payout formula, which is based on a conceptual formula that calculates the hash rate provided by Greenidge to the mining pool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percentage of total network hash rate and other inputs. Under this payout formula, Greenidge is entitled to consideration upon the provision of computing power to the pool even if a block is not successfully placed by the pool operator. Revenue is measured as the value of the fractional share of the cryptocurrency award received from the pool operator, which has been reduced by the transaction fee retained by the pool operator.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Providing computing power in digital asset transaction verification services is an output of Greenidge’s ordinary activities. The provision of such computing power is the only performance obligation in Greenidge’s contracts with mining pool operators. The cryptocurrency that Greenidge receives as transaction consideration is noncash consideration, which Greenidge measures at fair value on the date received at the liquidation price received in the sale of the bitcoin reward, which is not materially different than the fair value at the contract inception or the time Greenidge has earned the award from the pools. The awards received are automatically sold shortly after receipt. The consideration is all variable based on the amount of computing power provided by Greenidge and the total network hash rate.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Digital Assets</w:t>
      </w:r>
    </w:p>
    <w:p>
      <w:pPr>
        <w:pStyle w:val="TextBody"/>
        <w:bidi w:val="0"/>
        <w:spacing w:lineRule="auto" w:line="288" w:before="120" w:after="283"/>
        <w:jc w:val="left"/>
        <w:rPr/>
      </w:pPr>
      <w:r>
        <w:rPr>
          <w:rFonts w:ascii="Calibri;sans-serif" w:hAnsi="Calibri;sans-serif"/>
          <w:b w:val="false"/>
          <w:color w:val="000000"/>
          <w:sz w:val="20"/>
        </w:rPr>
        <w:t xml:space="preserve">Digital assets, primarily consisting of bitcoin, are included in current assets in the accompanying consolidated balance sheets. Digital assets are classified as indefinite-lived intangible assets in accordance with ASC 350, </w:t>
      </w:r>
      <w:r>
        <w:rPr>
          <w:rFonts w:ascii="Calibri;sans-serif" w:hAnsi="Calibri;sans-serif"/>
          <w:b w:val="false"/>
          <w:i/>
          <w:color w:val="000000"/>
          <w:sz w:val="20"/>
        </w:rPr>
        <w:t>Intangibles – Goodwill and Other</w:t>
      </w:r>
      <w:r>
        <w:rPr>
          <w:rFonts w:ascii="Calibri;sans-serif" w:hAnsi="Calibri;sans-serif"/>
          <w:b w:val="false"/>
          <w:color w:val="000000"/>
          <w:sz w:val="20"/>
        </w:rPr>
        <w:t xml:space="preserve">, and are accounted for in connection with Greenidge’s revenue recognition policy. Digital assets held are considered an intangible asset with an indefinite useful life, which is not amortized but assessed for impairment annually, or more frequently, when events or changes in circumstances occur indicating that it is more likely than not that the indefinite-lived asset is impaired.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The Company performs an analysis each period to identify whether events or changes in circumstances, principally decreases in the quoted prices on principal markets, indicate that it is more likely than not that its digital assets are impaired. Digital assets are considered impaired if the carrying value is greater than the lowest daily quoted prices at any time during the period. For quoted prices of bitcoin, the Company uses a source that publishes daily cryptocurrency trading metrics from information from multiple exchanges and uses an algorithm that factors the confidence from the distribution of prices reported by the exchanges. Subsequent reversal of impairment losses is not permitted. There were no impairments recorded during 2023. The Company assessed its digital assets for impairment, recorded an impairment of $0.1 million during the three and six months ended June 30, 2022, which is included in Other income, net on the consolidated statements of operations. The Company no longer holds bitcoin assets in custody wallets as of June 30, 2023. As of June 30, 2022, the Company’s digital assets consisted of approximately 29.0 bitcoins.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The Company considers the conversion of digital assets into U.S. dollars as a part of its normal operating activities and includes the impact of that conversion in Net cash flow (used for) provided by operating activities from continuing operations on the Consolidated Statements of Cash Flows. </w:t>
      </w:r>
    </w:p>
    <w:tbl>
      <w:tblPr>
        <w:tblW w:w="4141" w:type="dxa"/>
        <w:jc w:val="left"/>
        <w:tblInd w:w="0" w:type="dxa"/>
        <w:tblLayout w:type="fixed"/>
        <w:tblCellMar>
          <w:top w:w="28" w:type="dxa"/>
          <w:left w:w="28" w:type="dxa"/>
          <w:bottom w:w="28" w:type="dxa"/>
          <w:right w:w="28" w:type="dxa"/>
        </w:tblCellMar>
      </w:tblPr>
      <w:tblGrid>
        <w:gridCol w:w="589"/>
        <w:gridCol w:w="520"/>
        <w:gridCol w:w="520"/>
        <w:gridCol w:w="520"/>
        <w:gridCol w:w="520"/>
        <w:gridCol w:w="523"/>
        <w:gridCol w:w="396"/>
        <w:gridCol w:w="399"/>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Digital Assets at December 31, 2022</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Revenues from digital asset production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 of digital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Digital assets at June 30, 2023</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Recent Accounting Pronouncements, Adopted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were not any recently adopted or newly issued accounting pronouncements, that have had, or are expected to have, a material impact on the Company's condensed consolidated financial statements and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3. DISCONTINUED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business is classified as held for sale when management having the authority to approve the action commits to a plan to sell or exit the business, the sale or exit is probable to occur during the next 12 months at a price or cost that is reasonable in relation to its current fair value and certain other criteria are met. A business classified as held for sale is recorded at the lower of its carrying amount or estimated fair value less cost to sell. When the carrying amount of the business exceeds its estimated fair value less cost to sell, a loss is recognized and updated each reporting period as appropriate. A business classified as held for sale should be reported in discontinued operations if the disposal represents a strategic shift that has or will have a major effect on a reporting entity's operations and financial results.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Support.com</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At December 31, 2022, the Company classified the Support.com business as held for sale and discontinued operations in the condensed consolidated financial statements as a result of its strategic shift to strictly focus on its cryptocurrency datacenter and power generation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January 2023, Greenidge completed the sale of a portion of the assets of Support.com for net proceeds of approximately $2.6 million and is continuing to evaluate alternatives for the remainder of the Support.com segment assets. In June 2023, the Company entered into a purchase and sale agreements with third parties in order to sell certain remaining assets and liabilities, including the transfer of remaining customer contracts, for net proceeds of approximately $0.4 million. The Company anticipates to complete the disposal or wind-down of remaining Support.com operations by the end of the year. </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Major classes of assets and liabilities consist of the following:</w:t>
      </w:r>
    </w:p>
    <w:p>
      <w:pPr>
        <w:pStyle w:val="TextBody"/>
        <w:bidi w:val="0"/>
        <w:spacing w:before="0" w:after="0"/>
        <w:jc w:val="left"/>
        <w:rPr/>
      </w:pPr>
      <w:r>
        <w:rPr/>
      </w:r>
    </w:p>
    <w:tbl>
      <w:tblPr>
        <w:tblW w:w="6401" w:type="dxa"/>
        <w:jc w:val="left"/>
        <w:tblInd w:w="0" w:type="dxa"/>
        <w:tblLayout w:type="fixed"/>
        <w:tblCellMar>
          <w:top w:w="28" w:type="dxa"/>
          <w:left w:w="28" w:type="dxa"/>
          <w:bottom w:w="28" w:type="dxa"/>
          <w:right w:w="28" w:type="dxa"/>
        </w:tblCellMar>
      </w:tblPr>
      <w:tblGrid>
        <w:gridCol w:w="1255"/>
        <w:gridCol w:w="1102"/>
        <w:gridCol w:w="1108"/>
        <w:gridCol w:w="243"/>
        <w:gridCol w:w="711"/>
        <w:gridCol w:w="125"/>
        <w:gridCol w:w="109"/>
        <w:gridCol w:w="109"/>
        <w:gridCol w:w="109"/>
        <w:gridCol w:w="329"/>
        <w:gridCol w:w="961"/>
        <w:gridCol w:w="24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3,996 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current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5,249 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net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assets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1,060 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classification to held for sale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 held for sale</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 held for sale</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 held for sale</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reasonably expects to close on the sale or exit of Support.com within one year; therefore, the assets and liabilities of Support.com have been presented as current at June 30, 2023 and December 31,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Financial results from discontinued operations consist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3"/>
        <w:gridCol w:w="1685"/>
        <w:gridCol w:w="170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6"/>
      </w:tblGrid>
      <w:tr>
        <w:trPr/>
        <w:tc>
          <w:tcPr>
            <w:tcW w:w="1943"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w:t>
              <w:br/>
              <w:t>June 30,</w:t>
            </w:r>
          </w:p>
        </w:tc>
      </w:tr>
      <w:tr>
        <w:trPr/>
        <w:tc>
          <w:tcPr>
            <w:tcW w:w="5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services and other (exclusive of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Merger and other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asset disposal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on assets classified as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(loss)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Pretax income from discontinued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Company’s effective income tax rate from discontinued operations for the three months ended June 30, 2023 and 2022 was 0% and 5.7%, respectively, and for the six months ended June 30, 2023 and 2022 was 0% and 3.2%, respectively, primarily due to foreign rate differences.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4. PROPERTY AND EQUIPMENT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Property and equipment, net consisted of the following at June 30, 2023 and December 31, 2022:</w:t>
      </w:r>
    </w:p>
    <w:tbl>
      <w:tblPr>
        <w:tblW w:w="7087" w:type="dxa"/>
        <w:jc w:val="left"/>
        <w:tblInd w:w="0" w:type="dxa"/>
        <w:tblLayout w:type="fixed"/>
        <w:tblCellMar>
          <w:top w:w="28" w:type="dxa"/>
          <w:left w:w="28" w:type="dxa"/>
          <w:bottom w:w="28" w:type="dxa"/>
          <w:right w:w="28" w:type="dxa"/>
        </w:tblCellMar>
      </w:tblPr>
      <w:tblGrid>
        <w:gridCol w:w="933"/>
        <w:gridCol w:w="822"/>
        <w:gridCol w:w="825"/>
        <w:gridCol w:w="414"/>
        <w:gridCol w:w="414"/>
        <w:gridCol w:w="416"/>
        <w:gridCol w:w="109"/>
        <w:gridCol w:w="109"/>
        <w:gridCol w:w="109"/>
        <w:gridCol w:w="219"/>
        <w:gridCol w:w="748"/>
        <w:gridCol w:w="113"/>
        <w:gridCol w:w="109"/>
        <w:gridCol w:w="109"/>
        <w:gridCol w:w="109"/>
        <w:gridCol w:w="271"/>
        <w:gridCol w:w="1061"/>
        <w:gridCol w:w="197"/>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Estimated Useful</w:t>
              <w:br/>
              <w:t>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81,979 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19,709 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deposits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75,799 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Accumulated depreciation</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70,816 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Total depreciation expense was $3.2 million and $4.5 million for the three months ended June 30, 2023 and 2022, respectively and $7.0 million and $8.2 million for the six months ended June 30,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Greenidge entered into an agreement regarding its 2021 and 2022 Master Equipment Finance Agreements with NYDIG. During the six months ended June 30, 2023, the Company transferred ownership of bitcoin mining equipment with net book value of $50.0 million and miner deposits of $7.4 million that remained accrued to Greenidge for previous purchases of mining equipment with a bitcoin miner manufacturer and the related debt was canceled pursuant to a debt settlement agreement entered into with NYDIG. There was no gain or loss recognized on the sales as these assets. The Company recognized a gain on the sale of assets of $1.8 million, which primarily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sale of bitcoin miner manufacturer coupons, including $1.2 million that were transferred as part of the debt restructuring agreement with NYDIG.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Impairment</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In 2023 the Company has concluded that no triggering event has occurred and no impairments of long-lived assets have been recorded for the three or six months ended of June 30, 2023.</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During the three months ended June 30, 2022, as a result of the significant reduction in the price of bitcoin and increased energy prices during 2022, the Company’s results of operations, as well as income expectations, were negatively impacted resulting in the recognition of noncash impairment charges of $71.5 million to reduce the net book value of the long-lived assets to fair value.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Fair value was determined utilizing the market approach, relying on the guideline public company method. Our guideline public company method incorporates revenue and hash rate multiples from other publicly traded companies with operations and other characteristics similar to Greenidge.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table below provides a summary of the Q2 2022 impairment by category of asset: </w:t>
      </w:r>
    </w:p>
    <w:p>
      <w:pPr>
        <w:pStyle w:val="TextBody"/>
        <w:bidi w:val="0"/>
        <w:spacing w:before="0" w:after="0"/>
        <w:jc w:val="left"/>
        <w:rPr/>
      </w:pPr>
      <w:r>
        <w:rPr/>
      </w:r>
    </w:p>
    <w:tbl>
      <w:tblPr>
        <w:tblW w:w="3410" w:type="dxa"/>
        <w:jc w:val="left"/>
        <w:tblInd w:w="0" w:type="dxa"/>
        <w:tblLayout w:type="fixed"/>
        <w:tblCellMar>
          <w:top w:w="28" w:type="dxa"/>
          <w:left w:w="28" w:type="dxa"/>
          <w:bottom w:w="28" w:type="dxa"/>
          <w:right w:w="28" w:type="dxa"/>
        </w:tblCellMar>
      </w:tblPr>
      <w:tblGrid>
        <w:gridCol w:w="841"/>
        <w:gridCol w:w="740"/>
        <w:gridCol w:w="743"/>
        <w:gridCol w:w="211"/>
        <w:gridCol w:w="721"/>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Coal ash impoundment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5. DEBT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on the Company's debt agreements:</w:t>
      </w:r>
    </w:p>
    <w:tbl>
      <w:tblPr>
        <w:tblW w:w="10205" w:type="dxa"/>
        <w:jc w:val="left"/>
        <w:tblInd w:w="0" w:type="dxa"/>
        <w:tblLayout w:type="fixed"/>
        <w:tblCellMar>
          <w:top w:w="28" w:type="dxa"/>
          <w:left w:w="28" w:type="dxa"/>
          <w:bottom w:w="28" w:type="dxa"/>
          <w:right w:w="28" w:type="dxa"/>
        </w:tblCellMar>
      </w:tblPr>
      <w:tblGrid>
        <w:gridCol w:w="556"/>
        <w:gridCol w:w="433"/>
        <w:gridCol w:w="404"/>
        <w:gridCol w:w="109"/>
        <w:gridCol w:w="109"/>
        <w:gridCol w:w="109"/>
        <w:gridCol w:w="526"/>
        <w:gridCol w:w="526"/>
        <w:gridCol w:w="412"/>
        <w:gridCol w:w="109"/>
        <w:gridCol w:w="109"/>
        <w:gridCol w:w="109"/>
        <w:gridCol w:w="424"/>
        <w:gridCol w:w="346"/>
        <w:gridCol w:w="317"/>
        <w:gridCol w:w="109"/>
        <w:gridCol w:w="109"/>
        <w:gridCol w:w="109"/>
        <w:gridCol w:w="255"/>
        <w:gridCol w:w="256"/>
        <w:gridCol w:w="349"/>
        <w:gridCol w:w="109"/>
        <w:gridCol w:w="109"/>
        <w:gridCol w:w="109"/>
        <w:gridCol w:w="231"/>
        <w:gridCol w:w="790"/>
        <w:gridCol w:w="119"/>
        <w:gridCol w:w="109"/>
        <w:gridCol w:w="109"/>
        <w:gridCol w:w="109"/>
        <w:gridCol w:w="213"/>
        <w:gridCol w:w="730"/>
        <w:gridCol w:w="110"/>
        <w:gridCol w:w="109"/>
        <w:gridCol w:w="109"/>
        <w:gridCol w:w="109"/>
        <w:gridCol w:w="240"/>
        <w:gridCol w:w="821"/>
        <w:gridCol w:w="185"/>
      </w:tblGrid>
      <w:tr>
        <w:trPr/>
        <w:tc>
          <w:tcPr>
            <w:tcW w:w="5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Balance as of: </w:t>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Loan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Interest</w:t>
              <w:br/>
              <w:t xml:space="preserve">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 Financed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July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81,375 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63,890 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2021/December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Secured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Secured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349"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0" w:type="dxa"/>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17,322 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95,510 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157,493 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Debt discount and issue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(5,747)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at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90,223 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151,746 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(67,161)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 and deferred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86,687 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84,585 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incurred interest expense of $3.1 million and $6.9 million during the three months ended June 30, 2023 and 2022, respectively, and $6.7 million and $10.3 million during the six months ended June 30, 2023 and 2022, respectively, under the terms of these financings.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Senior Secured Loan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On March 21, 2022, Greenidge, as guarantor, together with its wholly-owned subsidiaries GTX Gen 1 Collateral LLC, GNY Collateral LLC and GSC Collateral LLC (collectively, the "Borrowers") entered into a Master Equipment Finance Agreement (the "NYDIG Financing Agreement") with NYDIG, as lender, whereby NYDIG agreed to lend to the Borrowers approximately $81 million under loan schedules that were partially funded for approximately $54 million in March 2022, with additional funding of $17 million through December 31, 2022, to finance the acquisition of certain miners and related equipment (the "Financed Equipment"). The Borrowers' obligations under the NYDIG Financing Agreement were fully and unconditionally guaranteed by Greenidge. Outstanding borrowings under the NYDIG Financing Agreement were secured by all assets of the Borrowers, including without limitation, the Financed Equipment and proceeds thereof (including bitcoin). The loan schedules bore interest at a rate of 13% per annum and had terms of 25 months. Certain loan schedules were interest-only for a specified period and otherwise payments on loan schedules included both an interest and principal payment. Pursuant to the terms of the NYDIG Financing Agreement, the Borrowers and with certain exceptions, the Company, were subject to certain covenants and restrictive provisions which, among other things limited: the Borrowers’ ability to incur additional indebtedness for borrowed money; additional liens on the collateral or the equity interests of any of the Borrowers; consolidations or mergers including the Borrowers or the Company unless such would not constitute a Change in Control (as defined therein); disposing of the collateral or any portion of the collateral with certain exceptions; the Borrowers’ ability to make certain restricted payments and investments; and the ability to create certain direct obligations of the Borrowers or the Company unless the NYDIG Financing Agreement is at least pari passu in right of payment; each of which were subject to customary and usual exceptions and baskets. The loans under the NYDIG Financing Agreement could not be voluntarily partially prepaid, but could be prepaid in whole subject to a make-whole calculation. The NYDIG Financing Agreement is denoted in the table above as "Equipment Financings: A - D and F."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At December 31, 2022, Greenidge owed a payment of principal and interest in the amount of approximately $1.0 million due on December 25, 2022. Prior to defaulting on any payments, the Company and NYDIG entered into a waiver that stated both parties agreed that failure to pay the December 25, 2022 and the January 10, 2023 payments when due would not be an event of default if payment was made in full by January 27,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the Company concurrently entered into a debt settlement agreement (the "Debt Settlement Agreement"), the Asset Purchase Agreement (the "NYDIG Purchase Agreement"), and a Senior Secured Loan Agreement (the "Senior Secured Loan") with NYDIG in order to refinance and replace certain outstanding indebtedness under certain Master Equipment Financing Agreements and related loan documentation (the "MEFAs"). The $75.8 million in debt previously outstanding under the MEFAs was reduced by $58.5 million pursuant to the Debt Settlement Agreement and the remaining $17.3 million outstanding under the MEFAs was refinanced. In exchange for this reduction in debt, the Company transferred under the NYDIG Purchase Agreement $50.0 million of bitcoin miners to NYDIG and $8.5 million of miner deposits and coupons that remained accrued to Greenidge for previous purchases of mining equipment with a bitcoin miner manufacturer. As part of the Debt Settlement Agreement, the Company entered into the Senior Secured Loan Agreement, as borrower, with NYDIG, as administrative agent and as collateral agent and is denoted in the table above as "Senior Secured Loan".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 xml:space="preserve">The initial principal balance under the Secured Loan (the "Refinanced Amount") was approximately $17.3 million. Interest is payable monthly at an interest rate of 15% per annum, computed on the basis of a 360 day year of twelve 30-day months through January 30, 2025. The Secured Loan includes clauses requiring the Company to maintain cash balances in excess of $10 million, and failure to maintain this balance may be considered an event of default by the lender. The Secured Loan contains customary representations, warranties and covenants including restrictions on indebtedness, liens, restricted payments and dividend, investments, asset sales and similar covenants and contains customary events of default. In addition, the Secured Loan allowed for a voluntary prepayment of the loan in kind of approximately $10.2 million by transferring ownership of certain mining infrastructure assets to NYDIG if NYDIG entered into a binding agreement by April 30, 2023, facilitated by Greenidge, securing rights to a site for a future mining facility. The Company was informed on April 30, 2023 that NYDIG would not be entering into the binding agreement for the future mining facility and that portion of the debt remained outstanding, and as a result, accrued interest of approximately $0.4 million was capitalized into the principal balance at April 30, 2023. </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In order to facilitate the transactions contemplated by a non-binding term sheet associated with the sale of the Company's South Carolina mining site to NYDIG, on August 11, 2023, NYDIG granted the Limited Waiver to the Company with respect to reducing the Company’s minimum cash requirement from $10 million to $6 million and agreed to amend the NYDIG Senior Secured Loan on or before August 21, 2023 to extend the waiver of the minimum cash requirement as well as to suspend interest and principal payments due under both the NYDIG Senior Loan and the B Riley Commercial Note until the earlier of (i) the completion of the transactions contemplated by the non-binding term sheet, or (ii) December 29, 2023. The Company is actively working towards completing the subdivision of the 25 acre parcel on which the upgraded mining facilities are located so it can consummate the transaction contemplated by the non-binding term sheet, and although there can be no assurances that the Company will close such transaction, the Company currently anticipates that it will be able to do so in the fourth quarter of 2023 before the end of the calendar year. </w:t>
      </w:r>
    </w:p>
    <w:p>
      <w:pPr>
        <w:pStyle w:val="TextBody"/>
        <w:bidi w:val="0"/>
        <w:spacing w:lineRule="auto" w:line="276" w:before="240" w:after="180"/>
        <w:jc w:val="left"/>
        <w:rPr>
          <w:rFonts w:ascii="Calibri;sans-serif" w:hAnsi="Calibri;sans-serif"/>
          <w:b/>
          <w:color w:val="000000"/>
          <w:sz w:val="20"/>
        </w:rPr>
      </w:pPr>
      <w:r>
        <w:rPr>
          <w:rFonts w:ascii="Calibri;sans-serif" w:hAnsi="Calibri;sans-serif"/>
          <w:b/>
          <w:color w:val="000000"/>
          <w:sz w:val="20"/>
        </w:rPr>
        <w:t>Secured Promissory Note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March 18, 2022, Greenidge issued a secured promissory note, as borrower, in favor of B. Riley Commercial as noteholder (the "Noteholder"), evidencing a $26.5 million aggregate principal amount loan by B. Riley Commercial to Greenidge (the "Secured Promissory Note"). The Secured Promissory Note is guaranteed by certain of Greenidge’s wholly-owned subsidiaries: Greenidge South Carolina LLC, GSC RE LLC and 300 Jones Road LLC. The loan outstanding under the Secured Promissory Note originally bore interest at a rate of 6% per annum and originally matured on July 20, 2022, subject to up to five 30-day extensions, through December 2022, that may be elected by Greenidge provided no Event of Default (as defined therein) occurred and is continuing and Greenidge pays an Exit Fee (as defined therein) to the B. Riley Commercial. Pursuant to the terms of the Secured Promissory Note, Greenidge and its subsidiaries were subject to certain covenants and restrictive provisions which will, among other things, limit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are subject to customary and usual exceptions and baskets. The Secured Promissory Note is secured by a first priority mortgage lien on certain real property together with related improvements, fixtures and personal property located at Greenidge's South Carolina Facility. Greenidge’s obligations under the Secured Promissory Note may be prepaid in whole or in part without penalties or fees.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On August 10, 2022, Greenidge and B. Riley Commercial agreed to amend the terms of the Secured Promissory Note, by extending the maturity to June 2023, reducing scheduled monthly amortization payments and revising the interest rate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7.5%. The Exit Fees (as defined therein) associated with the four 30-day extensions subsequent to August 10, 2022, were accelerated and added to the principal balance as of that date. The principal balance following the amendment was $16.4 million as of August 10, 2022. Additionally mandatory repayments of the Secured Promissory Note were revised, such that 65% of the net cash proceeds received from sales of stock under the Equity Purchase Agreement would be paid to B. Riley Commercial to repay the Secured Promissory Note. The Company evaluated the amendment under ASC 470-50, "Debt Modification and Extinguishment", and concluded that the updated terms qualified as a debt modification, and therefore, no gain or loss was recorded.</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On January 13, 2023, Greenidge and B. Riley Commercial entered into a Waiver and Acknowledgement Letter (the "B Riley Waiver") regarding the terms of the Amended and Restated Bridge Promissory Note dated August 10, 2022 executed by Greenidge in favor of B. Riley Commercial. Under the B Riley Waiver, B. Riley Commercial agreed that Greenidge’s failure to pay the approximately $1.5 million payment of principal and interest due under the BRCC Note on December 20, 2022 would not be an event of default if that payment were made in full by the earlier of January 20, 2023 or the date that Greenidge and B. Riley Commercial enter into a mutually satisfactory amendment to the BRCC Note addressing, among other things, future amortization requirements under the Secured Promissory Note. The waiver left the due dates for other scheduled payments under the BRCC Note unaffected.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Greenidge entered into the Consent and Amendment No. 1 to the Promissory Note (the "B. Riley Amendment") with B. Riley Commercial. The B. Riley Amendment modified the payment dates and principal and interest payment amounts under the Promissory Note, requiring no principal and interest payments until June 2023 and monthly payments thereafter through November 2023. Under the terms of the B. Riley Amendment, each of B. Riley Commercial and Atlas Holdings LLC ("Atlas"), or an affiliate thereof, purchased $1 million of Greenidge’s Class A common stock under the ATM Agreement. B. Riley Commercial purchased common stock on a principal basis at $7.50 per share and Atlas or its affiliate purchased common stock at market prices through B. Riley acting as sales agent. Greenidge also paid a $1 million dollar amendment fee to B. Riley Commercial, payable by the delivery of Greenidge Class A common stock to B. Riley Commercial, as principal under the ATM Agreement, at a price of $7.50 per share. Under the B. Riley Amendment, Greenidge is required to make mandatory monthly debt repayments under the Promissory Note of 15% of the net proceeds of sales of equity, including sales under the ATM Agreement and the equity purchase agreement. The monthly principal amortization payments are $1.5 million beginning June 20, 2023.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On July 20, 2023, NYDIG purchased the secured promissory note from B. Riley Commercial. See Note 14, Subsequent Events, for further details. Under the Limited Waiver discussed in the description of the Senior Secured Loan, NYDIG agreed to amend the NYDIG the Secured Promissory Note on or before August 21, 2023 to suspend interest and principal payments due under the B Riley Commercial Note until the earlier of (i) the completion of the transactions contemplated by the non-binding term sheet, or (ii) December 29, 2023 (the “Limited Waiver”).</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Senior Unsecured Notes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fourth quarter of 2021, the Company sold $72.2 million of 8.50% Senior Notes due October 2026 (the "Notes") pursuant to the Company's registration statement on Form S-1. Interest on the Notes is payable quarterly in arrears on January 31, April 30, July 31 and October 31 of each year to the holders of record at the close of business on the immediately preceding January 15, April 15, July 15 and October 15, respectively. The Notes are senior unsecured obligations of the Company and rank equal in right of payment with the Company's existing and future senior unsecured indebtedness. The Notes trade on the Nasdaq Global Select Market under the symbol "GREEL."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may redeem the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Minimum Future Principal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Minimum future principal payments on debt at June 30, 2023 were as follows:</w:t>
      </w:r>
    </w:p>
    <w:tbl>
      <w:tblPr>
        <w:tblW w:w="2736" w:type="dxa"/>
        <w:jc w:val="left"/>
        <w:tblInd w:w="0" w:type="dxa"/>
        <w:tblLayout w:type="fixed"/>
        <w:tblCellMar>
          <w:top w:w="28" w:type="dxa"/>
          <w:left w:w="28" w:type="dxa"/>
          <w:bottom w:w="28" w:type="dxa"/>
          <w:right w:w="28" w:type="dxa"/>
        </w:tblCellMar>
      </w:tblPr>
      <w:tblGrid>
        <w:gridCol w:w="597"/>
        <w:gridCol w:w="525"/>
        <w:gridCol w:w="528"/>
        <w:gridCol w:w="211"/>
        <w:gridCol w:w="72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u w:val="single"/>
              </w:rPr>
            </w:pPr>
            <w:r>
              <w:rPr>
                <w:rFonts w:ascii="Calibri;sans-serif" w:hAnsi="Calibri;sans-serif"/>
                <w:b/>
                <w:color w:val="000000"/>
                <w:sz w:val="16"/>
                <w:u w:val="single"/>
              </w:rPr>
              <w:t>$ 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95,510 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Fair Value Disclosure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notional value and estimated fair value of the Company's debt totaled $95.5 million and $37.7 million, respectively at June 30, 2023 and $157.5 million and $88.5 million, respectively at December 31, 2022. The notional value does not include unamortized discounts and debt issuance costs of $5.3 million and $5.7 million at June 30, 2023 and December 31, 2022, respectively. The estimated fair value of the senior unsecured notes due October 2026 was measured using quoted market prices at the reporting date. Such instruments were valued using Level 1 inputs. For the equipment financings, senior secured note and Secured Promissory Note, the Company believes the notional values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6. EARNINGS PER SHARE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w:t>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 xml:space="preserve">The following table sets forth a reconciliation of the numerator and denominator used to compute basic earnings and diluted per share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6"/>
        <w:gridCol w:w="1428"/>
        <w:gridCol w:w="1438"/>
        <w:gridCol w:w="211"/>
        <w:gridCol w:w="788"/>
        <w:gridCol w:w="109"/>
        <w:gridCol w:w="109"/>
        <w:gridCol w:w="109"/>
        <w:gridCol w:w="109"/>
        <w:gridCol w:w="211"/>
        <w:gridCol w:w="893"/>
        <w:gridCol w:w="109"/>
        <w:gridCol w:w="109"/>
        <w:gridCol w:w="109"/>
        <w:gridCol w:w="109"/>
        <w:gridCol w:w="211"/>
        <w:gridCol w:w="788"/>
        <w:gridCol w:w="109"/>
        <w:gridCol w:w="109"/>
        <w:gridCol w:w="109"/>
        <w:gridCol w:w="109"/>
        <w:gridCol w:w="211"/>
        <w:gridCol w:w="893"/>
        <w:gridCol w:w="159"/>
      </w:tblGrid>
      <w:tr>
        <w:trPr/>
        <w:tc>
          <w:tcPr>
            <w:tcW w:w="166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4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per share amounts</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Numerator</w:t>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(110,782)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from discontinued operations, net of tax</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(108,311)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Denominator</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weighted average shares outstanding</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32"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weighted average shares outstanding</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basic share:</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basic share from discontinued operations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basic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(Loss) income per diluted share:</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income per diluted share from discontinued operations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diluted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three and six months ended June 30, 2023, there was no impact of dilution from any of the outstanding 12,048 RSUs or 363,096 common stock options due to the net loss, since inclusion of any impact from these awards would be anti-dilutive. For the three and six months ended June 30, 2022, there was no impact of dilution from any of the outstanding 48,215 RSUs or 57,656 common stock options due to the net loss, since inclusion of any impact from these awards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7. EQUITY BASED COMPENSATION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For the six months ended June 30, 2023, no additional shares had been granted under the 2021 Equity Plan. In October 2022, the Company registered 307,684 shares of Class A common stock, outside the 2021 Equity Plan, that were reserved for issuance upon the vesting and exercise of non-qualified stock options inducement grants.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Restricted Common Stock Unit Awards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Restricted stock unit ("RSU") awards are generally eligible to vest over a three-year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unvested RSU awards activity for the six months ended June 30, 2023 is summarized below:</w:t>
      </w:r>
    </w:p>
    <w:tbl>
      <w:tblPr>
        <w:tblW w:w="5214" w:type="dxa"/>
        <w:jc w:val="left"/>
        <w:tblInd w:w="0" w:type="dxa"/>
        <w:tblLayout w:type="fixed"/>
        <w:tblCellMar>
          <w:top w:w="28" w:type="dxa"/>
          <w:left w:w="28" w:type="dxa"/>
          <w:bottom w:w="28" w:type="dxa"/>
          <w:right w:w="28" w:type="dxa"/>
        </w:tblCellMar>
      </w:tblPr>
      <w:tblGrid>
        <w:gridCol w:w="962"/>
        <w:gridCol w:w="843"/>
        <w:gridCol w:w="849"/>
        <w:gridCol w:w="262"/>
        <w:gridCol w:w="262"/>
        <w:gridCol w:w="270"/>
        <w:gridCol w:w="109"/>
        <w:gridCol w:w="109"/>
        <w:gridCol w:w="109"/>
        <w:gridCol w:w="309"/>
        <w:gridCol w:w="904"/>
        <w:gridCol w:w="226"/>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Grant Date</w:t>
              <w:br/>
              <w:t>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June 30, 2023</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RSU grants is measured based on their fair market value on the date of grant and amortized over their requisite service periods. There were no grants awarded during the three months ended June 30, 2023. At June 30, 2023, there was approximately $0.7 million of total unrecognized compensation cost related to unvested restricted stock rights, which is expected to be recognized over a remaining weighted-average vesting period of less than 1 year.</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Common Stock Options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common stock options activity for the six months ended June 30, 2023 is summarized below:</w:t>
      </w:r>
    </w:p>
    <w:tbl>
      <w:tblPr>
        <w:tblW w:w="9019" w:type="dxa"/>
        <w:jc w:val="left"/>
        <w:tblInd w:w="0" w:type="dxa"/>
        <w:tblLayout w:type="fixed"/>
        <w:tblCellMar>
          <w:top w:w="28" w:type="dxa"/>
          <w:left w:w="28" w:type="dxa"/>
          <w:bottom w:w="28" w:type="dxa"/>
          <w:right w:w="28" w:type="dxa"/>
        </w:tblCellMar>
      </w:tblPr>
      <w:tblGrid>
        <w:gridCol w:w="1049"/>
        <w:gridCol w:w="922"/>
        <w:gridCol w:w="924"/>
        <w:gridCol w:w="109"/>
        <w:gridCol w:w="109"/>
        <w:gridCol w:w="109"/>
        <w:gridCol w:w="413"/>
        <w:gridCol w:w="413"/>
        <w:gridCol w:w="221"/>
        <w:gridCol w:w="109"/>
        <w:gridCol w:w="109"/>
        <w:gridCol w:w="109"/>
        <w:gridCol w:w="314"/>
        <w:gridCol w:w="918"/>
        <w:gridCol w:w="162"/>
        <w:gridCol w:w="109"/>
        <w:gridCol w:w="109"/>
        <w:gridCol w:w="109"/>
        <w:gridCol w:w="464"/>
        <w:gridCol w:w="464"/>
        <w:gridCol w:w="466"/>
        <w:gridCol w:w="109"/>
        <w:gridCol w:w="109"/>
        <w:gridCol w:w="109"/>
        <w:gridCol w:w="211"/>
        <w:gridCol w:w="61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Aggregate</w:t>
              <w:br/>
              <w:t>Intrinsic</w:t>
              <w:br/>
              <w:t>Value</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364,185 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Exercisable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common stock option grants is measured based on their fair market value on the date of grant and amortized over their requisite service periods. At June 30, 2023, there was approximately $2.4 million of total unrecognized compensation cost related to unvested common stock options, which is expected to be recognized over a remaining weighted-average vesting period of approximately 2.25 years.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Stock-Based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recognized stock-based compensation expense of $0.6 million and $0.3 million during the three months ended June 30, 2023 and 2022, respectively and $1.0 million and $0.7 million during the six months ended June 30, 2023 and 2022, respectively. Stock-based compensation expense is included in selling, general and administrative expenses in the accompanying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8. INCOME TAXES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The effective tax rate for the three and six months ended June 30, 2023 was 0% which was lower than the statutory rate of 21% because the Company has recognized a full valuation allowance on its deferred tax assets. The Company continued to evaluate the realizability of deferred tax assets and, due to continued reduced profitability, concluded that a valuation allowance should continue to be recognized for any deferred tax assets generated during the quarter. As a result, there was no net income tax benefit recorded for pretax losses of the U.S. operations in the three months and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effective tax rate for the three and six months ended June 30, 2022 was (16.5)% and (15.7)%, respectively, which was lower than the statutory rate of 21% due to a charge of $15.0 million for the recognition of a valuation allowance during the three months ended June 30, 2022 for deferred tax assets, primarily related to historical net operating loss carryforwards of the Support.com business that was acquired in 2021, due to the reduced profitability caused by the declines in the price of bitcoin and the increased power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9. STOCKHOLDERS' EQUITY</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Reverse Stock Split</w:t>
      </w:r>
    </w:p>
    <w:p>
      <w:pPr>
        <w:pStyle w:val="TextBody"/>
        <w:bidi w:val="0"/>
        <w:spacing w:lineRule="auto" w:line="288" w:before="240" w:after="240"/>
        <w:jc w:val="left"/>
        <w:rPr>
          <w:rFonts w:ascii="Calibri;sans-serif" w:hAnsi="Calibri;sans-serif"/>
          <w:b w:val="false"/>
          <w:color w:val="000000"/>
          <w:sz w:val="20"/>
        </w:rPr>
      </w:pPr>
      <w:r>
        <w:rPr>
          <w:rFonts w:ascii="Calibri;sans-serif" w:hAnsi="Calibri;sans-serif"/>
          <w:b w:val="false"/>
          <w:color w:val="000000"/>
          <w:sz w:val="20"/>
        </w:rPr>
        <w:t xml:space="preserve">On April 11, 2023, the stockholders approved a reverse stock split of the Company's issued and outstanding Class A common stock, par value $0.0001 per share and Class B common stock, par value $0.0001 per share, such that all outstanding shares of common stock shall be reclassified into a smaller number of shares such that every ten (10) shares of Class A common stock are combined and reclassified into one (1) share of Class A common stock and every ten (10) shares of Class B common stock are combined and reclassified into one (1) share of Class B common stock such that every holder of outstanding shares of common stock on the effective date specified in the Certificate of Amendment shall receive, subject to the treatment of fractional shares described in the Certificate of Amendment, one share of Class A common stock or Class B common stock, as applicable, in exchange for ten shares of Class A common stock or Class B common stock, as applicable, held by such holder (the “Reverse Stock Split,”). </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Equity Purchase Agreement with B. Riley Principal Capital, LLC</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September 15, 2021, as amended on April 7, 2022, Greenidge entered into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registration statement became effective on April 28, 2022 (the "Effective Date"), relating to the resale of 572,095 shares of Greenidge’s Class A common stock in connection with the Equity Purchase Agreement.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the Effective Date to June 30, 2023, Greenidge issued 159,923 shares of Class A common stock to the Investor pursuant to the Equity Purchase Agreement for aggregate proceeds of $5.0 million, net of discounts, of which there were no issuances in the three or six months ended June 30, 2023.</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At The Market Issuance Sales Agreement with B. Riley Securities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On September 19, 2022, as amended on October 3, 2022, Greenidge entered into the ATM Agreement with B. Riley and Northland,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5.0%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October 1, 2022 through August 10, 2023, Greenidge issued 2,797,959 shares under the ATM Agreement for net proceeds of $14.3 million, of which 1,164,546 shares were issued for net proceeds of $3.1 million for the three months ended June 30, 2023 and 2,509,806 for net proceeds of $12.2 million for the six months ended June 30, 2023. The number of shares issued and the net proceeds includes the issuance of 133,333 shares to B. Riley as payment of a $1.0 million amendment fee on the Promissory Note in February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240" w:after="283"/>
        <w:jc w:val="left"/>
        <w:rPr>
          <w:rFonts w:ascii="Calibri;sans-serif" w:hAnsi="Calibri;sans-serif"/>
          <w:b/>
          <w:color w:val="000000"/>
          <w:sz w:val="20"/>
        </w:rPr>
      </w:pPr>
      <w:r>
        <w:rPr>
          <w:rFonts w:ascii="Calibri;sans-serif" w:hAnsi="Calibri;sans-serif"/>
          <w:b/>
          <w:color w:val="000000"/>
          <w:sz w:val="20"/>
        </w:rPr>
        <w:t>Other</w:t>
      </w:r>
    </w:p>
    <w:p>
      <w:pPr>
        <w:pStyle w:val="TextBody"/>
        <w:bidi w:val="0"/>
        <w:spacing w:lineRule="auto" w:line="312" w:before="240" w:after="283"/>
        <w:jc w:val="left"/>
        <w:rPr>
          <w:rFonts w:ascii="Calibri;sans-serif" w:hAnsi="Calibri;sans-serif"/>
          <w:b w:val="false"/>
          <w:color w:val="000000"/>
          <w:sz w:val="20"/>
        </w:rPr>
      </w:pPr>
      <w:r>
        <w:rPr>
          <w:rFonts w:ascii="Calibri;sans-serif" w:hAnsi="Calibri;sans-serif"/>
          <w:b w:val="false"/>
          <w:color w:val="000000"/>
          <w:sz w:val="20"/>
        </w:rPr>
        <w:t xml:space="preserve">In May 2023, Greenidge issued 54,348 unregistered shares of its class A common stock to a vendor as payment for services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10. COMMITMENTS AND CONTINGENCIES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Legal Matters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 xml:space="preserve">Environmental Liabilities </w:t>
      </w:r>
    </w:p>
    <w:p>
      <w:pPr>
        <w:pStyle w:val="TextBody"/>
        <w:bidi w:val="0"/>
        <w:spacing w:lineRule="auto" w:line="288" w:before="240" w:after="283"/>
        <w:jc w:val="left"/>
        <w:rPr/>
      </w:pPr>
      <w:r>
        <w:rPr>
          <w:rFonts w:ascii="Calibri;sans-serif" w:hAnsi="Calibri;sans-serif"/>
          <w:b w:val="false"/>
          <w:color w:val="000000"/>
          <w:sz w:val="20"/>
        </w:rPr>
        <w:t xml:space="preserve">The Company has a coal combustion residual ("CCR") liability associated with the closure of a coal ash pond located on the Company's property in the Town of Torrey, New York. In accordance with ASC 410-30, </w:t>
      </w:r>
      <w:r>
        <w:rPr>
          <w:rFonts w:ascii="Calibri;sans-serif" w:hAnsi="Calibri;sans-serif"/>
          <w:b w:val="false"/>
          <w:i/>
          <w:color w:val="000000"/>
          <w:sz w:val="20"/>
        </w:rPr>
        <w:t>Environmental Obligations ("ASC 410-30")</w:t>
      </w:r>
      <w:r>
        <w:rPr>
          <w:rFonts w:ascii="Calibri;sans-serif" w:hAnsi="Calibri;sans-serif"/>
          <w:b w:val="false"/>
          <w:color w:val="000000"/>
          <w:sz w:val="20"/>
        </w:rPr>
        <w:t xml:space="preserve">, the Company has a liability of $17.5 million as of each of June 30, 2023 and December 31, 2022. CCRs are subject to federal and state requirements.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owns and operates a fully permitted landfill that also acts as a leachate treatment facility. In accordance with ASC 410-30, the Company has recorded an environmental liability of $10.5 million as of each of June 30, 2023 and December 31, 2022.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3.0%.</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Other Matters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Support.com has received and may in the future receive additional requests for information, including subpoenas, from other governmental agencies relating to the subject matter of a consent order and civil investigative demands. The Company intends to cooperate with these information requests and is not aware of any other legal proceedings against the Company by governmental authorities at this time.</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entered into a contract with Empire in September 2020 that provides for the transportation to its pipeline of 15,000 dekatherms of natural gas per day, approximately $0.2 million per month. The contract ends in September 2030 and may be terminated by either party with 12 months' notice after the initial 10-year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11. CONCENTRATIONS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a single hosting customer that accounted for 66% and 56% of the company's revenue during the three and six months ended June 30, 2023, respectively. There was no datacenter hosting revenue during the three and six months ended June 30,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27% and 76% of total revenue for the three months ended June 30, 2023 and 2022, respectively, and 30% and 67% for the six months ended June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one major power customer, NYISO, that accounted for 7% and 12% of its revenue for the three months ended June 30, 2023 and 2022, respectively , and 9% and 17% for the six months ended June 30,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natural gas vendor that accounted for approximately 21% and 63% of cost of revenue for the three months ended June 30, 2023 and 2022, respectively, and 31% and 62%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12. RELATED PARTY TRANSACTIONS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Letters of Credit </w:t>
      </w:r>
    </w:p>
    <w:p>
      <w:pPr>
        <w:pStyle w:val="TextBody"/>
        <w:bidi w:val="0"/>
        <w:spacing w:lineRule="auto" w:line="288" w:before="240" w:after="283"/>
        <w:jc w:val="left"/>
        <w:rPr/>
      </w:pPr>
      <w:r>
        <w:rPr>
          <w:rFonts w:ascii="Calibri;sans-serif" w:hAnsi="Calibri;sans-serif"/>
          <w:b w:val="false"/>
          <w:color w:val="000000"/>
          <w:sz w:val="20"/>
        </w:rPr>
        <w:t>The Company's controlling stockholder, Atlas, has a letter of credit from a financial institution in the amount of $5.0 million at June 30, 2023 and December 31, 2022, payable to the NYSDEC. This letter of credit guarantees the current value of the Company’s landfill environmental liability. See Note 10, "</w:t>
      </w:r>
      <w:r>
        <w:rPr>
          <w:rFonts w:ascii="Calibri;sans-serif" w:hAnsi="Calibri;sans-serif"/>
          <w:b w:val="false"/>
          <w:i/>
          <w:color w:val="000000"/>
          <w:sz w:val="20"/>
        </w:rPr>
        <w:t>Commitments and Contingencies"</w:t>
      </w:r>
      <w:r>
        <w:rPr>
          <w:color w:val="000000"/>
        </w:rPr>
        <w:t xml:space="preserve"> </w:t>
      </w:r>
      <w:r>
        <w:rPr>
          <w:rFonts w:ascii="Calibri;sans-serif" w:hAnsi="Calibri;sans-serif"/>
          <w:b w:val="false"/>
          <w:color w:val="000000"/>
          <w:sz w:val="20"/>
        </w:rPr>
        <w:t>under the section "</w:t>
      </w:r>
      <w:r>
        <w:rPr>
          <w:rFonts w:ascii="Calibri;sans-serif" w:hAnsi="Calibri;sans-serif"/>
          <w:b w:val="false"/>
          <w:i/>
          <w:color w:val="000000"/>
          <w:sz w:val="20"/>
        </w:rPr>
        <w:t>Environmental Liabilities"</w:t>
      </w:r>
      <w:r>
        <w:rPr>
          <w:color w:val="000000"/>
        </w:rPr>
        <w:t xml:space="preserve"> </w:t>
      </w:r>
      <w:r>
        <w:rPr>
          <w:rFonts w:ascii="Calibri;sans-serif" w:hAnsi="Calibri;sans-serif"/>
          <w:b w:val="false"/>
          <w:color w:val="000000"/>
          <w:sz w:val="20"/>
        </w:rPr>
        <w:t>for further details.</w:t>
      </w:r>
    </w:p>
    <w:p>
      <w:pPr>
        <w:pStyle w:val="TextBody"/>
        <w:bidi w:val="0"/>
        <w:spacing w:lineRule="auto" w:line="288" w:before="240" w:after="283"/>
        <w:jc w:val="left"/>
        <w:rPr/>
      </w:pPr>
      <w:r>
        <w:rPr>
          <w:rFonts w:ascii="Calibri;sans-serif" w:hAnsi="Calibri;sans-serif"/>
          <w:b w:val="false"/>
          <w:color w:val="000000"/>
          <w:sz w:val="20"/>
        </w:rPr>
        <w:t>Atlas also has a letter of credit from a financial institution in the amount of $3.6 million at June 30, 2023 and December 31, 2022, payable to Empire Pipeline Incorporated (“Empire”) in the event the Company should not make contracted payments for costs related to a pipeline interconnection project the Company has entered into with Empire (see Note 10, "</w:t>
      </w:r>
      <w:r>
        <w:rPr>
          <w:rFonts w:ascii="Calibri;sans-serif" w:hAnsi="Calibri;sans-serif"/>
          <w:b w:val="false"/>
          <w:i/>
          <w:color w:val="000000"/>
          <w:sz w:val="20"/>
        </w:rPr>
        <w:t>Commitments and Contingencies"</w:t>
      </w:r>
      <w:r>
        <w:rPr>
          <w:rFonts w:ascii="Calibri;sans-serif" w:hAnsi="Calibri;sans-serif"/>
          <w:b w:val="false"/>
          <w:color w:val="000000"/>
          <w:sz w:val="20"/>
        </w:rPr>
        <w:t>).</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Guarantee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An affiliate of Atlas had guaranteed the payment obligation of Greenidge in favor of Emera Energy Services, Inc. ("Emera") under an Energy Management Agreement and an ISDA Master Agreement under which Greenidge may enter into various transactions involving the purchase and sale of natural gas, electricity and other commodities with Emera. This guaranty was limited to $1.0 million and is no longer in effect. Atlas did not make any payments under the guarantee during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13. SUPPLEMENTAL BALANCE SHEET AND CASH FLOW INFORMATION</w:t>
      </w:r>
    </w:p>
    <w:tbl>
      <w:tblPr>
        <w:tblW w:w="5141" w:type="dxa"/>
        <w:jc w:val="left"/>
        <w:tblInd w:w="0" w:type="dxa"/>
        <w:tblLayout w:type="fixed"/>
        <w:tblCellMar>
          <w:top w:w="28" w:type="dxa"/>
          <w:left w:w="28" w:type="dxa"/>
          <w:bottom w:w="28" w:type="dxa"/>
          <w:right w:w="28" w:type="dxa"/>
        </w:tblCellMar>
      </w:tblPr>
      <w:tblGrid>
        <w:gridCol w:w="800"/>
        <w:gridCol w:w="701"/>
        <w:gridCol w:w="704"/>
        <w:gridCol w:w="243"/>
        <w:gridCol w:w="711"/>
        <w:gridCol w:w="125"/>
        <w:gridCol w:w="109"/>
        <w:gridCol w:w="109"/>
        <w:gridCol w:w="109"/>
        <w:gridCol w:w="297"/>
        <w:gridCol w:w="1016"/>
        <w:gridCol w:w="217"/>
      </w:tblGrid>
      <w:tr>
        <w:trPr/>
        <w:tc>
          <w:tcPr>
            <w:tcW w:w="8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Prepaid expenses:</w:t>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Electric deposits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insurance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Accrued expenses:</w:t>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compensation</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non-income taxes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1,932 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6,119 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7,450 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had the following noncash investing and financing activities:</w:t>
      </w:r>
    </w:p>
    <w:tbl>
      <w:tblPr>
        <w:tblW w:w="6954" w:type="dxa"/>
        <w:jc w:val="left"/>
        <w:tblInd w:w="0" w:type="dxa"/>
        <w:tblLayout w:type="fixed"/>
        <w:tblCellMar>
          <w:top w:w="28" w:type="dxa"/>
          <w:left w:w="28" w:type="dxa"/>
          <w:bottom w:w="28" w:type="dxa"/>
          <w:right w:w="28" w:type="dxa"/>
        </w:tblCellMar>
      </w:tblPr>
      <w:tblGrid>
        <w:gridCol w:w="1630"/>
        <w:gridCol w:w="1431"/>
        <w:gridCol w:w="1439"/>
        <w:gridCol w:w="211"/>
        <w:gridCol w:w="721"/>
        <w:gridCol w:w="109"/>
        <w:gridCol w:w="109"/>
        <w:gridCol w:w="109"/>
        <w:gridCol w:w="109"/>
        <w:gridCol w:w="211"/>
        <w:gridCol w:w="72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purchases in 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amendment fee to lender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professional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assets for reduction in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coupons for reduction in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equipment deposits for reduction in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debt principal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14. SUBSEQUENT EVENTS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Subsequent events have been evaluated through August 14, 2023, the date at which the condensed consolidated financial statements were available to be issued, and the Company has concluded that no such events or transactions took place that would require disclosure herein, except as stated directly below:</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August 2023, in connection with a non-binding term sheet that the Company entered into with NYDIG in June to effect a deleveraging transaction, the Company completed an electrical upgrade at its South Carolina facility increasing the capacity to 44 MW. Upon completion of this expansion, on August 10, 2023, the Company and NYDIG amended the NYDIG Hosting Agreements to increase the number of miners being hosted by Greenidge utilizing all of the expansion. The NYDIG Hosting Agreements were amended in furtherance of the broader transaction contemplated by the non-binding term sheet pursuant to which the Company would sell to NYDIG all of the upgraded mining facilities at the South Carolina site and would also subdivide and sell to NYDIG the approximately 25 acres of land on which the facilities are located. As the Company was still in the process of subdividing the 25 acre parcel, which is required to close the transaction pursuant to the non-binding term sheet after having completed the upgrade of the mining facilities, the parties have amended the existing NYDIG Hosting Agreements in the interim. In connection with amending the NYDIG Hosting Agreements, and in order to facilitate the transactions contemplated by the non-binding term sheet, NYDIG also agreed, among other things, to grant the Limited Waiver to the Company with respect to reducing the Company’s minimum cash requirement under the NYDIG Senior Secured Loan from $10 million to $6 million and to amend the NYDIG Senior Secured Loan and the Secured Promissory Note issued to B Riley Commercial (which NYDIG purchased from B Riley Commercial on July 20, 2023 at par) on or before August 21, 2023 to extend the waiver of the minimum cash requirement as well as to suspend interest and principal payments due under both the NYDIG Senior Loan and the B Riley Commercial Note until the earlier of (i) the completion of the transactions contemplated by the non-binding term sheet, or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December 29, 2023. The Company is actively working towards completing the subdivision of the 25 acre parcel on which the upgraded mining facilities are located so it can consummate the transaction contemplated by the non-binding term sheet, and although there can be no assurances that the Company will close such transaction, the Company currently anticipates that it will be able to do so in the fourth quarter of 2023 before the end of the calendar year.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Upon the closing of the transaction contemplated by the non-binding term sheet, the Company would retain approximately 150 acres of land at the site. In exchange for the sale to NYDIG of the upgraded South Carolina mining facilities and the subdivided approximate 25 acres of land, Greenidge would receive:</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Senior Secured Loan with NYDIG with remaining principal of approximately $17.7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B Riley Commercial Secured Promissory Note with remaining principal of approximately $5.6 million as of June 30, 2023, which NYDIG purchased from B. Riley Commercial on July 20, 2023 at par following Greenidge's principal payment to B. Riley Commercial, which reduced the principal balance to approximately $4.1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Relief from principal and interest payments between August 2023 and the earlier of closing of the sale or December 31, 2022; however, interest on the Senior Secured Loan and the Secured Promissory Note will accrue over that period;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$4.9 million, net of the accrued interest payments on the NYDIG Senior Loan and the B Riley Commercial Secured Promissory Note and certain transaction fees owed to NYDIG;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Bonus payments of up to approximately $2.6 million tied to completion of the expansion of the upgraded mining facility and uptime performance of the facility.</w:t>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Calibri;sans-serif" w:hAnsi="Calibri;sans-serif"/>
          <w:b w:val="false"/>
          <w:i/>
          <w:color w:val="000000"/>
          <w:sz w:val="20"/>
        </w:rPr>
        <w:t xml:space="preserve">The following discussion should be read together with the audited financial statements and the related notes thereto of Greenidge Generation Holdings Inc. (“Greenidge”), together with its consolidated subsidiaries (the “Company”) for the years ended December 31, 2022 and 2021 included in our Annual Report on Form 10-K and the unaudited interim financial statements and related notes thereto of the Company for the three and six months ended June 30, 2023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2022 </w:t>
      </w:r>
      <w:r>
        <w:rPr>
          <w:rFonts w:ascii="Calibri;sans-serif" w:hAnsi="Calibri;sans-serif"/>
          <w:b w:val="false"/>
          <w:color w:val="000000"/>
          <w:sz w:val="20"/>
        </w:rPr>
        <w:t>and in this Quarterly Report on Form 10-Q,</w:t>
      </w:r>
      <w:r>
        <w:rPr>
          <w:color w:val="000000"/>
        </w:rPr>
        <w:t xml:space="preserve"> </w:t>
      </w:r>
      <w:r>
        <w:rPr>
          <w:rFonts w:ascii="Calibri;sans-serif" w:hAnsi="Calibri;sans-serif"/>
          <w:b w:val="false"/>
          <w:i/>
          <w:color w:val="000000"/>
          <w:sz w:val="20"/>
        </w:rPr>
        <w:t>and “Cautionary Statement Regarding Forward-Looking Statements” sections of this Quarterly Report on Form 10-Q. Actual results may differ materially from those contained in any forward-looking statements. For purposes of this section, “the Company,” “we,” “us” and “our” refer to Greenidge Generation Holdings Inc. together with its consolidated subsidiaries. You should carefully read “Cautionary Statement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own cryptocurrency datacenter operations in the Town of Torrey, New York (the "New York Facility") and in Spartanburg, South Carolina (the "South Carolina Facility" and, together with the New York Facility, the "facilities"). The New York Facility is a vertically integrated cryptocurrency datacenter and power generation facility with an approximately 106 megawatt ("MW") nameplate capacity, natural gas power generation facility. We generate revenue from three primary sources (1) datacenter hosting which we commenced on January 30, 2023, (2) cryptocurrency mining and (3) power and capacity.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generate all the power we require for operations in the New York Facility, where we enjoy relatively lower market prices for natural gas due to our access to the Millennium Gas Pipeline price hub. At the South Carolina Facility, we purchase power from a supplier of approximately 60% zero-carbon sourced energy, which results in relatively stable energy cost environment.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Greenidge datacenter operations consisted of approximately 38,700 miners with approximately 4.1 EH/s of combined capacity for both datacenter hosting and cryptocurrency mining, of which 28,500 miners, or 2.9 EH/s, is associated with datacenter hosting and 10,200 miners, or 1.2 EH/s, is associated with Greenidge's cryptocurrency mining.</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Recent Transactions</w:t>
      </w:r>
    </w:p>
    <w:p>
      <w:pPr>
        <w:pStyle w:val="TextBody"/>
        <w:bidi w:val="0"/>
        <w:spacing w:lineRule="auto" w:line="288" w:before="12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Cryptocurrency Mining Hosting Agreements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March 15, 2023, we entered into a hosting agreement with Conifex Timber Inc. (“Conifex”) to host 750 miners at</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their facility in British Columbia, Canada (the “Conifex Hosting Agreement”). On April 27, 2023, we entered into a hosting agreement with Core Scientific, Inc. (“Core”) in which Core will host and operate approximately 6,900 of Greenidge-owned bitcoin miners at its facilities (the “Core Hosting Agreement”, and, together with the NYDIG Hosting Agreements as described below and the Conifex Hosting Agreement, the “Hosting Agreements”) . We also installed an additional 1,500 of company-owned miners at our existing facilities. Under the terms of the Hosting Agreements, the host entities will operate Greenidge owned miners in exchange for a hosting fee and a percentage of the mining proceeds.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u w:val="single"/>
        </w:rPr>
      </w:pPr>
      <w:r>
        <w:rPr>
          <w:rFonts w:ascii="Calibri;sans-serif" w:hAnsi="Calibri;sans-serif"/>
          <w:b w:val="false"/>
          <w:i/>
          <w:color w:val="000000"/>
          <w:sz w:val="20"/>
          <w:u w:val="single"/>
        </w:rPr>
        <w:t>NYDIG Agreements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a number of agreements associated with our secured debt with NYDIG, including a Membership Interest and Asset Purchase Agreement (the "NYDIG Purchase Agreement"), a Senior Secured Loan Agreement (the "Senior Secured Loan") and a Debt Settlement Agreement (the "Debt Settlement Agreement") regarding our 2021 and 2022 Master Equipment Finance Agreements (the "MEFAs") with NYDIG. The effect of these agreements was to transfer to NYDIG ownership of bitcoin mining equipment that was secured by the MEFAs along with certain credits and coupons that had accrued to Greenidge for previous purchases of mining equipment with a bitcoin miner manufacturer. The transfer of these assets reduced the principal and accrued interest balance of our secured debt with NYDIG from $75.8 million to $17.3 million, for an aggregate debt reduction of $58.5 million (the "Refinancing"). The Senior Secured Loan allowed for a voluntary prepayment of the loan in kind of approximately $10 million by transferring ownership of certain mining infrastructure assets to NYDIG if NYDIG enters into a binding agreement, facilitated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Greenidge, securing rights to a site for a future mining facility by April 30, 2023, which did not occur. NYDIG chose not to enter into a binding agreement securing rights to a site facilitated by Greenidge.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restructuring of the NYDIG debt is expected to improve Greenidge’s liquidity during 2023 as the payments required in 2023 on the remaining principal balance is interest payments of $2.0 million. This reduced debt service is substantially lower than the $62.7 million of principal and interest payments which would have been required in 2023 pursuant to the 2021 and 2022 MEFAs, both of which have now been refinanced.</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Greenidge provided additional collateral to NYDIG on its remaining mining-related assets, infrastructure assets, equity of its subsidiaries and certain cash balances to secure the remaining debt balance with NYDIG. The Senior Secured Loan contains certain affirmative, negative and financial covenants, including the maintenance of a minimum cash balance of $10 million, early amortization events, and events of default. </w:t>
      </w:r>
    </w:p>
    <w:p>
      <w:pPr>
        <w:pStyle w:val="TextBody"/>
        <w:bidi w:val="0"/>
        <w:spacing w:before="0" w:after="0"/>
        <w:jc w:val="left"/>
        <w:rPr/>
      </w:pPr>
      <w:r>
        <w:rPr/>
      </w:r>
    </w:p>
    <w:p>
      <w:pPr>
        <w:pStyle w:val="TextBody"/>
        <w:bidi w:val="0"/>
        <w:spacing w:lineRule="auto" w:line="276" w:before="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NYDIG Hosting Agreements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Hosting Agreements with NYDIG affiliates, which resulted in us largely operating as a hosting facility and service provider for miners acquired from us by NYDIG affiliates (the "NYDIG Hosting Agreements"). Under these agreements, we agreed to host, power and provide technical support services, and other related services, to NYDIG affiliates’ mining equipment at our facilities for a term of five years. The terms of such arrangements require NYDIG affiliates to pay a hosting fee that covers the cost of power and direct costs associated with management of the mining facilities as well as a gross profit-sharing arrangement. This allows us to participate in the upside should bitcoin prices rise, but reduces our downside risk of bitcoin price deterioration and cost increases related to natural gas. The arrangement covers most of our current mining capacity at the New York Facility and the entire South Carolina Facility. During the first quarter, we transitioned the mining operations to hosting by re-pooling the miners to NYDIG mining pools during February and March 2023. This process was substantially complete at March 31, 2023. </w:t>
      </w:r>
    </w:p>
    <w:p>
      <w:pPr>
        <w:pStyle w:val="TextBody"/>
        <w:bidi w:val="0"/>
        <w:spacing w:before="0" w:after="0"/>
        <w:jc w:val="left"/>
        <w:rPr/>
      </w:pPr>
      <w:r>
        <w:rPr/>
      </w:r>
    </w:p>
    <w:p>
      <w:pPr>
        <w:pStyle w:val="TextBody"/>
        <w:bidi w:val="0"/>
        <w:spacing w:lineRule="auto" w:line="276" w:before="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B. Riley Promissory Note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January 30, 2023, we also entered into the Consent and Amendment No. 1 to the Promissory Note ("Promissory Note Amendment")in favor of B. Riley Commercial ("B. Riley Commercial") regarding $10.6 million of debt, including accrued interest, which included the following terms:</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B. Riley Commercial purchased $1 million of our Class A common stock on a principal basis at a price of $7.50 per share pursuant to an at-the-market issuance sales agreement, as amended, dated as of September 19, 2022, by and among the Company, B. Riley Securities, Inc. (“B. Riley Securities”) and Northland Securities, Inc., relating to shares of Greenidge’s Class A common stock (the "ATM Agreement");</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Atlas Holdings LLC ("Atlas") purchased $1 million of our Class A common stock at market prices through B. Riley Securities acting in its capacity as sales agent pursuant to the ATM Agreement;</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Greenidge made a principal payment of $1.9 million to B. Riley Commercial in February 2023;</w:t>
      </w:r>
    </w:p>
    <w:p>
      <w:pPr>
        <w:pStyle w:val="TextBody"/>
        <w:bidi w:val="0"/>
        <w:spacing w:lineRule="auto" w:line="276" w:before="120" w:after="120"/>
        <w:ind w:left="0" w:right="0" w:hanging="360"/>
        <w:jc w:val="left"/>
        <w:rPr/>
      </w:pPr>
      <w:r>
        <w:rPr>
          <w:color w:val="000000"/>
        </w:rPr>
        <w:t>•</w:t>
      </w:r>
      <w:r>
        <w:rPr>
          <w:rFonts w:ascii="Calibri;sans-serif" w:hAnsi="Calibri;sans-serif"/>
          <w:b w:val="false"/>
          <w:color w:val="000000"/>
          <w:sz w:val="20"/>
        </w:rPr>
        <w:t>No further principal or interest payments are required to be made on the Secured Promissory Note until June 2023 except for the 15% of proceeds from sales of equity;</w:t>
      </w:r>
    </w:p>
    <w:p>
      <w:pPr>
        <w:pStyle w:val="TextBody"/>
        <w:bidi w:val="0"/>
        <w:spacing w:lineRule="auto" w:line="276" w:before="0" w:after="0"/>
        <w:ind w:left="0" w:right="0" w:hanging="360"/>
        <w:jc w:val="left"/>
        <w:rPr/>
      </w:pPr>
      <w:r>
        <w:rPr>
          <w:color w:val="000000"/>
        </w:rPr>
        <w:t>•</w:t>
      </w:r>
      <w:r>
        <w:rPr>
          <w:rFonts w:ascii="Calibri;sans-serif" w:hAnsi="Calibri;sans-serif"/>
          <w:b w:val="false"/>
          <w:color w:val="000000"/>
          <w:sz w:val="20"/>
        </w:rPr>
        <w:t>Principal payments of $1.5 million beginning in June 2023 through November 2023 when any remaining principal will be due; AND</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 xml:space="preserve">We paid B. Riley Commercial a $1 million amendment fee payable by the delivery of our Class A common stock to B. Riley Commercial, issuable at $7.50 per share, acquired on a principal basis under the ATM Agreement. </w:t>
      </w:r>
    </w:p>
    <w:p>
      <w:pPr>
        <w:pStyle w:val="TextBody"/>
        <w:bidi w:val="0"/>
        <w:spacing w:before="0" w:after="0"/>
        <w:jc w:val="left"/>
        <w:rPr/>
      </w:pPr>
      <w:r>
        <w:rPr/>
      </w:r>
    </w:p>
    <w:p>
      <w:pPr>
        <w:pStyle w:val="TextBody"/>
        <w:bidi w:val="0"/>
        <w:spacing w:lineRule="auto" w:line="276" w:before="0" w:after="120"/>
        <w:jc w:val="left"/>
        <w:rPr>
          <w:rFonts w:ascii="Calibri;sans-serif" w:hAnsi="Calibri;sans-serif"/>
          <w:b w:val="false"/>
          <w:i/>
          <w:color w:val="000000"/>
          <w:sz w:val="20"/>
          <w:u w:val="single"/>
        </w:rPr>
      </w:pPr>
      <w:r>
        <w:rPr>
          <w:rFonts w:ascii="Calibri;sans-serif" w:hAnsi="Calibri;sans-serif"/>
          <w:b w:val="false"/>
          <w:i/>
          <w:color w:val="000000"/>
          <w:sz w:val="20"/>
          <w:u w:val="single"/>
        </w:rPr>
        <w:t>South Carolina Expansion and Sale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August 2023, in connection with a non-binding term sheet that the Company entered into with NYDIG in June to effect a deleveraging transaction, the Company completed an electrical upgrade at its South Carolina facility increasing the capacity to 44 MW, as well as the expansion of the mining infrastructure in order to support approximately 8,500 incremental miners. Upon completion of this expansion, on August 10, 2023, the Company and NYDIG amended the NYDIG Hosting Agreements to increase the number of miners being hosted by Greenidge utilizing all of the expansion. The NYDIG Hosting Agreements were amended in furtherance of the broader transaction contemplated by the non-binding term sheet pursuant to which the Company would sell to NYDIG all of the upgraded mining facilities at the South Carolina site and would also subdivide and sell to NYDIG the approximately 25 acres of land on which the facilities are located. As the Company was still in the process of subdividing the 25 acre parcel, which is required to close the transaction pursuant to the non-binding term sheet after having completed the upgrade of the mining facilities, the parties have amended the existing NYDIG Hosting Agreements in the interim. In connection with amending the NYDIG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Hosting Agreements, and in order to facilitate the transactions contemplated by the non-binding term sheet, NYDIG also agreed, among other things, to grant the Limited Waiver to the Company with respect to reducing the Company’s minimum cash requirement under the NYDIG Senior Secured Loan from $10 million to $6 million and to amend the NYDIG Senior Secured Loan and the Secured Promissory Note issued to B Riley Commercial (which NYDIG purchased from B Riley Commercial on July 20, 2023 at par) on or before August 21, 2023 to extend the waiver of the minimum cash requirement as well as to suspend interest and principal payments due under both the NYDIG Senior Loan and the B Riley Commercial Note until the earlier of (i) the completion of the transactions contemplated by the non-binding term sheet, or (ii) December 29, 2023. The Company is actively working towards completing the subdivision of the 25 acre parcel on which the upgraded mining facilities are located so it can consummate the transaction contemplated by the non-binding term sheet, and although there can be no assurances that the Company will close such transaction, the Company currently anticipates that it will be able to do so in the fourth quarter of 2023 before the end of the calendar year.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Upon the closing of the transaction contemplated by the non-binding term sheet, the Company would retain approximately 150 acres of land at the site. In exchange for the sale to NYDIG of the upgraded South Carolina mining facilities and the subdivided approximate 25 acres of land, Greenidge would receive:</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Senior Secured Loan with NYDIG with remaining principal of approximately $17.7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B Riley Commercial Secured Promissory Note with remaining principal of approximately $5.6 million as of June 30, 2023, which NYDIG purchased from B. Riley Commercial on July 20, 2023 at par following Greenidge's principal payment to B. Riley Commercial, which reduced the principal balance to approximately $4.1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Relief from principal and interest payments between August 2023 and the earlier of closing of the sale or December 31, 2022; however, interest on the Senior Secured Loan and the Secured Promissory Note will accrue over that period;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$4.9 million, net of the accrued interest payments on the NYDIG Senior Loan and the B Riley Commercial Secured Promissory Note and certain transaction fees owed to NYDIG;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Bonus payments of up to approximately $2.6 million tied to completion of the expansion of the upgraded mining facility and uptime performance of the facility.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Discontinued Operations</w:t>
      </w:r>
    </w:p>
    <w:p>
      <w:pPr>
        <w:pStyle w:val="TextBody"/>
        <w:bidi w:val="0"/>
        <w:spacing w:lineRule="auto" w:line="288" w:before="240" w:after="283"/>
        <w:jc w:val="left"/>
        <w:rPr/>
      </w:pPr>
      <w:r>
        <w:rPr>
          <w:rFonts w:ascii="Calibri;sans-serif" w:hAnsi="Calibri;sans-serif"/>
          <w:b w:val="false"/>
          <w:color w:val="000000"/>
          <w:sz w:val="20"/>
        </w:rPr>
        <w:t>The contract with the Support.com's largest customer expired on December 31, 2022 and was not renewed. As a result, we have classified the Support.com business as held for sale and discontinued operations in these condensed consolidated financial statements as a result of management and the board of directors making a decision to pursue alternatives for the Support.com business and to strictly focus on its cryptocurrency datacenter and power generation operations. See Note 3, "</w:t>
      </w:r>
      <w:r>
        <w:rPr>
          <w:rFonts w:ascii="Calibri;sans-serif" w:hAnsi="Calibri;sans-serif"/>
          <w:b w:val="false"/>
          <w:i/>
          <w:color w:val="000000"/>
          <w:sz w:val="20"/>
        </w:rPr>
        <w:t>Discontinued Operations"</w:t>
      </w:r>
      <w:r>
        <w:rPr>
          <w:color w:val="000000"/>
        </w:rPr>
        <w:t xml:space="preserve"> </w:t>
      </w:r>
      <w:r>
        <w:rPr>
          <w:rFonts w:ascii="Calibri;sans-serif" w:hAnsi="Calibri;sans-serif"/>
          <w:b w:val="false"/>
          <w:color w:val="000000"/>
          <w:sz w:val="20"/>
        </w:rPr>
        <w:t>of our unaudited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Three Months Ended June 30,</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 three months ended June 30, 2023 versus the first three months ended June 30, 2022, unless otherwise specified.</w:t>
      </w:r>
    </w:p>
    <w:tbl>
      <w:tblPr>
        <w:tblW w:w="9979" w:type="dxa"/>
        <w:jc w:val="left"/>
        <w:tblInd w:w="0" w:type="dxa"/>
        <w:tblLayout w:type="fixed"/>
        <w:tblCellMar>
          <w:top w:w="28" w:type="dxa"/>
          <w:left w:w="28" w:type="dxa"/>
          <w:bottom w:w="28" w:type="dxa"/>
          <w:right w:w="28" w:type="dxa"/>
        </w:tblCellMar>
      </w:tblPr>
      <w:tblGrid>
        <w:gridCol w:w="1607"/>
        <w:gridCol w:w="1419"/>
        <w:gridCol w:w="1429"/>
        <w:gridCol w:w="211"/>
        <w:gridCol w:w="691"/>
        <w:gridCol w:w="241"/>
        <w:gridCol w:w="109"/>
        <w:gridCol w:w="109"/>
        <w:gridCol w:w="109"/>
        <w:gridCol w:w="211"/>
        <w:gridCol w:w="901"/>
        <w:gridCol w:w="241"/>
        <w:gridCol w:w="109"/>
        <w:gridCol w:w="109"/>
        <w:gridCol w:w="109"/>
        <w:gridCol w:w="211"/>
        <w:gridCol w:w="796"/>
        <w:gridCol w:w="109"/>
        <w:gridCol w:w="109"/>
        <w:gridCol w:w="109"/>
        <w:gridCol w:w="109"/>
        <w:gridCol w:w="321"/>
        <w:gridCol w:w="324"/>
        <w:gridCol w:w="286"/>
      </w:tblGrid>
      <w:tr>
        <w:trPr/>
        <w:tc>
          <w:tcPr>
            <w:tcW w:w="16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109,644 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(86,718)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(6,898)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(93,616)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(109,035)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(82,169)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(23.6)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(358.4)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(16.1)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0.9 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Management's Discussion and Analysis ("MD&amp;A").</w:t>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120" w:after="60"/>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three months ended June 30, 2023 and 2022.</w:t>
      </w:r>
    </w:p>
    <w:tbl>
      <w:tblPr>
        <w:tblW w:w="9872" w:type="dxa"/>
        <w:jc w:val="left"/>
        <w:tblInd w:w="0" w:type="dxa"/>
        <w:tblLayout w:type="fixed"/>
        <w:tblCellMar>
          <w:top w:w="28" w:type="dxa"/>
          <w:left w:w="28" w:type="dxa"/>
          <w:bottom w:w="28" w:type="dxa"/>
          <w:right w:w="28" w:type="dxa"/>
        </w:tblCellMar>
      </w:tblPr>
      <w:tblGrid>
        <w:gridCol w:w="1687"/>
        <w:gridCol w:w="1483"/>
        <w:gridCol w:w="1494"/>
        <w:gridCol w:w="211"/>
        <w:gridCol w:w="721"/>
        <w:gridCol w:w="241"/>
        <w:gridCol w:w="109"/>
        <w:gridCol w:w="109"/>
        <w:gridCol w:w="109"/>
        <w:gridCol w:w="211"/>
        <w:gridCol w:w="721"/>
        <w:gridCol w:w="241"/>
        <w:gridCol w:w="109"/>
        <w:gridCol w:w="109"/>
        <w:gridCol w:w="109"/>
        <w:gridCol w:w="261"/>
        <w:gridCol w:w="789"/>
        <w:gridCol w:w="109"/>
        <w:gridCol w:w="109"/>
        <w:gridCol w:w="109"/>
        <w:gridCol w:w="109"/>
        <w:gridCol w:w="218"/>
        <w:gridCol w:w="218"/>
        <w:gridCol w:w="286"/>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20,067 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135,161 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121,302 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Revenue per MWh</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bitcoin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28,038 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32,689 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2,065,269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577,090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1,597,793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(1,020,703)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 (in trillions of hash)</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29.7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Average bitcoin price is determined using the average daily price of the bitcoin earned using the price from the exchange used by Greenidge at the time earned.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hash rate is Greenidge’s average computing power over the period supplied to pool operators, which is measured using data from the pool operators.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difficulty is a measure of how difficult and time-consuming it is to find the right hash to solve the algorithm on the blockchain in order to receive a reward. Difficulty increases or decreases over time, depending on the number of miners on the network. It is the number of hashes it takes to solve the algorithm on the bitcoin blockchain. Our measure of Average difficulty is derived from the daily average difficulty reported by CoinMetrics, a leading provider of crypto financial intelligence.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On January 30, 2023, upon entering into our hosting agreement with NYDIG, we transitioned the significant majority of the capacity of our owned datacenter facilities to datacenter hosting operations. We entered into hosting arrangements at third party sites for the majority of our remaining owned miners in the first and second quarters of 2023. We produced approximately 670 bitcoin during the second quarter of 2023, of which 527 bitcoin were produced by third-party miners through our datacenter hosting and 143 bitcoin were produced by our Greenidge owned miners through self-mining. At June 30, 2023, Greenidge datacenter operations consisted of approximately 38,700 miners with approximately 4.1 EH/s of combined capacity for both datacenter hosting and cryptocurrency mining, of which 28,500 miners, or 2.9 EH/s, is associated with datacenter hosting and 10,200 miners, or 1.2 EH/s, is associated with Greenidge's cryptocurrency mining.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NYDIG Hosting Agreement to provide datacenter hosting services. Under the NYDIG Hosting Agreements, we generate revenue from a reimbursement fee that covers the cost of power and direct costs associated with management of the mining facilities, a hosting fee and a gross profit-sharing arrangement. The arrangement covers significant majority of our current mining capacity at our owned facilities. We generated revenue of $9.7 million for the second quarter of 2023 for which there was no revenue in the comparable period of 2022. </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by the Company. Our cryptocurrency mining revenue decreased $16.1 million, or 80%, to $4.0 million. We estimate that approximately 40% of the decrease was due to the increase in the global bitcoin mining difficulty factor, while approximately 37% of the decrease was a result of the decline in Greenidge's average mining hashrate due to the sale of miners to NYDIG and the transition of capacity to hosting during the course of the first quarter of 2023 and subsequent ramp up of deployment of Greenidge's owned miners during the second quarter of 2023. Additionally, we estimate that approximately 3% of the decline was due to the decrease in the average price of bitcoin. Bitcoin mining difficulty was 67% higher compared to the prior period due to increases in the difficulty index associated with the complexity of the algorithmic solution required to create a block and receive a bitcoin award, the average bitcoin price was 14% lower and our average hash rate decreased 64% primarily related to the sale of miners to NYDIG in January 2023 and the reallocation of our a significant majority of our datacenter infrastructure capacity to hosting services.</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power and capacity revenue decreased $1.8 million, or 63%, to $1.1 million during the three months ended June 30, 2023. We estimate that lower volume reduced revenues by approximately 15% and lower prices impacted the power and capacity revenues by approximately 47%. This was a result of 56% lower price per MWh sold to the power grid and a 15% decrease in volume in second quarter of 2023, as compared to the prior period. The power revenue decreased in the second quarter of 2023 due to more moderate weather in New York during the second quarter of 2023 as compared to the second quarter of 2022 experienced.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945" w:type="dxa"/>
        <w:jc w:val="left"/>
        <w:tblInd w:w="0" w:type="dxa"/>
        <w:tblLayout w:type="fixed"/>
        <w:tblCellMar>
          <w:top w:w="28" w:type="dxa"/>
          <w:left w:w="28" w:type="dxa"/>
          <w:bottom w:w="28" w:type="dxa"/>
          <w:right w:w="28" w:type="dxa"/>
        </w:tblCellMar>
      </w:tblPr>
      <w:tblGrid>
        <w:gridCol w:w="1405"/>
        <w:gridCol w:w="1237"/>
        <w:gridCol w:w="1243"/>
        <w:gridCol w:w="211"/>
        <w:gridCol w:w="721"/>
        <w:gridCol w:w="241"/>
        <w:gridCol w:w="109"/>
        <w:gridCol w:w="109"/>
        <w:gridCol w:w="109"/>
        <w:gridCol w:w="211"/>
        <w:gridCol w:w="721"/>
        <w:gridCol w:w="241"/>
        <w:gridCol w:w="109"/>
        <w:gridCol w:w="109"/>
        <w:gridCol w:w="109"/>
        <w:gridCol w:w="211"/>
        <w:gridCol w:w="691"/>
        <w:gridCol w:w="109"/>
        <w:gridCol w:w="109"/>
        <w:gridCol w:w="109"/>
        <w:gridCol w:w="109"/>
        <w:gridCol w:w="218"/>
        <w:gridCol w:w="218"/>
        <w:gridCol w:w="28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14,836 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75.7 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64.7 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decreased $3.7 million, or 25%, to $11.1 million during the three months ended June 30, 2023 as compared to the prior year period. Total cost of revenue, exclusive of depreciation, decreased approximately 36% due to lower natural gas input costs at the New York facility, as the average cost of natural gas per dekatherm was approximately 46% lower than the prior year. This decrease was partially offset by an increase in costs by approximately 12% due to monthly hosting fees paid to 3rd parties for hosting company owned miners which was a cost that did not occur in the prior year period when all company owned miners were hashing at company owned sites and by approximately 3% due to costs associated with a planned maintenance of the New York facility in the second quarter of 2023.</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 xml:space="preserve">The significant portions of Cost of revenue are allocated between datacenter hosting, cryptocurrency mining and power and capacity based on MWH used by each. Power and capacity Cost of revenue also declined due to lower sales volume, while MWH utilized by cryptocurrency mining declined due a larger portion of mining capacity used for Hosting during the three months ended June 30, 2023. Costs paid to third party hosting sites are all allocated to cryptocurrency mining. </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$1.2 million, or 15%, to $7.0 million for the three months ended June 30, 2023 as compared to the prior year period. The main drivers of the decrease in selling, general and administrative expenses were:</w:t>
      </w:r>
    </w:p>
    <w:p>
      <w:pPr>
        <w:pStyle w:val="TextBody"/>
        <w:bidi w:val="0"/>
        <w:spacing w:lineRule="auto" w:line="288" w:before="0" w:after="120"/>
        <w:ind w:left="0" w:right="0" w:hanging="360"/>
        <w:jc w:val="left"/>
        <w:rPr/>
      </w:pPr>
      <w:r>
        <w:rPr>
          <w:color w:val="000000"/>
        </w:rPr>
        <w:t>•</w:t>
      </w:r>
      <w:r>
        <w:rPr>
          <w:rFonts w:ascii="Calibri;sans-serif" w:hAnsi="Calibri;sans-serif"/>
          <w:b w:val="false"/>
          <w:color w:val="000000"/>
          <w:sz w:val="20"/>
        </w:rPr>
        <w:t>a decrease in legal costs of $0.8 million as the Company incurred higher regulatory related legal costs in the second quarter of 2022 associated with permit renewals and environmental matters at the New York plant; and</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a decrease in discretionary costs of approximately $0.4 million, primarily travel-related and outside consulting.</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decreased $1.4 million, or 30%, to $3.2 million for the three months ended June 30, 2023 as compared to the prior year period due to a lower asset base resulting from impairments recognized in 2022 and the sale of miners in early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reported an operating loss for the three months ended June 30, 2023 of $6.6 million compared with an operating loss of $86.7 million in the three months ended June 30, 2022. The favorable variance of $80.1 million is primarily related to a $71.5 million impairment of assets and an $11.1 million remeasurement of environmental liabilities recognized in the second quarter of 2022 that did not recur in the second quarter of 2023, as well as lower cost of revenue, selling, general and administrative costs, partially offset by lower revenue, in the aggregate, from hosting and mining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 was $6.1 million for the three months ended June 30, 2023 as compared to adjusted loss from operations of $4.7 million in the three months ended June 30, 2022. The increase in the adjusted loss from operations was primarily driven by the lower margin on the revenue caused by the shift of our owned mining infrastructure capacity to datacenter hosting and our owned miners being hosted by third parties along with the impacts of increased difficulty and lower average bitcoin price on revenue. A reconciliation of reported amounts to adjusted amounts can be found in the "Non-GAAP Measures and Reconciliations" section of this MD&amp;A.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three months ended June 30, 2023, other expense decreased by $3.8 million, or 55%, to $3.1 million primarily from a decrease in interest expense of $3.8 million, due to lower debt balances in 2023 compared to 2022.</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Our effective tax rate for the three months ended June 30, 2023 was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three months ended June 30, 2022 was (16.5)%, which was caused by the recognition of a valuation allowance on our deferred tax assets during the second quarter of 2022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from continuing operations of $9.8 million for the three months ended June 30, 2023 as compared to a net loss from continuing operations of $109.0 million for the three months ended June 30,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and restructuring costs, adjusted net loss during the three months ended June 30, 2023 would have been $9.2 million as compared to $11.9 million in the same period in 2022. The decrease in the adjusted net loss from continuing operations was driven primarily by a decrease in interest expense due to lower debt balances in 2023, partially offset by the same factors discussed above in Operating (loss) income from continuing operations. Adjusted net loss from continuing operations is a non-GAAP performance measure.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(loss)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$1.3 million, or 114%, to a $0.3 million loss for the three months ended June 30, 2023. The decrease primarily related to lower operating income caused by the loss of Support.com's largest customer, partially offset by a gain on asset disposal of $0.8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Principals ("U.S. GAAP").</w:t>
      </w:r>
    </w:p>
    <w:p>
      <w:pPr>
        <w:pStyle w:val="TextBody"/>
        <w:bidi w:val="0"/>
        <w:spacing w:before="0" w:after="0"/>
        <w:jc w:val="left"/>
        <w:rPr/>
      </w:pPr>
      <w:r>
        <w:rPr/>
      </w:r>
    </w:p>
    <w:p>
      <w:pPr>
        <w:pStyle w:val="TextBody"/>
        <w:bidi w:val="0"/>
        <w:spacing w:lineRule="auto" w:line="268" w:before="0" w:after="0"/>
        <w:jc w:val="left"/>
        <w:rPr>
          <w:rFonts w:ascii="Calibri;sans-serif" w:hAnsi="Calibri;sans-serif"/>
          <w:b/>
          <w:i/>
          <w:color w:val="000000"/>
          <w:sz w:val="20"/>
        </w:rPr>
      </w:pPr>
      <w:r>
        <w:rPr>
          <w:rFonts w:ascii="Calibri;sans-serif" w:hAnsi="Calibri;sans-serif"/>
          <w:b/>
          <w:i/>
          <w:color w:val="000000"/>
          <w:sz w:val="20"/>
        </w:rPr>
        <w:t>Adjusted operating (loss) income from continuing operations, Adjusted net loss from continuing operations, EBITDA (loss) from continuing operations and Adjusted EBITDA (loss) from continuing operations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Adjusted operating (loss) income from continuing operations” is defined as Operating(loss) income from continuing operations adjusted for special items determined by management, including, but not limited to business expansion costs, impairments of long-lived assets, remeasurement of environmental liabilities and restructuring as they are not indicative of business operations.“Adjusted net (loss) income from continuing operations” is defined as Net (loss) income from continuing operations adjusted for the after-tax impact of special items determined by management, including, but not limited to business expansion costs, impairments of long-lived assets, remeasurement of environmental liabilities and restructuring as they are not indicative of business operations."EBITDA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gain on sale of assets and debt restructuring costs as they are not indicative of business operations. Adjusted operating (loss) income from continuing operations, Adjusted net (loss) income from continuing operations,EBITDA from continuing operations and Adjusted EBITDA from continuing operations are intended as supplemental measures of our performance that are neither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by, nor presented in accordance with, U.S. GAAP. Management believes that the use of Adjusted operating (loss) income from continuing operations, Adjusted net (loss) income from continuing operations,EBITDA from continuing operations and Adjusted EBITDA from continuing operations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operating (loss) income from continuing operations, Adjusted net (loss) income from continuing operations, EBITDA from continuing operations and Adjusted EBITDA from continuing operations, we may incur future expenses similar to those excluded when calculating these measures. In addition, our presentation of these measures should not be construed as an inference that its future results will be unaffected by unusual or non-recurring items. Our computation of Adjusted operating (loss) income from continuing operations, Adjusted net (loss) income from continuing operations and Adjusted EBITDA from continuing operations may not be comparable to other similarly titled measures computed by other companies, because all companies may not calculate Adjusted operating (loss) income from continuing operations, Adjusted net (loss) income from continuing operations and Adjusted EBITDA from continuing operations in the same fashion.</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Because of these limitations, Adjusted operating (loss) income from continuing operations, Adjusted net (loss) income from continuing operations, EBITDA from continuing operations and Adjusted EBITDA from continuing operations should not be considered in isolation or as a substitute for performance measures calculated in accordance with U.S. GAAP. We compensate for these limitations by relying primarily on our U.S. GAAP results and using Adjusted operating (loss) income from continuing operations, Adjusted net (loss) income from continuing operations, EBITDA from continuing operations and Adjusted EBITDA from continuing operations on a supplemental basis. You should review the reconciliations of Operating loss from continuing operations to Adjusted operating loss from continuing operations, Net loss from continuing operations to Adjusted net loss from continuing operations and net (loss) income from continuing operations to EBITDA (loss) from continuing operations and Adjusted EBITDA from continuing operations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8"/>
        <w:gridCol w:w="965"/>
        <w:gridCol w:w="967"/>
        <w:gridCol w:w="452"/>
        <w:gridCol w:w="1459"/>
        <w:gridCol w:w="623"/>
        <w:gridCol w:w="109"/>
        <w:gridCol w:w="109"/>
        <w:gridCol w:w="109"/>
        <w:gridCol w:w="211"/>
        <w:gridCol w:w="879"/>
        <w:gridCol w:w="279"/>
        <w:gridCol w:w="109"/>
        <w:gridCol w:w="109"/>
        <w:gridCol w:w="109"/>
        <w:gridCol w:w="211"/>
        <w:gridCol w:w="721"/>
        <w:gridCol w:w="109"/>
        <w:gridCol w:w="203"/>
        <w:gridCol w:w="203"/>
        <w:gridCol w:w="109"/>
        <w:gridCol w:w="310"/>
        <w:gridCol w:w="313"/>
        <w:gridCol w:w="289"/>
      </w:tblGrid>
      <w:tr>
        <w:trPr/>
        <w:tc>
          <w:tcPr>
            <w:tcW w:w="124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57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from continuing operations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(6,637)</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(86,718)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(6,100)</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(4,650)</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19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(41.5 </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(20.3 </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(109,035)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 after tax</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 after tax</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 after tax</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Tax charge for valuation allowance</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(9,216)</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(11,911)</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(9,753)</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(109,035)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15,419 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3,112 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1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(3,476)</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(82,169)</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568 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(2,371)</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(1257)</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u w:val="single"/>
        </w:rPr>
      </w:pPr>
      <w:r>
        <w:rPr>
          <w:rFonts w:ascii="Calibri;sans-serif" w:hAnsi="Calibri;sans-serif"/>
          <w:b/>
          <w:color w:val="000000"/>
          <w:sz w:val="20"/>
          <w:u w:val="single"/>
        </w:rPr>
        <w:t>Results from Continuing Operations - Six Months Ended June 30,</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and should be read in conjunction with our condensed consolidated financial statements and related notes. All comparisons below refer to the six months ended June 30, 2023 versus the first six months ended June 30, 2022, unless otherwise specified.</w:t>
      </w:r>
    </w:p>
    <w:tbl>
      <w:tblPr>
        <w:tblW w:w="10010" w:type="dxa"/>
        <w:jc w:val="left"/>
        <w:tblInd w:w="0" w:type="dxa"/>
        <w:tblLayout w:type="fixed"/>
        <w:tblCellMar>
          <w:top w:w="28" w:type="dxa"/>
          <w:left w:w="28" w:type="dxa"/>
          <w:bottom w:w="28" w:type="dxa"/>
          <w:right w:w="28" w:type="dxa"/>
        </w:tblCellMar>
      </w:tblPr>
      <w:tblGrid>
        <w:gridCol w:w="1607"/>
        <w:gridCol w:w="1419"/>
        <w:gridCol w:w="1429"/>
        <w:gridCol w:w="211"/>
        <w:gridCol w:w="796"/>
        <w:gridCol w:w="241"/>
        <w:gridCol w:w="109"/>
        <w:gridCol w:w="109"/>
        <w:gridCol w:w="109"/>
        <w:gridCol w:w="211"/>
        <w:gridCol w:w="901"/>
        <w:gridCol w:w="241"/>
        <w:gridCol w:w="109"/>
        <w:gridCol w:w="109"/>
        <w:gridCol w:w="109"/>
        <w:gridCol w:w="211"/>
        <w:gridCol w:w="721"/>
        <w:gridCol w:w="109"/>
        <w:gridCol w:w="109"/>
        <w:gridCol w:w="109"/>
        <w:gridCol w:w="109"/>
        <w:gridCol w:w="323"/>
        <w:gridCol w:w="323"/>
        <w:gridCol w:w="286"/>
      </w:tblGrid>
      <w:tr>
        <w:trPr/>
        <w:tc>
          <w:tcPr>
            <w:tcW w:w="16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16,062 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42,171 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137,586 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(12,304)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(85,505)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NET:</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income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(95,744)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(110,782)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(77,292)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(16.5)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(148.4)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(11.6)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Management's Discussion and Analysis ("MD&amp;A").</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120" w:after="60"/>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six months ended June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829" w:type="dxa"/>
        <w:jc w:val="left"/>
        <w:tblInd w:w="0" w:type="dxa"/>
        <w:tblLayout w:type="fixed"/>
        <w:tblCellMar>
          <w:top w:w="28" w:type="dxa"/>
          <w:left w:w="28" w:type="dxa"/>
          <w:bottom w:w="28" w:type="dxa"/>
          <w:right w:w="28" w:type="dxa"/>
        </w:tblCellMar>
      </w:tblPr>
      <w:tblGrid>
        <w:gridCol w:w="1687"/>
        <w:gridCol w:w="1483"/>
        <w:gridCol w:w="1494"/>
        <w:gridCol w:w="211"/>
        <w:gridCol w:w="721"/>
        <w:gridCol w:w="241"/>
        <w:gridCol w:w="109"/>
        <w:gridCol w:w="109"/>
        <w:gridCol w:w="109"/>
        <w:gridCol w:w="211"/>
        <w:gridCol w:w="721"/>
        <w:gridCol w:w="241"/>
        <w:gridCol w:w="109"/>
        <w:gridCol w:w="109"/>
        <w:gridCol w:w="109"/>
        <w:gridCol w:w="211"/>
        <w:gridCol w:w="796"/>
        <w:gridCol w:w="109"/>
        <w:gridCol w:w="109"/>
        <w:gridCol w:w="109"/>
        <w:gridCol w:w="109"/>
        <w:gridCol w:w="218"/>
        <w:gridCol w:w="218"/>
        <w:gridCol w:w="286"/>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52,081 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53,715 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Revenue per MWh</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3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Bitcoins produced:</w:t>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Average bitcoin price</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1,749,004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1,749,004 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786,713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1,453,582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difficulty</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44.9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Average bitcoin price is determined using the average daily price of the bitcoin earned using the price from the exchange used by Greenidge at the time earned.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hash rate is Greenidge’s average computing power over the period supplied to pool operators, which is measured using data from the pool operators.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Average difficulty is a measure of how difficult and time-consuming it is to find the right hash to solve the algorithm on the blockchain in order to receive a reward. Difficulty increases or decreases over time, depending on the amount of computing power on the network. It is the number of hashes it takes to solve the algorithm on the bitcoin blockchain. Our measure of Average difficulty is derived from the daily average difficulty reported by CoinMetrics, a leading provider of crypto financial intelligence.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On January 30, 2023, upon entering into our hosting agreement with NYDIG, we transitioned the significant majority of the capacity of our owned datacenter facilities to datacenter hosting operations. We entered into hosting arrangements at third party sites for the majority of our remaining owned miners in the first and second quarters of 2023. We produced approximately 1,368 bitcoin during the six months ended June 30, 2023, of which 919 bitcoin were produced by third-party miners through our datacenter hosting and 449 bitcoin were produced by our Greenidge owned miners through self-mining. At June 30, 2023, Greenidge datacenter operations consisted of approximately 38,700 miners with approximately 4.1 EH/s of combined capacity for both datacenter hosting and cryptocurrency mining, of which 28,500 miners, or 2.9 EH/s, is associated with datacenter hosting and 10,200 miners, or 1.2 EH/s, is associated with Greenidge's cryptocurrency mining.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NYDIG Hosting Agreement to provide datacenter hosting services. Under the NYDIG Hosting Agreements,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and South Carolina Facility. We generated revenue of $16.6 million for the first six months of 2023 for which there was no revenue in the comparable period of 2022. </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or leased by the Company. Our cryptocurrency mining revenue decreased $32.9 million, or 76%, to $10.4 million. We estimate that approximately 38% of the decrease was due to the increase in the global bitcoin mining difficulty factor, while approximately 25% of the decrease was a result of the decline of Greenidge's average mining hashrate due to the sale of miners to NYDIG and the transition of mining infrastructure capacity to hosting during the course of the first quarter of 2023 and subsequent ramp up of deployment of Greenidge's owned miners during the second quarter of 2023. Additionally, we estimate that approximately 13% of the decline was due to the decrease in the average price of bitcoin. Bitcoin mining difficulty was 59% higher compared to the prior year due to increases in the difficulty index associated with the complexity of the algorithmic solution required to create a block and receive a bitcoin award, the average bitcoin price was 31% lower and our average hash rate decreased 46% primarily related to the sale of miners to NYDIG in January 2023 and the reallocation of our a significant majority of our datacenter infrastructure capacity to hosting services.</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Our power and capacity revenue decreased $6.0 million, or 68%, to $2.8 million during the six months ended June 30, 2023. We estimate that lower volume reduced revenues by approximately 34% and lower prices impacted the power and capacity revenues by approximately 34%. This was a result of 51% lower price per MWh sold to the power grid and a 34% decrease in volume in the first six months of 2023, as compared to the prior period. The power revenue decreased in the first six months of 2023, due to relatively mild weather in New York during the first half of 2023, while there was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period of severe weather in January 2022 that caused a spike in power demand, which coincided with higher prices for electricity.</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Cost of revenue (exclusive of depreciation)</w:t>
      </w:r>
    </w:p>
    <w:tbl>
      <w:tblPr>
        <w:tblW w:w="8975" w:type="dxa"/>
        <w:jc w:val="left"/>
        <w:tblInd w:w="0" w:type="dxa"/>
        <w:tblLayout w:type="fixed"/>
        <w:tblCellMar>
          <w:top w:w="28" w:type="dxa"/>
          <w:left w:w="28" w:type="dxa"/>
          <w:bottom w:w="28" w:type="dxa"/>
          <w:right w:w="28" w:type="dxa"/>
        </w:tblCellMar>
      </w:tblPr>
      <w:tblGrid>
        <w:gridCol w:w="1405"/>
        <w:gridCol w:w="1237"/>
        <w:gridCol w:w="1243"/>
        <w:gridCol w:w="211"/>
        <w:gridCol w:w="721"/>
        <w:gridCol w:w="241"/>
        <w:gridCol w:w="109"/>
        <w:gridCol w:w="109"/>
        <w:gridCol w:w="109"/>
        <w:gridCol w:w="211"/>
        <w:gridCol w:w="721"/>
        <w:gridCol w:w="241"/>
        <w:gridCol w:w="109"/>
        <w:gridCol w:w="109"/>
        <w:gridCol w:w="109"/>
        <w:gridCol w:w="211"/>
        <w:gridCol w:w="721"/>
        <w:gridCol w:w="109"/>
        <w:gridCol w:w="109"/>
        <w:gridCol w:w="109"/>
        <w:gridCol w:w="109"/>
        <w:gridCol w:w="218"/>
        <w:gridCol w:w="218"/>
        <w:gridCol w:w="286"/>
      </w:tblGrid>
      <w:tr>
        <w:trPr/>
        <w:tc>
          <w:tcPr>
            <w:tcW w:w="140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69.9 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52.4 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decreased $6.4 million, or 24%, to $20.9 million during the six months ended June 30, 2023 as compared to the prior year period. Total cost of revenue, exclusive of depreciation, decreased approximately 25% due to lower natural gas input costs at the New York facility, as the average cost of natural gas per dekatherm was approximately 65% lower than the prior year.</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significant portions of Cost of revenue are allocated between datacenter hosting, cryptocurrency mining and power and capacity based on MWH used by each. Power and capacity Cost of revenue also declined due to lower sales volume, while MWH utilized by cryptocurrency mining declined due to the transition to the Hosting Agreements during the six months ended June 30,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Selling, general and administrative expenses</w:t>
      </w:r>
    </w:p>
    <w:p>
      <w:pPr>
        <w:pStyle w:val="TextBody"/>
        <w:bidi w:val="0"/>
        <w:spacing w:lineRule="auto" w:line="288" w:before="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$4.0 million, or 20%, to $16.1 million for the six months ended June 30, 2023 as compared to the prior year period. The main drivers of the decrease in selling, general and administrative expenses were:</w:t>
      </w:r>
    </w:p>
    <w:p>
      <w:pPr>
        <w:pStyle w:val="TextBody"/>
        <w:bidi w:val="0"/>
        <w:spacing w:lineRule="auto" w:line="288" w:before="0" w:after="120"/>
        <w:ind w:left="0" w:right="0" w:hanging="360"/>
        <w:jc w:val="left"/>
        <w:rPr/>
      </w:pPr>
      <w:r>
        <w:rPr>
          <w:color w:val="000000"/>
        </w:rPr>
        <w:t>•</w:t>
      </w:r>
      <w:r>
        <w:rPr>
          <w:rFonts w:ascii="Calibri;sans-serif" w:hAnsi="Calibri;sans-serif"/>
          <w:b w:val="false"/>
          <w:color w:val="000000"/>
          <w:sz w:val="20"/>
        </w:rPr>
        <w:t>Expansion costs decreased $2.2 million as the result of the non-recurring of costs incurred in the prior year related primarily to costs associated with the potential Texas expansion which did not occur;</w:t>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Decrease of approximately $1.1 million due to reductions in professional fees and consulting expenses caused by reductions in discretionary costs and higher regulatory costs in the prior year associated with permit renewals and environmental matters at the New York plant;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employee costs decreased $0.8 million in 2023 compared to the prior year, as a result of declines in discretionary employee expenses including incentive compensation</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Gain on sale of assets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We recognized a gain on the sale of assets of $1.8 million for the sale of certain credits and coupons during six months ended June 30, 2023, including the $1.1 million of coupons transferred to NYDIG as part of the debt restructuring.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expense decreased $1.2 million, or 15%, to $7.0 million for the six months ended June 30, 2023 as compared to the prior year period due to a lower asset base resulting from impairments recognized in 2022 and the sale of miners in during the first quarter of 2023.</w:t>
      </w:r>
    </w:p>
    <w:p>
      <w:pPr>
        <w:pStyle w:val="TextBody"/>
        <w:bidi w:val="0"/>
        <w:spacing w:lineRule="auto" w:line="288" w:before="240" w:after="240"/>
        <w:jc w:val="left"/>
        <w:rPr>
          <w:rFonts w:ascii="Calibri;sans-serif" w:hAnsi="Calibri;sans-serif"/>
          <w:b/>
          <w:i/>
          <w:color w:val="000000"/>
          <w:sz w:val="20"/>
          <w:u w:val="single"/>
        </w:rPr>
      </w:pPr>
      <w:r>
        <w:rPr>
          <w:rFonts w:ascii="Calibri;sans-serif" w:hAnsi="Calibri;sans-serif"/>
          <w:b/>
          <w:i/>
          <w:color w:val="000000"/>
          <w:sz w:val="20"/>
          <w:u w:val="single"/>
        </w:rPr>
        <w:t>Operating (loss) income from continuing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reported an operating loss from continuing operations for the six months ended June 30, 2023 of $12.3 million compared with an operating loss from continuing operations of $85.5 million in the six months ended June 30, 2022. The favorable variance of $73.2 million is primarily related to a $71.5 million impairment of assets and an $11.1 million remeasurement of environmental liabilities recognized in the second quarter of 2022 that is absent in the second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of 2023, as well as lower cost of revenue, selling, general and administrative costs, partially offset by lower revenue, in the aggregate, from hosting and mining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 was $11.9 million for the six months ended June 30, 2023 as compared to adjusted operating loss from continuing operations of $1.3 million in the six months ended June 30, 2022. The increase in the adjusted loss from operations was primarily driven by the lower margin on the revenue caused by the shift of our owned mining infrastructure capacity to datacenter hosting and our owned miners being hosted by third parties along with the impacts of increased difficulty and lower average bitcoin price on revenue.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Total other expense, net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six months ended June 30, 2023, other expense decreased $3.9 million, or 39%, to $6.3 million primarily from a decrease in interest expense of $3.6 million, due to lower debt balances in 2023 compared to 2022.</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Benefit from income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Our effective tax rate for the six months ended June 30, 2023 was 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six months ended June 30, 2022 was (15.7)%, which was caused by the recognition of a valuation allowance on our deferred tax assets during the second quarter of 2022. </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Net loss from continuing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Greenidge incurred a net loss from continuing operations of $18.6 million for the six months ended June 30, 2023 as compared to a net loss from continuing operations of $110.8 million for the six months ended June 30,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an adjusted basis, excluding the impact of a gain on sale of assets and restructuring costs, adjusted net loss from continuing operations during the six months ended June 30, 2023 would have been $18.2 million as compared to $13.7 million in the same period in 2022. The increase in the adjusted net loss from continuing operations was driven primarily by the same factors discussed above in Operating (loss) income from continuing operations, but was partially offset by a decrease in interest expense due to lower debt balances in 2023. Adjusted net loss is a non-GAAP performance measure. A reconciliation of reported amounts to adjusted amounts can be found in the "Non-GAAP Measures and Reconciliations" section of this MD&amp;A.</w:t>
      </w:r>
    </w:p>
    <w:p>
      <w:pPr>
        <w:pStyle w:val="TextBody"/>
        <w:bidi w:val="0"/>
        <w:spacing w:lineRule="auto" w:line="288" w:before="240" w:after="283"/>
        <w:jc w:val="left"/>
        <w:rPr>
          <w:rFonts w:ascii="Calibri;sans-serif" w:hAnsi="Calibri;sans-serif"/>
          <w:b/>
          <w:i/>
          <w:color w:val="000000"/>
          <w:sz w:val="20"/>
          <w:u w:val="single"/>
        </w:rPr>
      </w:pPr>
      <w:r>
        <w:rPr>
          <w:rFonts w:ascii="Calibri;sans-serif" w:hAnsi="Calibri;sans-serif"/>
          <w:b/>
          <w:i/>
          <w:color w:val="000000"/>
          <w:sz w:val="20"/>
          <w:u w:val="single"/>
        </w:rPr>
        <w:t>Income from discontinued operations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have reported the Support.com business as discontinued operations in the consolidated financial statements. Income from discontinued operations, net of tax decreased $2.1 million, or 85%, to $0.4 million for the six months ended June 30, 2023. The decrease primarily related to lower operating income caused by the loss of Support.com's largest customer, partially offset by a gain on asset disposal of $4.2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Principals ("U.S. GAAP").</w:t>
      </w:r>
    </w:p>
    <w:p>
      <w:pPr>
        <w:pStyle w:val="TextBody"/>
        <w:bidi w:val="0"/>
        <w:spacing w:lineRule="auto" w:line="268" w:before="120" w:after="283"/>
        <w:jc w:val="left"/>
        <w:rPr>
          <w:rFonts w:ascii="Calibri;sans-serif" w:hAnsi="Calibri;sans-serif"/>
          <w:b/>
          <w:i/>
          <w:color w:val="000000"/>
          <w:sz w:val="20"/>
        </w:rPr>
      </w:pPr>
      <w:r>
        <w:rPr>
          <w:rFonts w:ascii="Calibri;sans-serif" w:hAnsi="Calibri;sans-serif"/>
          <w:b/>
          <w:i/>
          <w:color w:val="000000"/>
          <w:sz w:val="20"/>
        </w:rPr>
        <w:t>Adjusted operating (loss) income from continuing operations, Adjusted net loss from continuing operations, EBITDA (loss) from continuing operations and Adjusted EBITDA (loss) from continuing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 is defined as Operating(loss) income from continuing operations adjusted for special items determined by management, including, but not limited to business expansion costs, impairments of long-lived assets, remeasurement of environmental liabilities and restructuring as they are not indicative of business operations. “Adjusted net (loss) income from continuing operations” is defined as Net (loss) income from continuing operations adjusted for the after-tax impact of special items determined by management, including, but not limited to business expansion costs, impairments of long-lived assets, remeasurement of environmental liabilities and restructuring as they are not indicative of business operations. "EBITDA from continuing operations" is defined as earnings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gain on sale of assets and debt restructuring costs as they are not indicative of business operations. Adjusted operating (loss) income from continuing operations, Adjusted net (loss) income from continuing operations, EBITDA from continuing operations and Adjusted EBITDA from continuing operations are intended as supplemental measures of our performance that are neither required by, nor presented in accordance with, U.S. GAAP. Management believes that the use of Adjusted operating (loss) income from continuing operations, Adjusted net (loss) income from continuing operations, EBITDA from continuing operations and Adjusted EBITDA from continuing operations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operating (loss) income from continuing operations, Adjusted net (loss) income from continuing operations, EBITDA from continuing operations and Adjusted EBITDA from continuing operations, we may incur future expenses similar to those excluded when calculating these measures. In addition, our presentation of these measures should not be construed as an inference that its future results will be unaffected by unusual or non-recurring items. Our computation of Adjusted operating (loss) income from continuing operations, Adjusted net (loss) income from continuing operations and Adjusted EBITDA from continuing operations may not be comparable to other similarly titled measures computed by other companies, because all companies may not calculate Adjusted operating (loss) income from continuing operations, Adjusted net (loss) income from continuing operations and Adjusted EBITDA from continuing operations in the same fashion.</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Because of these limitations, Adjusted operating (loss) income from continuing operations, Adjusted net (loss) income from continuing operations, EBITDA from continuing operations and Adjusted EBITDA from continuing operations should not be considered in isolation or as a substitute for performance measures calculated in accordance with U.S. GAAP. We compensate for these limitations by relying primarily on our U.S. GAAP results and using Adjusted operating (loss) income from continuing operations, Adjusted net (loss) income from continuing operations, EBITDA from continuing operations and Adjusted EBITDA from continuing operations on a supplemental basis. You should review the reconciliations of Operating loss from continuing operations to Adjusted operating loss from continuing operations, Net loss from continuing operations to Adjusted net loss from continuing operations and net (loss) income from continuing operations to EBITDA (loss) from continuing operations and Adjusted EBITDA from continuing operations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6"/>
        <w:gridCol w:w="1388"/>
        <w:gridCol w:w="1397"/>
        <w:gridCol w:w="211"/>
        <w:gridCol w:w="779"/>
        <w:gridCol w:w="284"/>
        <w:gridCol w:w="109"/>
        <w:gridCol w:w="109"/>
        <w:gridCol w:w="109"/>
        <w:gridCol w:w="211"/>
        <w:gridCol w:w="884"/>
        <w:gridCol w:w="284"/>
        <w:gridCol w:w="109"/>
        <w:gridCol w:w="109"/>
        <w:gridCol w:w="109"/>
        <w:gridCol w:w="211"/>
        <w:gridCol w:w="779"/>
        <w:gridCol w:w="109"/>
        <w:gridCol w:w="203"/>
        <w:gridCol w:w="203"/>
        <w:gridCol w:w="109"/>
        <w:gridCol w:w="261"/>
        <w:gridCol w:w="262"/>
        <w:gridCol w:w="290"/>
      </w:tblGrid>
      <w:tr>
        <w:trPr/>
        <w:tc>
          <w:tcPr>
            <w:tcW w:w="1686"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from continuing operations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(12,304)</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(85,505)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(11,894)</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(1,333)</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792 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99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(39.8 </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(2.6 </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(110,782)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 after tax</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 after tax</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 after tax</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Tax charge for valuation allowance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(18,185)</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(13,658)</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(loss) and Adjusted EBITDA (loss) from continuing operations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(18,595)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(110,782)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6,685 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(4,925)</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(77,292)</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 after tax</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 after tax</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(3,466)</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7,549 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lineRule="auto" w:line="288" w:before="120" w:after="283"/>
        <w:jc w:val="left"/>
        <w:rPr/>
      </w:pPr>
      <w:r>
        <w:rPr>
          <w:rFonts w:ascii="Calibri;sans-serif" w:hAnsi="Calibri;sans-serif"/>
          <w:b w:val="false"/>
          <w:color w:val="000000"/>
          <w:sz w:val="20"/>
        </w:rPr>
        <w:t>On June 30, 2023, we had cash and cash equivalents of $15.4 million. To date, we have primarily relied on debt and equity financing to fund our operations, including meeting ongoing working capital needs. In our efforts to improve liquidity, on January 30, 2023, we entered into debt restructuring agreements with NYDIG and B. Riley Commercial. See "</w:t>
      </w:r>
      <w:r>
        <w:rPr>
          <w:rFonts w:ascii="Calibri;sans-serif" w:hAnsi="Calibri;sans-serif"/>
          <w:b w:val="false"/>
          <w:i/>
          <w:color w:val="000000"/>
          <w:sz w:val="20"/>
        </w:rPr>
        <w:t>Recent Transactions</w:t>
      </w:r>
      <w:r>
        <w:rPr>
          <w:rFonts w:ascii="Calibri;sans-serif" w:hAnsi="Calibri;sans-serif"/>
          <w:b w:val="false"/>
          <w:color w:val="000000"/>
          <w:sz w:val="20"/>
        </w:rPr>
        <w:t xml:space="preserve">" for further details. We also raised equity through issuances of our Class A common stock under the ATM Agreement.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operating cash flows are affected by several factors including the price of bitcoin, cost of electricity, natural gas and emissions credits. During 2022, and more particularly during the second half of 2022, our profit and cash flows were impacted significantly by volatility in the prices of bitcoin and natural gas. As a result, management took certain actions during the second half of 2022 and the first quarter of 2023 to improve our liquidity.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As discussed above and under "Recent Transactions," we entered into the NYDIG Agreement to restructure our debt by transferring ownership of miners, previously secured by the MEFAs, under the Purchase Agreement along with the rights to credits and coupons to NYDIG and reduced our debt and accrued interest balance with NYDIG from $75.8 million to $17.3 million. The restructuring of the NYDIG debt is expected to improve Greenidge’s liquidity during 2023 as the payments required on the remaining principal balance is interest payments of $2.0 million. This reduced debt service is substantially lower than the $62.7 million of principal and interest payments which would have been required in 2023 pursuant to the 2021 and 2022 MEFAs, both of which have now been refinanced.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also entered into the Hosting Agreements with NYDIG affiliates. The terms of such arrangements require NYDIG affiliates to pay a hosting fee that covers the cost of power and direct costs associated with management of the mining facilities as well as a gross profit-sharing arrangement. This allows us to participate in the upside should bitcoin prices rise, but reduces our downside risk of bitcoin price deterioration and cost increases related to natural gas.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Additionally, we entered into the Promissory Note Amendment with B. Riley Commercial, which adjusted payments so that no principal and interest payments are required until June 2023, except for a requirement to repay principal using a portion of net proceeds from sales of equity, which was reduced from 65% to 15% of the net proceeds received. B. Riley Commercial and Atlas Holding LLC each purchased $1 million of our Class A common stock pursuant to the ATM agreement. In addition to the net proceeds from the sale of Class A common stock to B. Riley Commercial and Atlas Holdings LLC, during 2023, we received net proceeds of $11.2 million from sales of Class A common stock pursuant to the ATM agreement. We repaid $5.3 million of principal on the Secured Promissory Note during the six months ended June 30,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Since entering into the Hosting Agreements, we have identified opportunities to deploy our company-owned miners. In March 2023, we entered into the Conifex Hosting Agreement, whereby Conifex will provide hosting services to Greenidge utilizing renewable power. In April 2023, we entered into the Hosting Agreement with Core in which Core will host and operate Greenidge-owned bitcoin miners at its facilities. In addition, we installed an approximate 1,500 of additional company-owned miners at our existing facilities. The installation of these miners at Conifex and Core facilities along with our facilities will improve our profits and liquidity during the remainder of 2023 and beyond.</w:t>
      </w:r>
    </w:p>
    <w:p>
      <w:pPr>
        <w:pStyle w:val="TextBody"/>
        <w:bidi w:val="0"/>
        <w:spacing w:lineRule="auto" w:line="288" w:before="240" w:after="283"/>
        <w:jc w:val="left"/>
        <w:rPr/>
      </w:pPr>
      <w:r>
        <w:rPr>
          <w:rFonts w:ascii="Calibri;sans-serif" w:hAnsi="Calibri;sans-serif"/>
          <w:b w:val="false"/>
          <w:color w:val="000000"/>
          <w:sz w:val="20"/>
        </w:rPr>
        <w:t xml:space="preserve">In August 2023, in connection with a non-binding term sheet that the Company entered into with NYDIG in June to effect a deleveraging transaction, the Company completed an electrical upgrade at its South Carolina facility increasing the capacity to 44 MW, as well as the expansion of mining infrastructure to support over 8,500 miners. As discussed in Note 14 to the Condensed Consolidated Financial Statements, </w:t>
      </w:r>
      <w:r>
        <w:rPr>
          <w:rFonts w:ascii="Calibri;sans-serif" w:hAnsi="Calibri;sans-serif"/>
          <w:b w:val="false"/>
          <w:i/>
          <w:color w:val="000000"/>
          <w:sz w:val="20"/>
        </w:rPr>
        <w:t>Subsequent Events</w:t>
      </w:r>
      <w:r>
        <w:rPr>
          <w:rFonts w:ascii="Calibri;sans-serif" w:hAnsi="Calibri;sans-serif"/>
          <w:b w:val="false"/>
          <w:color w:val="000000"/>
          <w:sz w:val="20"/>
        </w:rPr>
        <w:t xml:space="preserve">, upon completion of this expansion, on August 10, 2023, the Company and NYDIG amended the NYDIG Hosting Agreements to increase the number of miners being hosted by Greenidge utilizing all of the expansion. Pursuant to the nonbinding term sheet, the Company intends to sell the upgraded mining facilities at the South Carolina site along with approximately 25 acres of land on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facilities reside. The Company will retain approximately 150 acres of land at the site. In exchange for the sale of the upgraded South Carolina mining facilities and land, Greenidge will receive:</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Senior Secured Loan with NYDIG with remaining principal of $17.7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Full relief from the Secured Promissory Note with remaining principal of $5.6 million as of June 30, 2023. NYDIG purchased the Secured Promissory Note from B. Riley Commercial on July 20, 2023 at par, following Greenidge's principal payment to B. Riley Commercial, which reduced the principal balance to $4.1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Relief from principal and interest payments between August 2023 and the earlier of closing of the sale or December 29, 2023; however, interest on the Senior Secured Loan and the Secured Promissory Note will accrue over that period;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$4.9 million, net of the accrued interest payments on the NYDIG Senior Loan and the Secured Promissory Note and certain transaction fees owed to NYDIG;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Bonus payments of up to approximately $2.6 million tied to completion of the expansion of the upgraded mining facility and uptime performance of the facility.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Additionally, the covenant requiring the Company to maintain a minimum of $10 million of cash was reduced to $6 million under the Limited Waiver.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these improvements to our financial condition, we expect we will require additional capital in order to meet the commitments in the table below. Management will continue to work towards completing the sale of the South Carolina facility, which is expected to occur during the fourth quarter, but it is contingent on the completion of certain actions that would allow the Company to transfer the facilities along with real estate. The completion of the sale of the South Carolina facility would provide additional liquidity, and management continues to assess different options to improve liquidity including, but not limited to, issuances of equity, including but not limited to issuances under the Equity Purchase Agreement and/or the ATM Agreement, and selling the Company's excess real estate at its South Carolina Facility that is not used in its datacenter operations.</w:t>
      </w:r>
    </w:p>
    <w:p>
      <w:pPr>
        <w:pStyle w:val="TextBody"/>
        <w:bidi w:val="0"/>
        <w:spacing w:lineRule="auto" w:line="288" w:before="240" w:after="283"/>
        <w:jc w:val="left"/>
        <w:rPr/>
      </w:pPr>
      <w:r>
        <w:rPr>
          <w:rFonts w:ascii="Calibri;sans-serif" w:hAnsi="Calibri;sans-serif"/>
          <w:b w:val="false"/>
          <w:color w:val="000000"/>
          <w:sz w:val="20"/>
        </w:rPr>
        <w:t xml:space="preserve">As a result of the Company's development of the buildout of the upgrade of power capacity and construction of additional mining infrastructure in South Carolina in anticipation of the sale of the site, we estimate that our cash resources will fall below $10 million during the third quarter 2023; however, NYDIG agreed to the Limited Waiver that reduced the minimum cash requirement to $6 million. If the Company is unable to complete the sale of the South Carolina site by December 29, 2023, the Company would have 60 day cure period before the minimum cash requirement would revert to $10 million. If this were to occur, we would expect that we likely would not have cash in excess of $10 million, which would be considered an Event of Default as defined under the Senior Secured Loan that would require the repayment of the loan balance if a waiver is not obtained from NYDIG. Our estimate of cash resources available to us for the next 12 months is dependent on completion of certain actions, including the completion of the sale of the South Carolina mining facility and related real estate, and minimizing losses associated with the sale or exit of Support.com, as well as bitcoin prices, blockchain difficulty levels and energy prices similar to the those experienced in the second quarter of 2023. While bitcoin prices have begun to recover from the significant declines experienced in 2022 during the first six months of 2023, management cannot predict when or if bitcoin prices will recover to prior levels, or volatility in energy costs. While we continue to work to implement options to improve liquidity, there can be no assurance that these efforts will be successful and our liquidity could be negatively impacted by items outside of its control, in particular, significant decreases in the price of bitcoin, regulatory changes concerning cryptocurrency, increases in energy costs or other macroeconomic conditions and other matters identified in </w:t>
      </w:r>
      <w:r>
        <w:rPr>
          <w:rFonts w:ascii="Calibri;sans-serif" w:hAnsi="Calibri;sans-serif"/>
          <w:b w:val="false"/>
          <w:i/>
          <w:color w:val="000000"/>
          <w:sz w:val="20"/>
        </w:rPr>
        <w:t xml:space="preserve">"Risk Factors" </w:t>
      </w:r>
      <w:r>
        <w:rPr>
          <w:rFonts w:ascii="Calibri;sans-serif" w:hAnsi="Calibri;sans-serif"/>
          <w:b w:val="false"/>
          <w:color w:val="000000"/>
          <w:sz w:val="20"/>
        </w:rPr>
        <w:t>in Part I, Item 1A of our Annual Report on Form 10-K for the year ended December 31, 2022 and in this Quarterly Report on Form 10Q. Given this uncertainty regarding our financial condition over the next 12 months, we have concluded that there is substantial doubt about our ability to continue as a going concern for a reasonable period of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summarizes our contractual obligations and other commitments at June 30, 2023, and the years in which these obligations are due:</w:t>
      </w:r>
    </w:p>
    <w:tbl>
      <w:tblPr>
        <w:tblW w:w="9579"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11"/>
        <w:gridCol w:w="826"/>
        <w:gridCol w:w="109"/>
        <w:gridCol w:w="109"/>
        <w:gridCol w:w="109"/>
        <w:gridCol w:w="109"/>
        <w:gridCol w:w="289"/>
        <w:gridCol w:w="987"/>
        <w:gridCol w:w="14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Thereafter</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10,091 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Natural gas 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11,579 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The Company anticipates commencing remediation activities of the coal ash pond within the next twelve months.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Summary of Cash Flow</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about our net cash flow for the six months ended June 30, 2023 and 2022.</w:t>
      </w:r>
    </w:p>
    <w:tbl>
      <w:tblPr>
        <w:tblW w:w="7943" w:type="dxa"/>
        <w:jc w:val="left"/>
        <w:tblInd w:w="0" w:type="dxa"/>
        <w:tblLayout w:type="fixed"/>
        <w:tblCellMar>
          <w:top w:w="28" w:type="dxa"/>
          <w:left w:w="28" w:type="dxa"/>
          <w:bottom w:w="28" w:type="dxa"/>
          <w:right w:w="28" w:type="dxa"/>
        </w:tblCellMar>
      </w:tblPr>
      <w:tblGrid>
        <w:gridCol w:w="1984"/>
        <w:gridCol w:w="1748"/>
        <w:gridCol w:w="1757"/>
        <w:gridCol w:w="211"/>
        <w:gridCol w:w="721"/>
        <w:gridCol w:w="109"/>
        <w:gridCol w:w="109"/>
        <w:gridCol w:w="109"/>
        <w:gridCol w:w="109"/>
        <w:gridCol w:w="211"/>
        <w:gridCol w:w="721"/>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Six Months Ended</w:t>
              <w:br/>
              <w:t>June 30,</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operating activities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investing activities from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(103,742)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Increase in cash and cash equivalents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(16,217)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at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66,382 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Operating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for operating activities was $2.8 million for the six months ended June 30, 2023, as compared to net cash provided by operating activities was $0.1 million for the six months ended June 30, 2022. The variance in the operating cash flow during the first six months of 2023 as compared to 2022 was driven primarily by the higher loss from continuing operations in 2023 after consideration of non-cash items. During the six months ended June 30, 2023, higher payments to reduce accrued expenses were offset by the collection of an accounts receivable balance, which was caused by higher sales of power due to a cold streak at the end of December 2022, and the collection of a security deposit associated with the Hosting Agreements.</w:t>
      </w:r>
    </w:p>
    <w:p>
      <w:pPr>
        <w:pStyle w:val="TextBody"/>
        <w:bidi w:val="0"/>
        <w:spacing w:lineRule="auto" w:line="288" w:before="240" w:after="283"/>
        <w:jc w:val="left"/>
        <w:rPr/>
      </w:pPr>
      <w:r>
        <w:rPr>
          <w:rFonts w:ascii="Calibri;sans-serif" w:hAnsi="Calibri;sans-serif"/>
          <w:b w:val="false"/>
          <w:i/>
          <w:color w:val="000000"/>
          <w:sz w:val="20"/>
          <w:u w:val="single"/>
        </w:rPr>
        <w:t>Investing Activities</w:t>
      </w:r>
      <w:r>
        <w:rPr>
          <w:color w:val="000000"/>
        </w:rPr>
        <w:t xml:space="preserv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in investing activities was $6.4 million for the six months ended June 30, 2023, as compared to $103.7 million for the six months ended June 30, 2022. The decrease is primarily related to $98.3 million of lower purchases of and deposits for property and equipment as compared to the prior year due to the significant expansion of our miner fleet and infrastructure for cryptocurrency datacenter operations that was occurring during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Financing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Net cash provided by financing activities was $5.9 million for the six months ended June 30, 2023, as compared to $84.4 million for the six months ended June 30, 2022. The decrease is primarily related to the decrease of $96.6 million of proceeds from debt, net of issuance costs received. </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Financing Arrangements</w:t>
      </w:r>
    </w:p>
    <w:p>
      <w:pPr>
        <w:pStyle w:val="TextBody"/>
        <w:bidi w:val="0"/>
        <w:spacing w:lineRule="auto" w:line="288" w:before="0" w:after="0"/>
        <w:jc w:val="left"/>
        <w:rPr/>
      </w:pPr>
      <w:r>
        <w:rPr>
          <w:rFonts w:ascii="Calibri;sans-serif" w:hAnsi="Calibri;sans-serif"/>
          <w:b w:val="false"/>
          <w:color w:val="000000"/>
          <w:sz w:val="20"/>
        </w:rPr>
        <w:t>See Note 5, "</w:t>
      </w:r>
      <w:r>
        <w:rPr>
          <w:rFonts w:ascii="Calibri;sans-serif" w:hAnsi="Calibri;sans-serif"/>
          <w:b w:val="false"/>
          <w:i/>
          <w:color w:val="000000"/>
          <w:sz w:val="20"/>
        </w:rPr>
        <w:t>Debt</w:t>
      </w:r>
      <w:r>
        <w:rPr>
          <w:rFonts w:ascii="Calibri;sans-serif" w:hAnsi="Calibri;sans-serif"/>
          <w:b w:val="false"/>
          <w:color w:val="000000"/>
          <w:sz w:val="20"/>
        </w:rPr>
        <w:t>," and Note 9, "</w:t>
      </w:r>
      <w:r>
        <w:rPr>
          <w:rFonts w:ascii="Calibri;sans-serif" w:hAnsi="Calibri;sans-serif"/>
          <w:b w:val="false"/>
          <w:i/>
          <w:color w:val="000000"/>
          <w:sz w:val="20"/>
        </w:rPr>
        <w:t>Stockholder's Equity</w:t>
      </w:r>
      <w:r>
        <w:rPr>
          <w:rFonts w:ascii="Calibri;sans-serif" w:hAnsi="Calibri;sans-serif"/>
          <w:b w:val="false"/>
          <w:color w:val="000000"/>
          <w:sz w:val="20"/>
        </w:rPr>
        <w:t>" in the Notes to our Unaudited Condensed Consolidated Financial Statements for details regarding our financing arrangements for further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Calibri;sans-serif" w:hAnsi="Calibri;sans-serif"/>
          <w:b/>
          <w:color w:val="000000"/>
          <w:sz w:val="20"/>
        </w:rPr>
      </w:pPr>
      <w:r>
        <w:rPr>
          <w:rFonts w:ascii="Calibri;sans-serif" w:hAnsi="Calibri;sans-serif"/>
          <w:b/>
          <w:color w:val="000000"/>
          <w:sz w:val="20"/>
        </w:rPr>
        <w:t>Critical Accounting Policies and Estimates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revenue recognition, valuation of long-lived assets and environmental obligations. Management evaluates its policies and assumptions on an ongoing basis.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significant accounting policies related to these accounts in the preparation of our condensed consolidated financial statements are described under the heading “Management Discussion and Analysis of Financial Condition and Results of Operations – Critical Accounting Policies and Estimates” in our Annual Report on Form 10-K for the year ended December 31, 2022. As of the date of this filing, there were no significant changes to any of the critical accounting policies and estimates previously described in our Annual Report on Form 10-K for the year ended December 31, 2022 with the exception of those described below.</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Revenue Recognition</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generate revenue from contacts with customers from providing hosting services to a single third-party customer. Hosting revenue is recognized as services are performed on a variable basis. We recognize variable hosting revenue each month as the uncertainty related to the consideration is resolved, hosting services are provided to our customer, and our customer utilizes the hosting service (the customer simultaneously receives and consumes the benefits of our performance). Our performance obligation related to these services is satisfied over time. We recognize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We bill our customer at the beginning of each month based on the anticipated consumption under the contract. Invoices are collected in the month of invoicing under the terms of the contract. We recognize revenue based on actual consumption in the period and invoices adjustments in subsequent periods or retains credits toward future consumption. We recorded datacenter hosting revenue of $9.7 million and $0 during the three months ended June 30, 2023 and 2022, respectively and $16.6 million and $0 million during the six months ended June 30, 2023 and 2022, respectively.</w:t>
      </w:r>
    </w:p>
    <w:p>
      <w:pPr>
        <w:pStyle w:val="TextBody"/>
        <w:bidi w:val="0"/>
        <w:spacing w:lineRule="auto" w:line="288" w:before="180" w:after="283"/>
        <w:jc w:val="left"/>
        <w:rPr>
          <w:rFonts w:ascii="Calibri;sans-serif" w:hAnsi="Calibri;sans-serif"/>
          <w:b/>
          <w:i/>
          <w:color w:val="000000"/>
          <w:sz w:val="20"/>
        </w:rPr>
      </w:pPr>
      <w:r>
        <w:rPr>
          <w:rFonts w:ascii="Calibri;sans-serif" w:hAnsi="Calibri;sans-serif"/>
          <w:b/>
          <w:i/>
          <w:color w:val="000000"/>
          <w:sz w:val="20"/>
        </w:rPr>
        <w:t>Cryptocurrency Datacenter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has entered into digital asset mining pools by executing contracts with the mining pool operators to provide computing power to the mining pool. The contracts are terminable at any time by either party and Greenidge’s enforceable right to compensation only begins when Greenidge provides computing power to the mining pool operator. In exchange for providing computing power, Greenidge is entitled to a theoretical fractional share of the cryptocurrency award the mining pool operator receives less digital asset transaction fees to the mining pool operator. Revenue is measured as the value of the fractional share of the cryptocurrency award received from the pool operator, which has been reduced by the transaction fee retained by the pool operator, for Greenidge’s pro rata contribution of computing power to the mining pool operator for the successful solution of the current algorithm.</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Providing computing power in digital asset transaction verification services is an output of Greenidge’s ordinary activities. The provision of providing such computing power is the only performance obligation in Greenidge’s contracts with mining pool operators. The cryptocurrency that Greenidge receives as transaction consideration is noncash consideration, which Greenidge measures at fair value on the date received, which is not materially different than the fair value at the contract inception or the time Greenidge has earned the award from the pools. The consideration is all variable. Because it is not probable that a significant reversal of cumulative revenue will not occur, the consideration is constrained until the mining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pool operator successfully places a block (by being the first to solve an algorithm) and Greenidge receives confirmation of the consideration it will receive, at which time revenue is recognized.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Pool fees paid by miners to pooling operators are based on a fixed percentage of the theoretical bitcoin block reward and network transaction fees received by miners. Pooling fees are netted against daily bitcoin payouts. Greenidge does not expect any material future changes in pool fee percentages paid to pooling operators.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Fair value of the cryptocurrency award received is determined using the quoted price on Greenidge’s primary exchange of the related cryptocurrency at the time of receipt.</w:t>
      </w:r>
    </w:p>
    <w:p>
      <w:pPr>
        <w:pStyle w:val="TextBody"/>
        <w:bidi w:val="0"/>
        <w:spacing w:lineRule="auto" w:line="256" w:before="120" w:after="180"/>
        <w:jc w:val="left"/>
        <w:rPr>
          <w:rFonts w:ascii="Calibri;sans-serif" w:hAnsi="Calibri;sans-serif"/>
          <w:b/>
          <w:i/>
          <w:color w:val="000000"/>
          <w:sz w:val="20"/>
        </w:rPr>
      </w:pPr>
      <w:r>
        <w:rPr>
          <w:rFonts w:ascii="Calibri;sans-serif" w:hAnsi="Calibri;sans-serif"/>
          <w:b/>
          <w:i/>
          <w:color w:val="000000"/>
          <w:sz w:val="20"/>
        </w:rPr>
        <w:t>Valuation of Long-Lived Assets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In accordance with ASC 360-10, 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During 2022, we determined that triggering events had occurred as of June 30, 2022 and December 31, 2022 due to the negative impact on our cash flows resulting from the significant market declines in the price of bitcoin and increases in natural gas and energy costs during those periods. For the purposes of performing the recoverability test we consider all the long-lived assets of the Company to be a single asset group as we operate as an integrated power and crypto datacenter operations business and this grouping represents the lowest level of identifiable independent cash flows. We concluded that projected undiscounted cash flows did not support the recoverability of the long-lived assets as of June 30, 2022 and December 31, 2022; therefore, a valuation was performed using the market approach in order to determine the fair value of the asset grouping. The carrying value exceeded the fair value of the asset group and impairment loss was recorded for the difference in the carrying value and fair value. The Company recognized a noncash impairment charge of $176.3 million for the year ended December 31, 2022.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In determining the fair value of long-lived assets under the market approach, we relied on the guideline public company method, which considered the market capitalization of Greenidge, as well as the market capitalizations of other publicly traded companies and determined their revenue and hash rate multiples to compare to the market capitalization of Greenidge. Estimates using the guideline public company method is subject to uncertainties caused by potential differences in outlook caused by differing facts and circumstances surrounding the comparable companies, such as susceptibility to fluctuations in energy prices, liquidity of each company, environmental liabilities and any market perceptions of the companies in the peer group that may not apply across the industry. Valuing the Company under the market value approach changed significantly during 2022 as market perceptions of the cryptocurrency mining industry changed as bitcoin prices continued to decline and remained depressed for the latter part of 2022. We analyzed the estimates using this market approach by estimating the values using a cost approach, which resulted in similar asset values as of December 31, 2022. Considering the estimates from these different approaches, we believe the fair value of the asset group would have been within an approximate 15% to 20% range.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Off-Balance Sheet Arrangements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Emerging Growth Company Status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have an auditor report on our internal controls over financial reporting pursuant to Section 404(b) of the Sarbanes-Oxley Act;</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submit certain executive compensation matters to shareholder advisory votes, such as “say-on-pay,” “say-on-frequency” and pay ratio; and</w:t>
      </w:r>
    </w:p>
    <w:p>
      <w:pPr>
        <w:pStyle w:val="TextBody"/>
        <w:bidi w:val="0"/>
        <w:spacing w:lineRule="auto" w:line="288" w:before="240" w:after="283"/>
        <w:ind w:left="0" w:right="0" w:hanging="720"/>
        <w:jc w:val="left"/>
        <w:rPr/>
      </w:pPr>
      <w:r>
        <w:rPr>
          <w:color w:val="000000"/>
        </w:rPr>
        <w:t>•</w:t>
      </w:r>
      <w:r>
        <w:rPr>
          <w:rFonts w:ascii="Calibri;sans-serif" w:hAnsi="Calibr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other words, an emerging growth company can delay the adoption of certain accounting standards until those standards would otherwise apply to private companies. We have elected to take advantage of the benefits of this extended transition period. Its financial statements may therefore not be comparable to those of companies that comply with such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will remain an “emerging growth company” for up to five years,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Quantitative and Qualitative Disclosures About Market Risk</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Controls and Procedures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management, including its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the Chief Executive Officer and Chief Financial Officer concluded as of June 30, 2023,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There have not been any changes in the Company’s internal control over financial reporting that occurred during the second quarter of 2023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Calibri;sans-serif" w:hAnsi="Calibri;sans-serif"/>
          <w:b/>
          <w:color w:val="000000"/>
          <w:sz w:val="20"/>
        </w:rPr>
      </w:pPr>
      <w:r>
        <w:rPr>
          <w:rFonts w:ascii="Calibri;sans-serif" w:hAnsi="Calibr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Legal Proceedings</w:t>
      </w:r>
    </w:p>
    <w:p>
      <w:pPr>
        <w:pStyle w:val="TextBody"/>
        <w:bidi w:val="0"/>
        <w:spacing w:lineRule="auto" w:line="288" w:before="240" w:after="283"/>
        <w:jc w:val="left"/>
        <w:rPr/>
      </w:pPr>
      <w:r>
        <w:rPr>
          <w:rFonts w:ascii="Calibri;sans-serif" w:hAnsi="Calibri;sans-serif"/>
          <w:b w:val="false"/>
          <w:color w:val="000000"/>
          <w:sz w:val="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For information on legal proceedings, refer to Note 10, "</w:t>
      </w:r>
      <w:r>
        <w:rPr>
          <w:rFonts w:ascii="Calibri;sans-serif" w:hAnsi="Calibri;sans-serif"/>
          <w:b w:val="false"/>
          <w:i/>
          <w:color w:val="000000"/>
          <w:sz w:val="20"/>
        </w:rPr>
        <w:t>Commitments and Contingencies—Legal Matters</w:t>
      </w:r>
      <w:r>
        <w:rPr>
          <w:rFonts w:ascii="Calibri;sans-serif" w:hAnsi="Calibri;sans-serif"/>
          <w:b w:val="false"/>
          <w:color w:val="000000"/>
          <w:sz w:val="20"/>
        </w:rPr>
        <w:t>" in our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1A. Risk Factors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In evaluating our company and our business, you should carefully consider the risks and uncertainties described in Part I, Item 1A, “Risk Factors” in our Annual Report on Form 10-K for the year ended December 31, 2022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pStyle w:val="TextBody"/>
        <w:bidi w:val="0"/>
        <w:spacing w:lineRule="auto" w:line="288" w:before="240" w:after="120"/>
        <w:jc w:val="left"/>
        <w:rPr>
          <w:rFonts w:ascii="Calibri;sans-serif" w:hAnsi="Calibri;sans-serif"/>
          <w:b/>
          <w:i/>
          <w:color w:val="000000"/>
          <w:sz w:val="20"/>
        </w:rPr>
      </w:pPr>
      <w:r>
        <w:rPr>
          <w:rFonts w:ascii="Calibri;sans-serif" w:hAnsi="Calibri;sans-serif"/>
          <w:b/>
          <w:i/>
          <w:color w:val="000000"/>
          <w:sz w:val="20"/>
        </w:rPr>
        <w:t xml:space="preserve">Our Class A common stock has been subject to delisting proceedings from the Nasdaq Global Select Market recently. While the Company has regained compliance with Nasdaq requirements, there can be no assurance that our Class A common stock won't be subject to delisting proceedings in the future. </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On December 13, 2022, we received a letter from the listing qualifications department of The Nasdaq Stock Market LLC</w:t>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(“Nasdaq”) notifying us that for the prior 30 consecutive business days the bid price of our common stock had closed below $1.00 per share, the minimum closing bid price required by the continued listing requirements of Nasdaq listing rules (the "Bid Price Requirement"). The Nasdaq rules provide a period of 180 calendar days in which to regain compliance before a delisting. We regained compliance by effecting a 1-for-10 reverse stock split, which became effective on May 16, 2023, and subsequently, the closing price of our Class A common stock closed above $1.00 per share for more than 10 consecutive trading days..</w:t>
      </w:r>
    </w:p>
    <w:p>
      <w:pPr>
        <w:pStyle w:val="TextBody"/>
        <w:bidi w:val="0"/>
        <w:spacing w:before="0" w:after="0"/>
        <w:jc w:val="left"/>
        <w:rPr/>
      </w:pPr>
      <w:r>
        <w:rPr/>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On June 15, 2023, we received a letter from the listing qualifications department of Nasdaq notifying us that for the prior 30 consecutive business days the Company's Market Value of Publicly Held Shares ("MVPHS") had been below the listing requirement of $15 million. The Nasdaq rules provide a period of 180 calendar days in which to regain compliance before a delisting. On July 20, 2023, we received a letter from the listing qualifications department of the Nasdaq informing us that we had regained compliance as the Company's MVPHS exceeded $15 million for 10 consecutive business days.</w:t>
      </w:r>
    </w:p>
    <w:p>
      <w:pPr>
        <w:pStyle w:val="TextBody"/>
        <w:bidi w:val="0"/>
        <w:spacing w:before="0" w:after="0"/>
        <w:jc w:val="left"/>
        <w:rPr/>
      </w:pPr>
      <w:r>
        <w:rPr/>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 xml:space="preserve">Compliance with certain Nasdaq listing requirements depends upon the price of the Company's Class A common stock, which may be impacted by market factors not within the control of the Company. There can be no assurances that we will be able to maintain compliance with Nasdaq’s listing requirements in the future. In the event we were to fall out of compliance with Nasdaq's listing requirements, we would seek to take the appropriate actions within the 180 day cure period to regain compliance with Nasdaq listing requirements, but we can provide no assurances that we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0"/>
        <w:jc w:val="left"/>
        <w:rPr>
          <w:rFonts w:ascii="Calibri;sans-serif" w:hAnsi="Calibri;sans-serif"/>
          <w:b w:val="false"/>
          <w:color w:val="000000"/>
          <w:sz w:val="20"/>
        </w:rPr>
      </w:pPr>
      <w:r>
        <w:rPr>
          <w:rFonts w:ascii="Calibri;sans-serif" w:hAnsi="Calibri;sans-serif"/>
          <w:b w:val="false"/>
          <w:color w:val="000000"/>
          <w:sz w:val="20"/>
        </w:rPr>
        <w:t>successful doing so and prevent a delisting of our Class A common stock. In the event that a delisting of our Class A common stock were to occur, it would likely have a negative effect on the price and liquidity of our Class A common stock as well as impair our ability to sell or repurchase our Class A common stock if and when we might wish to do so.</w:t>
      </w:r>
    </w:p>
    <w:p>
      <w:pPr>
        <w:pStyle w:val="TextBody"/>
        <w:bidi w:val="0"/>
        <w:spacing w:before="0" w:after="0"/>
        <w:jc w:val="left"/>
        <w:rPr/>
      </w:pPr>
      <w:r>
        <w:rPr/>
      </w:r>
    </w:p>
    <w:p>
      <w:pPr>
        <w:pStyle w:val="TextBody"/>
        <w:bidi w:val="0"/>
        <w:spacing w:lineRule="auto" w:line="264" w:before="0" w:after="120"/>
        <w:jc w:val="left"/>
        <w:rPr>
          <w:rFonts w:ascii="Calibri;sans-serif" w:hAnsi="Calibri;sans-serif"/>
          <w:b/>
          <w:i/>
          <w:color w:val="000000"/>
          <w:sz w:val="20"/>
        </w:rPr>
      </w:pPr>
      <w:r>
        <w:rPr>
          <w:rFonts w:ascii="Calibri;sans-serif" w:hAnsi="Calibri;sans-serif"/>
          <w:b/>
          <w:i/>
          <w:color w:val="000000"/>
          <w:sz w:val="20"/>
        </w:rPr>
        <w:t>If we are unable to comply with the covenants or restrictions contained in our debt settlement agreement with NYDIG, NYDIG could declare all amounts outstanding under that agreement to be due and payable and foreclose on its collateral, which could materially adversely affect our financial condition and operations.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 previously announced, on January 30, 2023, the Company and certain of its subsidiaries entered into a debt settlement agreement (the “Debt Settlement Agreement”) with NYDIG to refinance and replace certain outstanding indebtedness of the Company and its subsidiaries to NYDIG under certain Master Equipment Financing Agreements and related loan documentation (the “MEFAs”). The approximately $76 million in debt previously outstanding under the MEFAs was reduced by approximately $59 million pursuant to the Debt Settlement Agreement and the remaining approximately $17 million outstanding under the MEFAs was refinanced as provided below (the “Refinancing”). As part of the Debt Settlement Agreement, we entered into a Senior Secured Loan Agreement (the “Secured Loan”), by and among us and Greenidge Generation LLC, as borrowers, the other subsidiaries of Greenidge from time to time party thereto as guarantors, the lenders from time to time party thereto, and NYDIG, as administrative agent and as collateral agent. The initial principal balance under the Secured Loan is approximately $17 million. Interest is payable monthly at an interest rate of 15% per annum, computed on the basis of a 360 day year of twelve 30-day months through January 30, 2025. The Secured Loan includes clauses requiring the Company to maintain cash balances in excess of $10 million, and failure to maintain this balance may be considered an event of default by the lender. The Secured Loan also contains customary representations, warranties and covenants including restrictions on indebtedness, liens, restricted payments and dividend, investments, asset sales and similar covenants and contains customary events of default.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connection with amending the NYDIG Hosting Agreements, and in order to facilitate the transactions contemplated by the non-binding term sheet, NYDIG agreed, among other things, to grant the Limited Waiver to the Company with respect to reducing the Company’s minimum cash requirement under the NYDIG Senior Secured Loan from $10 million to $6 million and to amend the NYDIG Senior Secured Loan and the Secured Promissory Note issued to B Riley Commercial (which NYDIG purchased from B Riley Commercial on July 20, 2023 at par) on or before August 21, 2023 to extend the waiver of the minimum cash requirement as well as to suspend interest and principal payments due under both the NYDIG Senior Loan and the B Riley Commercial Note until the earlier of (i) the completion of the transactions contemplated by the non-binding term sheet, or (ii) December 29, 2023. The Company is actively working towards completing the subdivision of the 25 acre parcel on which the upgraded mining facilities are located so it can consummate the transaction contemplated by the non-binding term sheet, but there can be no assurances that the Company will close such transaction.</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covenants and other restrictions contained in the Debt Settlement Agreement and other current or future debt agreements could, among other things, restrict our ability to dispose of assets, incur additional indebtedness, create liens on assets, make investments, loans or advances, make acquisitions, engage in mergers or consolidations and engage in certain transactions with affiliates. These restrictions could limit our ability to plan for or react to market conditions or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meet extraordinary capital needs or otherwise restrict corporate activities. In addition, substantially all of our borrowed money obligations are secured by certain of our assets.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failure to comply with any restrictions or covenants in our debt agreements could have serious consequences to our financial condition or result in a default under those debt agreements and under other agreements containing cross-default provisions. A default would permit lenders to accelerate the maturity of the debt under these debt agreements and to foreclose upon collateral securing the debt, among other remedies. Furthermore, an event of default or an acceleration under one of our debt agreements could also cause a cross-default or cross-acceleration of another debt instrument or contractual obligation, which would adversely impact our liquidity. Under these circumstances, we might not have sufficient funds or other resources to satisfy all of our obligations. We may not be granted waivers or other amendments to these debt agreements if for any reason we are unable to comply with these debt agreements and we may not be able to restructure or refinance our debt on terms acceptable to us, or at all.</w:t>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and/or civil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criminal liability and or costly litigations before the agencies and/or in state of federal court. Changes to these laws and regulations could result in temporary or permanent restrictions on certain operations at our facilities, including power generation or use in connection with datacenter operations, and compliance with, or opposing such regulation, may be costly.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cryptocurrency industry. For example, following the failure of several prominent crypto trading venues and lending platforms, such as FTX, BlockFi, Celsius Networks, Voyager and Three Arrows Capital in 2022 (the “2022 Events”), the U.S. Congress expressed the need for both greater federal oversight of the cryptocurrency industry and comprehensive cryptocurrency legislation. In the near future, various governmental and</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regulatory bodies, including in the United States, may introduce new policies, laws, and regulations relating to crypto</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assets and the cryptocurrency industry generally, and crypto asset platforms in particular. The failures of risk management and other control functions at other companies that played a role in the 2022 Events could accelerate an</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existing regulatory trend toward stricter oversight of crypto asset platforms and the cryptocurrency industry. It is uncertain as to what effect stricter oversight and increased regulation on the cryptocurrency industry may have on the prices of bitcoin or the costs of regulatory compliance, both of which may impact our results of operations in the future and the market value of our common stock.</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addition, in some of these markets, interested parties have proposed material market design changes, including the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elimination of a single clearing price mechanism, as well as proposals to reinstate the vertically-integrated monopoly</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model of utility ownership or to require divestiture by generating companies to reduce their market share. If competitive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restructuring of the electric power markets is reversed, discontinued, delayed or materially altered, our business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prospects and financial results could be negatively impacted. In addition, since 2010, there have been a number of</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reforms to the regulation of the derivatives markets, both in the United States and internationally. These regulations,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and any further changes thereto, or adoption of additional regulations, including any regulations relating to position</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limits on futures and other derivatives or margin for derivatives, could negatively impact our ability to hedge our</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portfolio in an efficient, cost-effective manner by us, among other things, potentially decreasing liquidity in the forward</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commodity and derivatives markets or limiting our ability to utilize non-cash collateral for derivatives transactions.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The digital asset exchanges on which cryptocurrencies, including bitcoin, trade are relatively new and largely unregulated, and thus may be exposed to fraud and failure. Such failures may result in a reduction in the price of bitcoin and other cryptocurrencies and can adversely affect an investment in us.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of these factors, along with the recent bankruptcies of exchanges such as FTX and BlockFi, the marketplace may lose confidence in, or may experience problems relating to, cryptocurrency exchanges, including prominent exchanges handling a significant portion of the volume of digital asset trading.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Negative perception, a lack of stability in the digital asset exchange market and the closure or temporary shutdown of digital asset exchanges due to fraud, business failure, hackers or malware, or government-mandated regulation may reduce confidence in digital asset networks and result in greater volatility in bitcoin prices, which has a direct impact on our profitability. These potential consequences of a digital asset exchange’s failure could adversely affect our results of operations. Additionally, to the extent investors view our common stock as linked to the value of bitcoin, these potential consequences of a bitcoin trading venue’s failure could have a material adverse effect on the market value of our common stock.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We maintain cash deposits in excess of federally insured limits. Adverse developments affecting financial institutions,</w:t>
      </w:r>
    </w:p>
    <w:p>
      <w:pPr>
        <w:pStyle w:val="TextBody"/>
        <w:bidi w:val="0"/>
        <w:spacing w:lineRule="auto" w:line="276" w:before="0" w:after="0"/>
        <w:jc w:val="left"/>
        <w:rPr>
          <w:rFonts w:ascii="Calibri;sans-serif" w:hAnsi="Calibri;sans-serif"/>
          <w:b/>
          <w:i/>
          <w:color w:val="000000"/>
          <w:sz w:val="20"/>
        </w:rPr>
      </w:pPr>
      <w:r>
        <w:rPr>
          <w:rFonts w:ascii="Calibri;sans-serif" w:hAnsi="Calibri;sans-serif"/>
          <w:b/>
          <w:i/>
          <w:color w:val="000000"/>
          <w:sz w:val="20"/>
        </w:rPr>
        <w:t>including bank failures, could adversely affect our liquidity and financial performance.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We maintain domestic cash deposits in Federal Deposit Insurance Corporation (“FDIC”) insured banks that exceed the FDIC insurance limits. We also maintain cash deposits in foreign banks where we operate, some of which are not insured or are only partially insured by the FDIC or similar agencies. Bank failures, events involving limited liquidity, defaults, non-performance, or other adverse developments that affect financial institutions, or concerns or rumors about such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may lead to liquidity constraints. For example, on March 10, 2023, Silicon Valley Bank failed and was taken into receivership by the FDIC. At the time that Silicon Valley Bank failed, we maintained balances there in excess of the federal insured limit and also, through a subsidiary, processed payroll there.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Calibri;sans-serif" w:hAnsi="Calibri;sans-serif"/>
          <w:b/>
          <w:color w:val="000000"/>
          <w:sz w:val="20"/>
        </w:rPr>
      </w:pPr>
      <w:r>
        <w:rPr>
          <w:rFonts w:ascii="Calibri;sans-serif" w:hAnsi="Calibri;sans-serif"/>
          <w:b/>
          <w:color w:val="000000"/>
          <w:sz w:val="20"/>
        </w:rPr>
        <w:t>Item 2. Unregistered Sales of Equity Securities and Use of Proceeds</w:t>
      </w:r>
    </w:p>
    <w:p>
      <w:pPr>
        <w:pStyle w:val="TextBody"/>
        <w:bidi w:val="0"/>
        <w:spacing w:lineRule="auto" w:line="268" w:before="180" w:after="180"/>
        <w:jc w:val="left"/>
        <w:rPr/>
      </w:pPr>
      <w:r>
        <w:rPr>
          <w:rFonts w:ascii="Calibri;sans-serif" w:hAnsi="Calibri;sans-serif"/>
          <w:b w:val="false"/>
          <w:color w:val="000000"/>
          <w:sz w:val="20"/>
        </w:rPr>
        <w:t>On September 19, 2022, Greenidge entered into the ATM Agreement with B. Riley Securities and Northland Securities, Inc. Under the ATM Agreement, B. Riley Securities uses commercially reasonable efforts to sell, on Greenidge’s behalf, shares of Greenidge’s Class A common stock requested to be sold by Greenidge, consistent with B. Riley Securities normal trading and sales practices, under the terms and subject to the conditions set forth in the ATM Agreement. Greenidge has the discretion, subject to market demand, to vary the timing, prices and number of shares sold in accordance with the ATM Agreement. B. Riley Securities may sell shares of the Company’s Class A common stock by any method permitted by law deemed to be an "at the market offering" as defined in Rule 415(a)(4) promulgated under the Securities Act. Greenidge will pay B. Riley Securities commissions for its services in acting as sales agent, in an amount equal to up to 5.0% of the gross proceeds of all Class A common stock sold by B. Riley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 Under the terms of the Promissory Note Amendment (as defined below), Greenidge is required to make mandatory monthly debt repayments under the Promissory Note of 15% of the net proceeds of sales of equity, including sales under the ATM Agreement and the Equity Purchase Agreement. See "</w:t>
      </w:r>
      <w:r>
        <w:rPr>
          <w:rFonts w:ascii="Calibri;sans-serif" w:hAnsi="Calibri;sans-serif"/>
          <w:b w:val="false"/>
          <w:i/>
          <w:color w:val="000000"/>
          <w:sz w:val="20"/>
        </w:rPr>
        <w:t>Management’s Discussion and Analysis of Financial Condition And Results of Operations Management’s Discussion And Analysis of Financial Condition and Results of Operations For Greenidge—Recent Transactions—</w:t>
      </w:r>
      <w:r>
        <w:rPr>
          <w:rFonts w:ascii="Calibri;sans-serif" w:hAnsi="Calibri;sans-serif"/>
          <w:b w:val="false"/>
          <w:i/>
          <w:color w:val="000000"/>
          <w:sz w:val="20"/>
          <w:u w:val="single"/>
        </w:rPr>
        <w:t>B. Riley Promissory Note"</w:t>
      </w:r>
      <w:r>
        <w:rPr>
          <w:color w:val="000000"/>
        </w:rPr>
        <w:t xml:space="preserve"> </w:t>
      </w:r>
      <w:r>
        <w:rPr>
          <w:rFonts w:ascii="Calibri;sans-serif" w:hAnsi="Calibri;sans-serif"/>
          <w:b w:val="false"/>
          <w:color w:val="000000"/>
          <w:sz w:val="20"/>
        </w:rPr>
        <w:t>for further details.</w:t>
      </w:r>
    </w:p>
    <w:p>
      <w:pPr>
        <w:pStyle w:val="TextBody"/>
        <w:bidi w:val="0"/>
        <w:spacing w:lineRule="auto" w:line="288" w:before="240" w:after="283"/>
        <w:jc w:val="left"/>
        <w:rPr/>
      </w:pPr>
      <w:r>
        <w:rPr>
          <w:rFonts w:ascii="Calibri;sans-serif" w:hAnsi="Calibri;sans-serif"/>
          <w:b w:val="false"/>
          <w:color w:val="000000"/>
          <w:sz w:val="20"/>
        </w:rPr>
        <w:t>From October 1, 2022 through June 30, 2023, Greenidge issued 2,797,959 shares which included 133,333 shares issued to B. Riley Commercial on February 1, 2023, as an amendment fee for an amendment to the Secured Promissory Note in favor of B. Riley Commercial. See Note 9, "</w:t>
      </w:r>
      <w:r>
        <w:rPr>
          <w:rFonts w:ascii="Calibri;sans-serif" w:hAnsi="Calibri;sans-serif"/>
          <w:b w:val="false"/>
          <w:i/>
          <w:color w:val="000000"/>
          <w:sz w:val="20"/>
        </w:rPr>
        <w:t>Stockholder's Equity</w:t>
      </w:r>
      <w:r>
        <w:rPr>
          <w:rFonts w:ascii="Calibri;sans-serif" w:hAnsi="Calibri;sans-serif"/>
          <w:b w:val="false"/>
          <w:color w:val="000000"/>
          <w:sz w:val="20"/>
        </w:rPr>
        <w:t>", in the Notes to Unaudited Condensed Consolidated Financial Statements for further details.</w:t>
      </w:r>
    </w:p>
    <w:p>
      <w:pPr>
        <w:pStyle w:val="TextBody"/>
        <w:bidi w:val="0"/>
        <w:spacing w:before="0" w:after="0"/>
        <w:jc w:val="left"/>
        <w:rPr/>
      </w:pPr>
      <w:r>
        <w:rPr/>
      </w:r>
    </w:p>
    <w:p>
      <w:pPr>
        <w:pStyle w:val="TextBody"/>
        <w:bidi w:val="0"/>
        <w:spacing w:lineRule="auto" w:line="312" w:before="0" w:after="0"/>
        <w:jc w:val="left"/>
        <w:rPr>
          <w:rFonts w:ascii="Calibri;sans-serif" w:hAnsi="Calibri;sans-serif"/>
          <w:b w:val="false"/>
          <w:color w:val="000000"/>
          <w:sz w:val="20"/>
        </w:rPr>
      </w:pPr>
      <w:r>
        <w:rPr>
          <w:rFonts w:ascii="Calibri;sans-serif" w:hAnsi="Calibri;sans-serif"/>
          <w:b w:val="false"/>
          <w:color w:val="000000"/>
          <w:sz w:val="20"/>
        </w:rPr>
        <w:t>The sales made pursuant to the ATM Agreement were made pursuant to a registration statement filed with the SEC.</w:t>
      </w:r>
    </w:p>
    <w:p>
      <w:pPr>
        <w:pStyle w:val="TextBody"/>
        <w:bidi w:val="0"/>
        <w:spacing w:before="0" w:after="0"/>
        <w:jc w:val="left"/>
        <w:rPr/>
      </w:pPr>
      <w:r>
        <w:rPr/>
      </w:r>
    </w:p>
    <w:p>
      <w:pPr>
        <w:pStyle w:val="TextBody"/>
        <w:bidi w:val="0"/>
        <w:spacing w:lineRule="auto" w:line="312" w:before="0" w:after="0"/>
        <w:jc w:val="left"/>
        <w:rPr>
          <w:rFonts w:ascii="Calibri;sans-serif" w:hAnsi="Calibri;sans-serif"/>
          <w:b w:val="false"/>
          <w:color w:val="000000"/>
          <w:sz w:val="20"/>
        </w:rPr>
      </w:pPr>
      <w:r>
        <w:rPr>
          <w:rFonts w:ascii="Calibri;sans-serif" w:hAnsi="Calibri;sans-serif"/>
          <w:b w:val="false"/>
          <w:color w:val="000000"/>
          <w:sz w:val="20"/>
        </w:rPr>
        <w:t xml:space="preserve">In May 2023, Greenidge issued 54,348 unregistered shares of its class A common stock to a vendor as payment for services provided.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3. Defaults Upon Senior Securities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4. Mine Safety Disclosures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5. Other Information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6. Exhibits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exhibits listed on the Exhibit Index are filed or furnished as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6"/>
        <w:gridCol w:w="269"/>
        <w:gridCol w:w="270"/>
        <w:gridCol w:w="109"/>
        <w:gridCol w:w="109"/>
        <w:gridCol w:w="109"/>
        <w:gridCol w:w="2706"/>
        <w:gridCol w:w="2610"/>
        <w:gridCol w:w="3717"/>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Calibri;sans-serif" w:hAnsi="Calibri;sans-serif"/>
                  <w:b w:val="false"/>
                  <w:color w:val="0000FF"/>
                  <w:sz w:val="20"/>
                  <w:u w:val="single"/>
                </w:rPr>
                <w:t>Debt Settlement Agreement, dated as of January 30, 2023, by and among Greenidge Generation Holdings Inc., Greenidge Generation LLC, the other Subsidiaries of Greenidge Generation Holdings Inc., and NYDIG ABL LLC (incorporated by reference to Exhibit 10.1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Calibri;sans-serif" w:hAnsi="Calibri;sans-serif"/>
                  <w:b w:val="false"/>
                  <w:color w:val="0000FF"/>
                  <w:sz w:val="20"/>
                  <w:u w:val="single"/>
                </w:rPr>
                <w:t>Senior Secured Loan Agreement, dated as of January 30, 2023, by and among Greenidge Generation Holdings Inc., Greenidge Generation LLC, the Guarantors from time to time party thereto, the Lenders from time to time party thereto, and NYDIG ABL LLC (incorporated by reference to Exhibit 10.2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Calibri;sans-serif" w:hAnsi="Calibri;sans-serif"/>
                  <w:b w:val="false"/>
                  <w:color w:val="0000FF"/>
                  <w:sz w:val="20"/>
                  <w:u w:val="single"/>
                </w:rPr>
                <w:t>Membership Interest and Asset Purchase Agreement, dated January 30, 2023, by and among NYDIG ABL LLC, Greenidge Generation Holdings Inc., Greenidge Generation LLC, GSC Collateral LLC, and GNY Collateral LLC (incorporated by reference to Exhibit 10.3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Calibri;sans-serif" w:hAnsi="Calibri;sans-serif"/>
                  <w:b w:val="false"/>
                  <w:color w:val="0000FF"/>
                  <w:sz w:val="20"/>
                  <w:u w:val="single"/>
                </w:rPr>
                <w:t>Form of Hosting Services Agreement, dated as of January 30, 2023, between Greenidge South Carolina LLC and separate NYDIG subsidiaries (incorporated by reference to Exhibit 10.4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Calibri;sans-serif" w:hAnsi="Calibri;sans-serif"/>
                  <w:b w:val="false"/>
                  <w:color w:val="0000FF"/>
                  <w:sz w:val="20"/>
                  <w:u w:val="single"/>
                </w:rPr>
                <w:t>Board Observation Rights Letter, dated as of January 30, 2023, between Greenidge Generation Holdings Inc. and NYDIG ABL LLC (incorporated by reference to Exhibit 10.5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Calibri;sans-serif" w:hAnsi="Calibri;sans-serif"/>
                  <w:b w:val="false"/>
                  <w:color w:val="0000FF"/>
                  <w:sz w:val="20"/>
                  <w:u w:val="single"/>
                </w:rPr>
                <w:t>Consent and Amendment No. 1 to Amended and Restated Bridge Promissory Note, dated as of January 30, 2023, between Greenidge Generation Holdings Inc. and B. Riley Commercial Capital, LLC (incorporated by reference to Exhibit 10.6 of the Company’s Form 8-K filed on January 30,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ydig-greenidgex2023limi.htm">
              <w:r>
                <w:rPr>
                  <w:rStyle w:val="InternetLink"/>
                  <w:rFonts w:ascii="Calibri;sans-serif" w:hAnsi="Calibri;sans-serif"/>
                  <w:b w:val="false"/>
                  <w:color w:val="0000FF"/>
                  <w:sz w:val="20"/>
                  <w:u w:val="single"/>
                </w:rPr>
                <w:t>Limited Waiver to the Senior Secured Loan Agreement by and among Greenidge Generation Holdings Inc. and Greenidge Generation LLC and NYDIG ABL LLC, dated as of August 11, 2023.</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630x10qex311.htm">
              <w:r>
                <w:rPr>
                  <w:rStyle w:val="InternetLink"/>
                  <w:rFonts w:ascii="Calibri;sans-serif" w:hAnsi="Calibri;sans-serif"/>
                  <w:b w:val="false"/>
                  <w:color w:val="0000FF"/>
                  <w:sz w:val="20"/>
                  <w:u w:val="single"/>
                </w:rPr>
                <w:t>Certification of Principal Executive Officer Pursuant to Rules 13a-14(a) and 15d-14(a) of the Securities Exchange Act of 1934, as amended, as Adopted Pursuant to Section 302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630x10qex312.htm">
              <w:r>
                <w:rPr>
                  <w:rStyle w:val="InternetLink"/>
                  <w:rFonts w:ascii="Calibri;sans-serif" w:hAnsi="Calibri;sans-serif"/>
                  <w:b w:val="false"/>
                  <w:color w:val="0000FF"/>
                  <w:sz w:val="20"/>
                  <w:u w:val="single"/>
                </w:rPr>
                <w:t>Certification of Principal Financial Officer Pursuant to Rules 13a-14(a) and 15d-14(a) of the Securities Exchange Act of 1934, as amended, as Adopted Pursuant to Section 302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630x10qex321.htm">
              <w:r>
                <w:rPr>
                  <w:rStyle w:val="InternetLink"/>
                  <w:rFonts w:ascii="Calibri;sans-serif" w:hAnsi="Calibri;sans-serif"/>
                  <w:b w:val="false"/>
                  <w:color w:val="0000FF"/>
                  <w:sz w:val="20"/>
                  <w:u w:val="single"/>
                </w:rPr>
                <w:t>Certification of Principal Executive Officer Pursuant to 18 U.S.C. Section 1350, as Adopted Pursuant to Section 906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30630x10qex322.htm">
              <w:r>
                <w:rPr>
                  <w:rStyle w:val="InternetLink"/>
                  <w:rFonts w:ascii="Calibri;sans-serif" w:hAnsi="Calibri;sans-serif"/>
                  <w:b w:val="false"/>
                  <w:color w:val="0000FF"/>
                  <w:sz w:val="20"/>
                  <w:u w:val="single"/>
                </w:rPr>
                <w:t>Certification of Principal Financial Officer Pursuant to 18 U.S.C. Section 1350, as Adopted Pursuant to Section 906 of the Sarbanes-Oxley Act of 2002</w:t>
              </w:r>
            </w:hyperlink>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Interactive data files pursuant to Rule 405 of Regulation S-T: (i) the Balance Sheets, (ii) the Statements of Operations, (iii) the Statements of Cash Flows and (iv) the Notes to Unaudited Condensed Interim Consolidated Financial Statements.</w:t>
            </w:r>
          </w:p>
        </w:tc>
      </w:tr>
      <w:tr>
        <w:trPr/>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tbl>
      <w:tblPr>
        <w:tblW w:w="2097" w:type="dxa"/>
        <w:jc w:val="left"/>
        <w:tblInd w:w="0" w:type="dxa"/>
        <w:tblLayout w:type="fixed"/>
        <w:tblCellMar>
          <w:top w:w="28" w:type="dxa"/>
          <w:left w:w="28" w:type="dxa"/>
          <w:bottom w:w="28" w:type="dxa"/>
          <w:right w:w="28" w:type="dxa"/>
        </w:tblCellMar>
      </w:tblPr>
      <w:tblGrid>
        <w:gridCol w:w="124"/>
        <w:gridCol w:w="109"/>
        <w:gridCol w:w="109"/>
        <w:gridCol w:w="513"/>
        <w:gridCol w:w="513"/>
        <w:gridCol w:w="7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580" w:type="dxa"/>
        <w:jc w:val="left"/>
        <w:tblInd w:w="0" w:type="dxa"/>
        <w:tblLayout w:type="fixed"/>
        <w:tblCellMar>
          <w:top w:w="28" w:type="dxa"/>
          <w:left w:w="28" w:type="dxa"/>
          <w:bottom w:w="28" w:type="dxa"/>
          <w:right w:w="28" w:type="dxa"/>
        </w:tblCellMar>
      </w:tblPr>
      <w:tblGrid>
        <w:gridCol w:w="705"/>
        <w:gridCol w:w="621"/>
        <w:gridCol w:w="624"/>
        <w:gridCol w:w="500"/>
        <w:gridCol w:w="500"/>
        <w:gridCol w:w="500"/>
        <w:gridCol w:w="623"/>
        <w:gridCol w:w="623"/>
        <w:gridCol w:w="88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Greenidge Generation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David Anderson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150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Loughran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Robert Loughran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0" w:after="0"/>
        <w:jc w:val="center"/>
        <w:rPr/>
      </w:pPr>
      <w:bookmarkStart w:id="0" w:name="nydig-greenidgex2023limi.htm"/>
      <w:bookmarkStart w:id="1" w:name="ksnydiggreenidgex2023limi"/>
      <w:bookmarkEnd w:id="0"/>
      <w:bookmarkEnd w:id="1"/>
      <w:r>
        <w:rPr/>
        <w:drawing>
          <wp:inline distT="0" distB="0" distL="0" distR="0">
            <wp:extent cx="10048875" cy="13001625"/>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jc w:val="center"/>
        <w:rPr>
          <w:color w:val="FFFFFF"/>
          <w:sz w:val="2"/>
        </w:rPr>
      </w:pPr>
      <w:r>
        <w:rPr>
          <w:color w:val="FFFFFF"/>
          <w:sz w:val="2"/>
        </w:rPr>
        <w:t xml:space="preserve">August 11, 2023 Via Electronic Mail Greenidge Generation Holdings Inc. 135 Rennell Drive, 3rd Floor Fairfield, CT 06890 Attention: Chief Financial Officer Bob Loughran (Bloughran@greenidge.com) Re: Limited Waiver of Loan Documents Ladies and Gentlemen: Reference is hereby made to the Senior Secured Loan Agreement, dated as of January 30, 2023 (as amended by that certain Amendment No. 1 to Senior Secured Loan Agreement, dated as of March 29, 2023 and as it may be further amended, restated, amended and restated, supplemented or otherwise modified from time to time prior to the date hereof, the “Loan Agreement”), by and among Greenidge Generation Holdings Inc., a Delaware corporation (the “Borrower Representative”) and Greenidge Generation LLC, a New York limited liability company (“Generation”, and together with the Borrower Representative, each, a “Borrower” and, collectively, the “Borrowers”), the Guarantors party thereto (the Guarantors together with the Borrowers, the “Loan Parties”), the Lenders party thereto, and NYDIG ABL LLC, a Delaware limited liability company (“NYDIG” and, together with its Affiliates, the “Lender Parties”), as administrative agent and as collateral agent. Capitalized terms used herein but not herein defined shall have the meaning set forth in the Loan Agreement. Pursuant to the Section 7.1 of the Loan Agreement, the Borrower Representative and its Subsidiaries shall, at all times until the Termination Date, maintain no less than an aggregate amount of $10,000,000, net of any final and non-appealable judgments ordered by a court of competent jurisdiction, in the sum of (a) Unrestricted Cash plus (b) fifty percent (50%) of the Dollar Equivalent of the Unrestricted Bitcoin (the “Financial Covenant”). 1. Limited Waiver of the Loan Documents; Amendments. Effective immediately through and including August 21, 2023, the Lender Parties hereby waive non- compliance by the Borrower Representative and its Subsidiaries with the Financial Covenant so long as, at all times during such period, the Borrower Representative and its Subsidiaries maintain no less than an aggregate amount of $6,000,000, net of any final and non-appealable judgments ordered by a court of competent jurisdiction, in the sum of (a) Unrestricted Cash plus (b) fifty percent (50%) of the Dollar Equivalent of the Unrestricted Bitcoin. The Lender Parties and the Loan Parties hereby agree that they intend to enter into, on or prior to August 21, 2023, amendments to the Loan Agreement and to the B Riley Note to, among other things, (i) amend (subject to the proviso below) the Financial Covenant to reduce the threshold amount required thereunder from $10,0000 to $6,000,000 and (ii) provide for the temporary deferral until the earlier of (x) December 29, 2023 and (y) the closing of the transactions (the “Transactions”) contemplated under the Preliminary Due Diligence Request List and Non-Binding Material Terms for a Forward Funding Purchase Agreement dated June 9, 2023, of all principal and interest payments that would otherwise be due and owing under each of the Loan Agreement and the B Riley Note; provided, however, that the parties hereto further intend that the foregoing amendments shall provide that if the Transactions are not closed on or prior to December 29, 2023, then (i) with respect to the Loan Agreement, (x) on December 29, 2023, the Borrowers shall make payment in full of all outstanding and accrued interest due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and payable thereunder and (y) within sixty (60) days of such date and at all times thereafter until the Termination Date, the Financial Covenant threshold amount shall be reset to $10,000,000, and (ii) with respect to the B Riley Note, the Borrower (as defined in the B Riley Note) shall make payment in full in cash of all outstanding and unpaid principal and accrued interest thereunder. For the avoidance of doubt, the foregoing description of terms of the proposed amendments is merely a statement of the present intention of the parties hereto, is non-binding and does not constitute an agreement to enter into an amendment. Any binding obligation between the Lender Parties and the Loan Parties with respect to the foregoing terms set forth in this paragraph will be subject to the Lender Parties and the Loan Parties, as applicable, entering into final written agreements with respect thereto. 2. Reaffirmation of Obligations; Reaffirmation of Loan Documents. Each of the Loan Parties hereby, immediately after giving effect to amendments, supplements and modifications contained herein, confirms (i) its Obligations under each Loan Document, in each case as amended, restated, supplemented or modified immediately after giving effect to this Letter, (ii) that its Obligations as amended, restated, supplemented or modified hereby under the Loan Agreement and the other Loan Documents are entitled to the benefits of the grants of security interests, pledges and guarantees, as applicable, set forth in the Loan Documents, in each case, as amended, restated, supplemented or modified immediately after giving effect to this Letter; (iii) that its Obligations under the Loan Agreement and the other Loan Documents immediately after giving effect to this Letter constitute Obligations and that the Obligations shall remain in full force and effect (except as such Obligations have been expressly amended, restated, supplemented, or otherwise modified hereby), (iv) that such Obligations shall continue to be entitled to the benefits of the grant set forth in the Loan Documents, as amended, restated, supplemented or otherwise modified hereby and (v) that NYDIG has a first priority security interest in the Collateral. 3. Release. In consideration of the foregoing, each Loan Party, for itself and for its past, present and future successors in title, representatives, assignees, agents, officers and directors, does hereby and shall be deemed to have forever remised, released and discharged Lender Parties and any of their successors-in-title, legal representatives and assignees, past, present and future officers, directors, shareholders, trustees, agents, employees, consultants, experts, advisors, attorneys and other professionals and all other persons and entities to whom the Lender Parties would be liable if such persons or entities were found to be liable to the Loan Parties or any of their Affiliates, or any of them (collectively hereinafter the “Released Parties”),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those arising under 11 U.S.C. §§ 541-550 and interest or other carrying costs, penalties, legal, accounting and other professional fees and expenses, and incidental, consequential and punitive damages payable to third parties),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and which are based on any act, fact, event or omission or other matter, cause or thing occurring at or from any time prior to and including the date hereof in any way, directly or indirectly arising out of, connected with or relating to this Letter or the Loan Documents, and the transactions contemplated hereby and thereby, and all other agreements, certificates, instruments and other documents and statements (whether written or oral) related to any of the foregoing. 4. No Actions, Claims,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Each Loan Party acknowledges and confirms that it has no knowledge of any actions, causes of action, claims, demands, damages or liabilities of whatever kind or nature, in law or in equity, against Lender arising from any action or failure of the Lender Parties to act under this Letter or any other Loan Document on or prior to the date hereof, or of any offset right, counterclaim or defense of any kind against any of its respective obligations, indebtedness or liabilities to the Lender Parties under this Letter or any other Loan Document. Each Loan Party unconditionally releases, waives and forever discharges on its own behalf and on behalf of each of its subsidiaries and Affiliates (i) any and all liabilities, obligations, duties, promises or indebtedness of any kind of the Lender Parties to the Loan Parties, except the obligations required to be performed by the Lender Parties or agents under the Loan Documents on or after the date hereof and (ii) all claims, offsets, causes of action, suits or defenses of any kind whatsoever (if any), whether arising at law or in equity, whether known or unknown, which a Loan Party might otherwise have against the Lender Parties in connection with this Letter or the other Loan Documents or the transactions contemplated thereby, in the case of each of clauses (i) and (ii), on account of any past or presently existing condition, act, omission, event, contract, liability, obligation, indebtedness, claim, cause of action, defense, circumstance or matter of any kind. 5. Costs and Expenses; No Fiduciary Duty. The Loan Parties shall promptly pay all reasonable invoiced fees, costs and expenses of the Lender Parties incurred in connection with the preparation, execution and delivery, administration, interpretation and enforcement of this Letter, the Loan Agreement and the other Loan Documents and all other agreements, instruments and documents relating to this transaction, the consummation of the transactions contemplated by all such documents, the preservation of all rights of the Lender Parties, the negotiation, preparation, execution and delivery of any amendment, modification or supplement of or to, or any consent or waiver under, any such document (or any such instrument that is proposed but not executed and delivered) and with any claim or action threatened, made or brought against the Lender Parties arising out of or relating to any extent to this Letter, the Loan Agreement, the other Loan Documents or the transactions contemplated hereby or thereby (other than to the extent it has been found by a final, non-appealable judgment of a court that any such loss, claim, damage or liability results from the willful misconduct or gross negligence of the Lender Parties in connection therewith). In no event shall the Lender Parties, their affiliates, or any of their respective officers, directors, employees, affiliates, advisors, consultants and agents have any liability for any indirect, consequential or punitive damages in connection with or as a result of such parties’ activities related to this Letter or the Loan Documents. Notwithstanding the foregoing or anything contained in the Loan Agreement or other Loan Documents to the contrary, the Lender Parties do not assume and shall not be deemed to have assumed any obligation or duty or any other relationship as the agent, fiduciary or trustee of or for any other secured party other than as expressly set forth herein and in the other Loan Documents. Each Loan Party acknowledges that before execution and delivery of this Letter, the Lender Parties have no obligation to negotiate with the Loan Parties or any other person or entity concerning anything contained in this Letter. Each Loan Party agrees on its own behalf and on behalf of its directors, officers, employees, lawyers, advisors and consultants of the Loan Parties and their Affiliates that the Lender’s execution of this Agreement does not create any such obligation and that each such Person has made its own decisions regarding all of its operations and its incurrence and payment of all third-party debt and all other payments. 6. Construction. This Letter and all other agreements and documents executed and/or delivered in connection herewith have been prepared through the joint efforts of all of the parties hereto. Neither the provisions of this Letter nor any such other agreements and documents nor any alleged ambiguity therein shall be interpreted or resolved against any party on the ground that such party or its counsel drafted this Letter or such other agreements and documents, or based on any other rule of strict construction. Each of the parties hereto represents and declares that such party has carefully read this Letter and all other agreements and documents executed in connection therewith, and that such party knows the contents thereof and signs the same freely and voluntarily. THE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ACKNOWLEDGE THAT THEY HAVE BEEN REPRESENTED BY LEGAL COUNSEL OF THEIR OWN CHOOSING IN NEGOTIATIONS FOR AND PREPARATION OF THIS LETTER AND ALL OTHER AGREEMENTS AND DOCUMENTS EXECUTED IN CONNECTION HEREWITH AND THAT EACH OF THEM HAS READ THE SAME AND HAD THEIR CONTENTS FULLY EXPLAINED BY SUCH COUNSEL AND IS FULLY AWARE OF THEIR CONTENTS AND LEGAL EFFECT. 7. Reference to and Effect on the Loan Agreement and the Other Loan Documents. On and after the date hereof, (i) each reference in the Loan Agreement of “the Loan Agreement”, “hereunder”, “hereof”, “thereunder”, “thereof” or words of like import referring to the foregoing, shall mean and be a reference to the Loan Agreement as amended by this Letter. The execution, delivery and effectiveness of this Letter shall not, except as expressly provided herein, operate as a waiver or novation of any Loan Document or of any right, power or remedy of Lender under any Loan Document, nor, except as expressly provided herein, constitute a waiver or novation of any provision of any of the Loan Documents. 8. Miscellaneous. This Letter shall have no effect unless fully executed by both parties hereto. The provisions of Sections 12.15 (Applicable Law), 12.16 (Consent to Jurisdiction) and 12.17 (Waiver of Jury Trial) of the Loan Agreement shall be incorporated by reference and shall apply into this Letter, mutatis mutandis, as if set out in full in this Letter. This Letter may be executed in any number of counterparts. Any single counterpart or set of counterparts executed, in either case, by all the parties hereto shall constitute a full and original Letter for all purposes. This Letter may be executed and delivered by exchange of facsimile or PDF copies showing the signatures of the parties, and those signatures need not be affixed to the same copy. The facsimile or PDF copies showing the signatures of the parties will constitute originally signed copies of the same agreement requiring no further execution. The words “execution,” “signed,” “signature,” and words of like import in this Letter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Waiver] Very truly yours, NYDIG ABL LLC, as Lender By: Name: Trevor Smyth Title: Head of Structured Financing Cc: Clifford Brandeis (CBrandeis@zukermangore.com) Stephen Angelson (SAngelson@zukermangore.com) Christopher T. Buchanan (CBuchanan@kslaw.com) DocuSign Envelope ID: 2BC42DC6-FCE5-40C8-A7C5-76F659909017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Waiver] ACKNOWLEDGED AND AGREED BY: GREENIDGE GENERATION HOLDINGS INC., as a Borrower By: Name: Dale Irwin Title: President GREENIDGE GENERATION LLC, as a Borrower By: Name: Dale Irwin Title: President GREENIDGE TEXAS LLC, as a Guarantor By: Name: Dale Irwin Title: President GTX GEN 1 LLC, as a Guarantor By: Name: Dale Irwin Title: President GTX GEN 1 COLLATERAL HOLDINGS LLC, as a Guarantor By: Name: Dale Irwin Title: President GTX GEN 1 COLLATERAL LLC, as a Guarantor By: Name: Dale Irwin Title: President DocuSign Envelope ID: B6265F69-C20B-4312-8729-D47C40574849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7"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Waiver] GTX DEV 1 LLC, as a Guarantor By: Name: Dale Irwin Title: President GREENIDGE GENERATION BLOCKER INC., as a Guarantor By: Name: Dale Irwin Title: President GREENIDGE GENERATION HOLDINGS LLC, as a Guarantor By: Name: Dale Irwin Title: President GNY COLLATERAL HOLDING LLC, as a Guarantor By: Name: Dale Irwin Title: President GREENIDGE SOLAR LLC, as a Guarantor By: Name: Dale Irwin Title: President GREENIDGE PIPELINE LLC, as a Guarantor By: Name: Dale Irwin Title: President DocuSign Envelope ID: B6265F69-C20B-4312-8729-D47C40574849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8"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Waiver] GREENIDGE PIPELINE PROPERTIES CORPORATION, as a Guarantor By: Name: Dale Irwin Title: President GREENIDGE MARKETS AND TRADING LLC, as a Guarantor By: Name: Dale Irwin Title: President GREENIDGE MARKETS AND TRADING LLC, as a Guarantor By: Name: Dale Irwin Title: President GREENIDGE SECURED LENDING LLC, as a Guarantor By: Name: Dale Irwin Title: President GREENIDGE SOUTH CAROLINA LLC, as a Guarantor By: Name: Dale Irwin Title: President GSC COLLATERAL HOLDING LLC, as a Guarantor By: Name: Dale Irwin Title: President GSC COLLATERAL LLC, as a Guarantor By: Name: Dale Irwin Title: President DocuSign Envelope ID: B6265F69-C20B-4312-8729-D47C40574849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9"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Limited Waiver] GSC RE LLC, as a Guarantor By: Name: Dale Irwin Title: President GSC DEMOCO LLC, as a Guarantor By: Name: Dale Irwin Title: President 300 JONES ROAD LLC, as a Guarantor By: Name: Dale Irwin Title: President SUPPORT.COM, INC., as a Guarantor By: Name: Dale Irwin Title: President SUPPORT.COM SERVICES HOLDING COMPANY, INC., as a Guarantor By: Name: Dale Irwin Title: President GGHI INACTIVE HOLDINGS LLC, as a Guarantor By: Name: Dale Irwin Title: President DocuSign Envelope ID: B6265F69-C20B-4312-8729-D47C40574849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David C. Anderson,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June 30, 2023;</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615"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AMENDED, AS ADOPTED PURSUANT TO SECTION 302 OF THE SARBANES-OXLEY ACT OF 2002</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 Robert Loughran, certify that: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1.I have reviewed this Quarterly Report of Greenidge Generation Holdings Inc. (the “Company”) on Form 10-Q for the period ended June 30, 2023;</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tbl>
      <w:tblPr>
        <w:tblW w:w="4525"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58"/>
        <w:gridCol w:w="558"/>
        <w:gridCol w:w="78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June 30,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615"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82"/>
        <w:gridCol w:w="582"/>
        <w:gridCol w:w="83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David C. Anderson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20" w:after="283"/>
        <w:ind w:left="0" w:right="0" w:firstLine="720"/>
        <w:jc w:val="left"/>
        <w:rPr>
          <w:rFonts w:ascii="Calibri;sans-serif" w:hAnsi="Calibri;sans-serif"/>
          <w:b w:val="false"/>
          <w:color w:val="000000"/>
          <w:sz w:val="20"/>
        </w:rPr>
      </w:pPr>
      <w:r>
        <w:rPr>
          <w:rFonts w:ascii="Calibri;sans-serif" w:hAnsi="Calibri;sans-serif"/>
          <w:b w:val="false"/>
          <w:color w:val="000000"/>
          <w:sz w:val="20"/>
        </w:rPr>
        <w:t>In connection with the Quarterly Report of Greenidge Generation Holdings Inc. (the “Company”) on Form 10-Q for the period ended June 30, 2023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4525" w:type="dxa"/>
        <w:jc w:val="left"/>
        <w:tblInd w:w="0" w:type="dxa"/>
        <w:tblLayout w:type="fixed"/>
        <w:tblCellMar>
          <w:top w:w="28" w:type="dxa"/>
          <w:left w:w="28" w:type="dxa"/>
          <w:bottom w:w="28" w:type="dxa"/>
          <w:right w:w="28" w:type="dxa"/>
        </w:tblCellMar>
      </w:tblPr>
      <w:tblGrid>
        <w:gridCol w:w="190"/>
        <w:gridCol w:w="167"/>
        <w:gridCol w:w="168"/>
        <w:gridCol w:w="474"/>
        <w:gridCol w:w="474"/>
        <w:gridCol w:w="476"/>
        <w:gridCol w:w="109"/>
        <w:gridCol w:w="109"/>
        <w:gridCol w:w="109"/>
        <w:gridCol w:w="115"/>
        <w:gridCol w:w="115"/>
        <w:gridCol w:w="115"/>
        <w:gridCol w:w="558"/>
        <w:gridCol w:w="558"/>
        <w:gridCol w:w="78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20"/>
              </w:rPr>
            </w:pPr>
            <w:r>
              <w:rPr>
                <w:rFonts w:ascii="Calibri;sans-serif" w:hAnsi="Calibri;sans-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val="false"/>
                <w:color w:val="000000"/>
                <w:sz w:val="20"/>
              </w:rPr>
            </w:pPr>
            <w:r>
              <w:rPr>
                <w:rFonts w:ascii="Calibri;sans-serif" w:hAnsi="Calibri;sans-serif"/>
                <w:b w:val="false"/>
                <w:color w:val="000000"/>
                <w:sz w:val="20"/>
              </w:rPr>
              <w:t>/s/ 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Robert Loughran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20"/>
              </w:rPr>
            </w:pPr>
            <w:r>
              <w:rPr>
                <w:rFonts w:ascii="Calibri;sans-serif" w:hAnsi="Calibri;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Wingdings">
    <w:altName w:val="sans-serif"/>
    <w:charset w:val="01"/>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4971/000162828023001779/exhibit101_greex2023x01x30.htm" TargetMode="External"/><Relationship Id="rId3" Type="http://schemas.openxmlformats.org/officeDocument/2006/relationships/hyperlink" Target="http://www.sec.gov/Archives/edgar/data/1844971/000162828023001779/exhibit102_greex2023x01x30.htm" TargetMode="External"/><Relationship Id="rId4" Type="http://schemas.openxmlformats.org/officeDocument/2006/relationships/hyperlink" Target="http://www.sec.gov/Archives/edgar/data/1844971/000162828023001779/exhibit103_greex2023x01x30.htm" TargetMode="External"/><Relationship Id="rId5" Type="http://schemas.openxmlformats.org/officeDocument/2006/relationships/hyperlink" Target="http://www.sec.gov/Archives/edgar/data/1844971/000162828023001779/exhibit104_greex2023x01x30.htm" TargetMode="External"/><Relationship Id="rId6" Type="http://schemas.openxmlformats.org/officeDocument/2006/relationships/hyperlink" Target="http://www.sec.gov/Archives/edgar/data/1844971/000162828023001779/exhibit105_greex2023x01x30.htm" TargetMode="External"/><Relationship Id="rId7" Type="http://schemas.openxmlformats.org/officeDocument/2006/relationships/hyperlink" Target="http://www.sec.gov/Archives/edgar/data/1844971/000162828023001779/exhibit106_2023x01x30.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34386</Words>
  <Characters>186706</Characters>
  <CharactersWithSpaces>219114</CharactersWithSpaces>
  <Paragraphs>3184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nydig-greenidgex2023limi</dc:title>
</cp:coreProperties>
</file>