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0021764.xml.htm"/>
      <w:bookmarkStart w:id="1" w:name="kswkform4a_17900217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NEUSCHELER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09/09/2026</w:t>
            </w:r>
            <w:r>
              <w:rPr>
                <w:rFonts w:ascii="Times;serif" w:hAnsi="Times;serif"/>
                <w:color w:val="008000"/>
                <w:position w:val="7"/>
                <w:sz w:val="16"/>
                <w:sz w:val="20"/>
                <w:shd w:fill="FFFFFF" w:val="clear"/>
              </w:rPr>
              <w:t>(1)</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63,711</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(2)</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42,349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106,060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 one-time equity award in recognition of the Reporting Person's contributions to the Issuer's strategic transformation pursuant to the Issuer's Fourth Amended and Restated 2021 Equity Incentive Plan. Each restricted stock unit represents a contingent right to receive one share of the Issuer's Class A Common Stock. The award will vest in its entirety sixty days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stock units granted as an annual equity retainer for service on the Issuer's Board of Directors and its committees pursuant to the Issuer's Fourth Amended and Restated 2021 Equity Incentive Plan. Each restricted stock unit represents a contingent right to receive one share of the Issuer's Class A Common Stock. The award will vest in its entirety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Form 4 filed on September 11, 2026 solely to correct the amounts reported in Column 5 of Table I to account for the Issuer's 1-for-10 reverse stock split, which became effective on May 16,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Michael Neuscheler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1014"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762</Words>
  <Characters>4104</Characters>
  <CharactersWithSpaces>4788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