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58978.xml.htm"/>
      <w:bookmarkStart w:id="1" w:name="kswkform4_17847589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Irwin Dale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GREENIDGE GENERATION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1159 PITTSFORD-VICTOR ROAD, SUITE 240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Vulcan Infrastructure &amp; Power Inc.</w:t>
              </w:r>
            </w:hyperlink>
            <w:r>
              <w:rPr/>
              <w:t xml:space="preserve"> [ </w:t>
            </w:r>
            <w:r>
              <w:rPr>
                <w:rFonts w:ascii="Times;serif" w:hAnsi="Times;serif"/>
                <w:color w:val="0000FF"/>
                <w:sz w:val="24"/>
                <w:shd w:fill="FFFFFF" w:val="clear"/>
              </w:rPr>
              <w:t>GREE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07/20/2026</w:t>
            </w:r>
            <w:r>
              <w:rPr>
                <w:rFonts w:ascii="Times;serif" w:hAnsi="Times;serif"/>
                <w:color w:val="008000"/>
                <w:position w:val="7"/>
                <w:sz w:val="16"/>
                <w:sz w:val="20"/>
                <w:shd w:fill="FFFFFF" w:val="clear"/>
              </w:rPr>
              <w:t>(1)</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223,630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as a one-time equity award in recognition of the Reporting Person's contributions to the Issuer's strategic transformation, including the entry into definitive agreements for the strategic investment announced on July 20, 2026, pursuant to the Issuer's Third Amended and Restated 2021 Equity Incentive Plan. Each restricted stock unit represents a contingent right to receive one share of the Issuer's Class A Common Stock. The award will vest in its entirety on July 23,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Dale Irwin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1363" TargetMode="External"/><Relationship Id="rId5" Type="http://schemas.openxmlformats.org/officeDocument/2006/relationships/hyperlink" Target="http://www.sec.gov/cgi-bin/browse-edgar?action=getcompany&amp;CIK=0001844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650</Words>
  <Characters>3553</Characters>
  <CharactersWithSpaces>4134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