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36"/>
        </w:rPr>
      </w:pPr>
      <w:r>
        <w:rPr>
          <w:rFonts w:ascii="Calibri;sans-serif" w:hAnsi="Calibri;sans-serif"/>
          <w:b/>
          <w:color w:val="000000"/>
          <w:sz w:val="36"/>
        </w:rPr>
        <w:t>FORM 10-Q</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(Mark One)</w:t>
      </w:r>
    </w:p>
    <w:p>
      <w:pPr>
        <w:pStyle w:val="TextBody"/>
        <w:bidi w:val="0"/>
        <w:spacing w:lineRule="auto" w:line="288" w:before="0" w:after="0"/>
        <w:ind w:left="0" w:right="0" w:hanging="720"/>
        <w:jc w:val="left"/>
        <w:rPr/>
      </w:pPr>
      <w:r>
        <w:rPr>
          <w:rFonts w:ascii="Wingdings;sans-serif" w:hAnsi="Wingdings;sans-serif"/>
          <w:b/>
          <w:color w:val="000000"/>
          <w:sz w:val="24"/>
        </w:rPr>
        <w:t>x</w:t>
      </w:r>
      <w:r>
        <w:rPr>
          <w:color w:val="000000"/>
        </w:rPr>
        <w:t>    </w:t>
      </w:r>
      <w:r>
        <w:rPr>
          <w:rFonts w:ascii="Calibri;sans-serif" w:hAnsi="Calibri;sans-serif"/>
          <w:b/>
          <w:color w:val="000000"/>
          <w:sz w:val="24"/>
        </w:rPr>
        <w:t>QUARTERLY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For the quarterly period ended June 30, 2024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OR</w:t>
      </w:r>
    </w:p>
    <w:p>
      <w:pPr>
        <w:pStyle w:val="TextBody"/>
        <w:bidi w:val="0"/>
        <w:spacing w:lineRule="auto" w:line="288" w:before="120" w:after="283"/>
        <w:ind w:left="0" w:right="0" w:hanging="720"/>
        <w:jc w:val="left"/>
        <w:rPr/>
      </w:pPr>
      <w:r>
        <w:rPr>
          <w:rFonts w:ascii="Wingdings;sans-serif" w:hAnsi="Wingdings;sans-serif"/>
          <w:b/>
          <w:color w:val="000000"/>
          <w:sz w:val="24"/>
        </w:rPr>
        <w:t>o</w:t>
      </w:r>
      <w:r>
        <w:rPr>
          <w:color w:val="000000"/>
        </w:rPr>
        <w:t>    </w:t>
      </w:r>
      <w:r>
        <w:rPr>
          <w:rFonts w:ascii="Calibri;sans-serif" w:hAnsi="Calibri;sans-serif"/>
          <w:b/>
          <w:color w:val="000000"/>
          <w:sz w:val="24"/>
        </w:rPr>
        <w:t>TRANSITION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For the transition period from _____________________ to _____________________</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Commission File Number: 001-40808</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48"/>
        </w:rPr>
      </w:pPr>
      <w:r>
        <w:rPr>
          <w:rFonts w:ascii="Calibri;sans-serif" w:hAnsi="Calibri;sans-serif"/>
          <w:b/>
          <w:color w:val="000000"/>
          <w:sz w:val="48"/>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tbl>
      <w:tblPr>
        <w:tblW w:w="4467" w:type="dxa"/>
        <w:jc w:val="left"/>
        <w:tblInd w:w="0" w:type="dxa"/>
        <w:tblLayout w:type="fixed"/>
        <w:tblCellMar>
          <w:top w:w="28" w:type="dxa"/>
          <w:left w:w="28" w:type="dxa"/>
          <w:bottom w:w="28" w:type="dxa"/>
          <w:right w:w="28" w:type="dxa"/>
        </w:tblCellMar>
      </w:tblPr>
      <w:tblGrid>
        <w:gridCol w:w="997"/>
        <w:gridCol w:w="878"/>
        <w:gridCol w:w="885"/>
        <w:gridCol w:w="109"/>
        <w:gridCol w:w="109"/>
        <w:gridCol w:w="109"/>
        <w:gridCol w:w="403"/>
        <w:gridCol w:w="403"/>
        <w:gridCol w:w="574"/>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86-1746728</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(I.R.S. Employer</w:t>
              <w:br/>
              <w:t>Identification No.)</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590 Plant Road, </w:t>
            </w:r>
          </w:p>
          <w:p>
            <w:pPr>
              <w:pStyle w:val="TableContents"/>
              <w:bidi w:val="0"/>
              <w:spacing w:lineRule="auto" w:line="288" w:before="0" w:after="0"/>
              <w:jc w:val="center"/>
              <w:rPr>
                <w:color w:val="000000"/>
              </w:rPr>
            </w:pPr>
            <w:r>
              <w:rPr>
                <w:color w:val="000000"/>
              </w:rPr>
              <w:t> </w:t>
            </w:r>
            <w:r>
              <w:rPr>
                <w:rFonts w:ascii="Calibri;sans-serif" w:hAnsi="Calibri;sans-serif"/>
                <w:b/>
                <w:color w:val="000000"/>
                <w:sz w:val="20"/>
              </w:rPr>
              <w:t>Dresden,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14441</w:t>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Registrant’s telephone number, including area code: (315) 536-2359</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8052" w:type="dxa"/>
        <w:jc w:val="left"/>
        <w:tblInd w:w="0" w:type="dxa"/>
        <w:tblLayout w:type="fixed"/>
        <w:tblCellMar>
          <w:top w:w="28" w:type="dxa"/>
          <w:left w:w="28" w:type="dxa"/>
          <w:bottom w:w="28" w:type="dxa"/>
          <w:right w:w="28" w:type="dxa"/>
        </w:tblCellMar>
      </w:tblPr>
      <w:tblGrid>
        <w:gridCol w:w="1150"/>
        <w:gridCol w:w="1011"/>
        <w:gridCol w:w="1018"/>
        <w:gridCol w:w="479"/>
        <w:gridCol w:w="479"/>
        <w:gridCol w:w="481"/>
        <w:gridCol w:w="1006"/>
        <w:gridCol w:w="1006"/>
        <w:gridCol w:w="1422"/>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Class A 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r>
        <w:trPr/>
        <w:tc>
          <w:tcPr>
            <w:tcW w:w="31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8.50% Senior Notes due 2026</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GREEL</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109"/>
        <w:gridCol w:w="109"/>
        <w:gridCol w:w="749"/>
        <w:gridCol w:w="749"/>
        <w:gridCol w:w="75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As of August 9, 2024, the registrant had 7,933,209 shares of Class A common stock, $0.0001 par value per share, outstanding and 2,733,394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Table of Contents</w:t>
      </w:r>
    </w:p>
    <w:tbl>
      <w:tblPr>
        <w:tblW w:w="9106" w:type="dxa"/>
        <w:jc w:val="left"/>
        <w:tblInd w:w="0" w:type="dxa"/>
        <w:tblLayout w:type="fixed"/>
        <w:tblCellMar>
          <w:top w:w="28" w:type="dxa"/>
          <w:left w:w="28" w:type="dxa"/>
          <w:bottom w:w="28" w:type="dxa"/>
          <w:right w:w="28" w:type="dxa"/>
        </w:tblCellMar>
      </w:tblPr>
      <w:tblGrid>
        <w:gridCol w:w="283"/>
        <w:gridCol w:w="247"/>
        <w:gridCol w:w="250"/>
        <w:gridCol w:w="2613"/>
        <w:gridCol w:w="2613"/>
        <w:gridCol w:w="2619"/>
        <w:gridCol w:w="140"/>
        <w:gridCol w:w="140"/>
        <w:gridCol w:w="201"/>
      </w:tblGrid>
      <w:tr>
        <w:trPr/>
        <w:tc>
          <w:tcPr>
            <w:tcW w:w="2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3">
              <w:r>
                <w:rPr>
                  <w:rStyle w:val="InternetLink"/>
                  <w:rFonts w:ascii="Calibri;sans-serif" w:hAnsi="Calibri;sans-serif"/>
                  <w:b/>
                  <w:strike w:val="false"/>
                  <w:dstrike w:val="false"/>
                  <w:color w:val="000000"/>
                  <w:sz w:val="20"/>
                  <w:u w:val="none"/>
                  <w:effect w:val="none"/>
                </w:rPr>
                <w:t>PART 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3">
              <w:r>
                <w:rPr>
                  <w:rStyle w:val="InternetLink"/>
                  <w:rFonts w:ascii="Calibri;sans-serif" w:hAnsi="Calibri;sans-serif"/>
                  <w:b/>
                  <w:color w:val="0563C1"/>
                  <w:sz w:val="20"/>
                  <w:u w:val="single"/>
                </w:rPr>
                <w:t>FINANCIAL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6">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6">
              <w:r>
                <w:rPr>
                  <w:rStyle w:val="InternetLink"/>
                  <w:rFonts w:ascii="Calibri;sans-serif" w:hAnsi="Calibri;sans-serif"/>
                  <w:b w:val="false"/>
                  <w:color w:val="0563C1"/>
                  <w:sz w:val="20"/>
                  <w:u w:val="single"/>
                </w:rPr>
                <w:t>Financial Statements</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9">
              <w:r>
                <w:rPr>
                  <w:rStyle w:val="InternetLink"/>
                  <w:rFonts w:ascii="Calibri;sans-serif" w:hAnsi="Calibri;sans-serif"/>
                  <w:b w:val="false"/>
                  <w:color w:val="0563C1"/>
                  <w:sz w:val="20"/>
                  <w:u w:val="single"/>
                </w:rPr>
                <w:t>Condensed Consolidated Balance Sheets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9">
              <w:r>
                <w:rPr>
                  <w:rStyle w:val="InternetLink"/>
                  <w:rFonts w:ascii="Calibri;sans-serif" w:hAnsi="Calibri;sans-serif"/>
                  <w:b w:val="false"/>
                  <w:strike w:val="false"/>
                  <w:dstrike w:val="false"/>
                  <w:color w:val="000000"/>
                  <w:sz w:val="20"/>
                  <w:u w:val="none"/>
                  <w:effect w:val="non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22">
              <w:r>
                <w:rPr>
                  <w:rStyle w:val="InternetLink"/>
                  <w:rFonts w:ascii="Calibri;sans-serif" w:hAnsi="Calibri;sans-serif"/>
                  <w:b w:val="false"/>
                  <w:color w:val="0563C1"/>
                  <w:sz w:val="20"/>
                  <w:u w:val="single"/>
                </w:rPr>
                <w:t>Condensed Consolidated Statements of Operations and Comprehensive (Loss) Income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22">
              <w:r>
                <w:rPr>
                  <w:rStyle w:val="InternetLink"/>
                  <w:rFonts w:ascii="Calibri;sans-serif" w:hAnsi="Calibri;sans-serif"/>
                  <w:b w:val="false"/>
                  <w:strike w:val="false"/>
                  <w:dstrike w:val="false"/>
                  <w:color w:val="000000"/>
                  <w:sz w:val="20"/>
                  <w:u w:val="none"/>
                  <w:effect w:val="non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25">
              <w:r>
                <w:rPr>
                  <w:rStyle w:val="InternetLink"/>
                  <w:rFonts w:ascii="Calibri;sans-serif" w:hAnsi="Calibri;sans-serif"/>
                  <w:b w:val="false"/>
                  <w:color w:val="0563C1"/>
                  <w:sz w:val="20"/>
                  <w:u w:val="single"/>
                </w:rPr>
                <w:t>Condensed Consolidated Statements of Stockholders’ Deficit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25">
              <w:r>
                <w:rPr>
                  <w:rStyle w:val="InternetLink"/>
                  <w:rFonts w:ascii="Calibri;sans-serif" w:hAnsi="Calibri;sans-serif"/>
                  <w:b w:val="false"/>
                  <w:strike w:val="false"/>
                  <w:dstrike w:val="false"/>
                  <w:color w:val="000000"/>
                  <w:sz w:val="20"/>
                  <w:u w:val="none"/>
                  <w:effect w:val="none"/>
                </w:rPr>
                <w:t>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28">
              <w:r>
                <w:rPr>
                  <w:rStyle w:val="InternetLink"/>
                  <w:rFonts w:ascii="Calibri;sans-serif" w:hAnsi="Calibri;sans-serif"/>
                  <w:b w:val="false"/>
                  <w:color w:val="0563C1"/>
                  <w:sz w:val="20"/>
                  <w:u w:val="single"/>
                </w:rPr>
                <w:t>Condensed Consolidated Statements of Cash Flows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28">
              <w:r>
                <w:rPr>
                  <w:rStyle w:val="InternetLink"/>
                  <w:rFonts w:ascii="Calibri;sans-serif" w:hAnsi="Calibri;sans-serif"/>
                  <w:b w:val="false"/>
                  <w:strike w:val="false"/>
                  <w:dstrike w:val="false"/>
                  <w:color w:val="000000"/>
                  <w:sz w:val="20"/>
                  <w:u w:val="none"/>
                  <w:effect w:val="none"/>
                </w:rPr>
                <w:t>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31">
              <w:r>
                <w:rPr>
                  <w:rStyle w:val="InternetLink"/>
                  <w:rFonts w:ascii="Calibri;sans-serif" w:hAnsi="Calibri;sans-serif"/>
                  <w:b w:val="false"/>
                  <w:color w:val="0563C1"/>
                  <w:sz w:val="20"/>
                  <w:u w:val="single"/>
                </w:rPr>
                <w:t>Notes to Condensed 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31">
              <w:r>
                <w:rPr>
                  <w:rStyle w:val="InternetLink"/>
                  <w:rFonts w:ascii="Calibri;sans-serif" w:hAnsi="Calibri;sans-serif"/>
                  <w:b w:val="false"/>
                  <w:strike w:val="false"/>
                  <w:dstrike w:val="false"/>
                  <w:color w:val="000000"/>
                  <w:sz w:val="20"/>
                  <w:u w:val="none"/>
                  <w:effect w:val="none"/>
                </w:rPr>
                <w:t>9</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88">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88">
              <w:r>
                <w:rPr>
                  <w:rStyle w:val="InternetLink"/>
                  <w:rFonts w:ascii="Calibri;sans-serif" w:hAnsi="Calibri;sans-serif"/>
                  <w:b w:val="false"/>
                  <w:color w:val="0563C1"/>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88">
              <w:r>
                <w:rPr>
                  <w:rStyle w:val="InternetLink"/>
                  <w:rFonts w:ascii="Calibri;sans-serif" w:hAnsi="Calibri;sans-serif"/>
                  <w:b w:val="false"/>
                  <w:strike w:val="false"/>
                  <w:dstrike w:val="false"/>
                  <w:color w:val="000000"/>
                  <w:sz w:val="20"/>
                  <w:u w:val="none"/>
                  <w:effect w:val="none"/>
                </w:rPr>
                <w:t>28</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15">
              <w:r>
                <w:rPr>
                  <w:rStyle w:val="InternetLink"/>
                  <w:rFonts w:ascii="Calibri;sans-serif" w:hAnsi="Calibri;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15">
              <w:r>
                <w:rPr>
                  <w:rStyle w:val="InternetLink"/>
                  <w:rFonts w:ascii="Calibri;sans-serif" w:hAnsi="Calibri;sans-serif"/>
                  <w:b w:val="false"/>
                  <w:color w:val="0563C1"/>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15">
              <w:r>
                <w:rPr>
                  <w:rStyle w:val="InternetLink"/>
                  <w:rFonts w:ascii="Calibri;sans-serif" w:hAnsi="Calibri;sans-serif"/>
                  <w:b w:val="false"/>
                  <w:strike w:val="false"/>
                  <w:dstrike w:val="false"/>
                  <w:color w:val="000000"/>
                  <w:sz w:val="20"/>
                  <w:u w:val="none"/>
                  <w:effect w:val="none"/>
                </w:rPr>
                <w:t>49</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18">
              <w:r>
                <w:rPr>
                  <w:rStyle w:val="InternetLink"/>
                  <w:rFonts w:ascii="Calibri;sans-serif" w:hAnsi="Calibri;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18">
              <w:r>
                <w:rPr>
                  <w:rStyle w:val="InternetLink"/>
                  <w:rFonts w:ascii="Calibri;sans-serif" w:hAnsi="Calibri;sans-serif"/>
                  <w:b w:val="false"/>
                  <w:color w:val="0563C1"/>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18">
              <w:r>
                <w:rPr>
                  <w:rStyle w:val="InternetLink"/>
                  <w:rFonts w:ascii="Calibri;sans-serif" w:hAnsi="Calibri;sans-serif"/>
                  <w:b w:val="false"/>
                  <w:strike w:val="false"/>
                  <w:dstrike w:val="false"/>
                  <w:color w:val="000000"/>
                  <w:sz w:val="20"/>
                  <w:u w:val="none"/>
                  <w:effect w:val="none"/>
                </w:rPr>
                <w:t>49</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21">
              <w:r>
                <w:rPr>
                  <w:rStyle w:val="InternetLink"/>
                  <w:rFonts w:ascii="Calibri;sans-serif" w:hAnsi="Calibri;sans-serif"/>
                  <w:b/>
                  <w:strike w:val="false"/>
                  <w:dstrike w:val="false"/>
                  <w:color w:val="000000"/>
                  <w:sz w:val="20"/>
                  <w:u w:val="none"/>
                  <w:effect w:val="none"/>
                </w:rPr>
                <w:t>PART II.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21">
              <w:r>
                <w:rPr>
                  <w:rStyle w:val="InternetLink"/>
                  <w:rFonts w:ascii="Calibri;sans-serif" w:hAnsi="Calibri;sans-serif"/>
                  <w:b/>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24">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24">
              <w:r>
                <w:rPr>
                  <w:rStyle w:val="InternetLink"/>
                  <w:rFonts w:ascii="Calibri;sans-serif" w:hAnsi="Calibri;sans-serif"/>
                  <w:b w:val="false"/>
                  <w:color w:val="0563C1"/>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24">
              <w:r>
                <w:rPr>
                  <w:rStyle w:val="InternetLink"/>
                  <w:rFonts w:ascii="Calibri;sans-serif" w:hAnsi="Calibri;sans-serif"/>
                  <w:b w:val="false"/>
                  <w:strike w:val="false"/>
                  <w:dstrike w:val="false"/>
                  <w:color w:val="000000"/>
                  <w:sz w:val="20"/>
                  <w:u w:val="none"/>
                  <w:effect w:val="none"/>
                </w:rPr>
                <w:t>50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27">
              <w:r>
                <w:rPr>
                  <w:rStyle w:val="InternetLink"/>
                  <w:rFonts w:ascii="Calibri;sans-serif" w:hAnsi="Calibri;sans-serif"/>
                  <w:b w:val="false"/>
                  <w:strike w:val="false"/>
                  <w:dstrike w:val="false"/>
                  <w:color w:val="000000"/>
                  <w:sz w:val="20"/>
                  <w:u w:val="none"/>
                  <w:effect w:val="none"/>
                </w:rPr>
                <w:t>Item 1A.</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27">
              <w:r>
                <w:rPr>
                  <w:rStyle w:val="InternetLink"/>
                  <w:rFonts w:ascii="Calibri;sans-serif" w:hAnsi="Calibri;sans-serif"/>
                  <w:b w:val="false"/>
                  <w:color w:val="0563C1"/>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27">
              <w:r>
                <w:rPr>
                  <w:rStyle w:val="InternetLink"/>
                  <w:rFonts w:ascii="Calibri;sans-serif" w:hAnsi="Calibri;sans-serif"/>
                  <w:b w:val="false"/>
                  <w:strike w:val="false"/>
                  <w:dstrike w:val="false"/>
                  <w:color w:val="000000"/>
                  <w:sz w:val="20"/>
                  <w:u w:val="none"/>
                  <w:effect w:val="none"/>
                </w:rPr>
                <w:t>50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30">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30">
              <w:r>
                <w:rPr>
                  <w:rStyle w:val="InternetLink"/>
                  <w:rFonts w:ascii="Calibri;sans-serif" w:hAnsi="Calibri;sans-serif"/>
                  <w:b w:val="false"/>
                  <w:color w:val="0563C1"/>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30">
              <w:r>
                <w:rPr>
                  <w:rStyle w:val="InternetLink"/>
                  <w:rFonts w:ascii="Calibri;sans-serif" w:hAnsi="Calibri;sans-serif"/>
                  <w:b w:val="false"/>
                  <w:strike w:val="false"/>
                  <w:dstrike w:val="false"/>
                  <w:color w:val="000000"/>
                  <w:sz w:val="20"/>
                  <w:u w:val="none"/>
                  <w:effect w:val="none"/>
                </w:rPr>
                <w:t>52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Item 3.</w:t>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33">
              <w:r>
                <w:rPr>
                  <w:rStyle w:val="InternetLink"/>
                  <w:rFonts w:ascii="Calibri;sans-serif" w:hAnsi="Calibri;sans-serif"/>
                  <w:b w:val="false"/>
                  <w:color w:val="0563C1"/>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33">
              <w:r>
                <w:rPr>
                  <w:rStyle w:val="InternetLink"/>
                  <w:rFonts w:ascii="Calibri;sans-serif" w:hAnsi="Calibri;sans-serif"/>
                  <w:b w:val="false"/>
                  <w:strike w:val="false"/>
                  <w:dstrike w:val="false"/>
                  <w:color w:val="000000"/>
                  <w:sz w:val="20"/>
                  <w:u w:val="none"/>
                  <w:effect w:val="none"/>
                </w:rPr>
                <w:t>52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Item 4.</w:t>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36">
              <w:r>
                <w:rPr>
                  <w:rStyle w:val="InternetLink"/>
                  <w:rFonts w:ascii="Calibri;sans-serif" w:hAnsi="Calibri;sans-serif"/>
                  <w:b w:val="false"/>
                  <w:color w:val="0563C1"/>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36">
              <w:r>
                <w:rPr>
                  <w:rStyle w:val="InternetLink"/>
                  <w:rFonts w:ascii="Calibri;sans-serif" w:hAnsi="Calibri;sans-serif"/>
                  <w:b w:val="false"/>
                  <w:strike w:val="false"/>
                  <w:dstrike w:val="false"/>
                  <w:color w:val="000000"/>
                  <w:sz w:val="20"/>
                  <w:u w:val="none"/>
                  <w:effect w:val="none"/>
                </w:rPr>
                <w:t>52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Item 5.</w:t>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39">
              <w:r>
                <w:rPr>
                  <w:rStyle w:val="InternetLink"/>
                  <w:rFonts w:ascii="Calibri;sans-serif" w:hAnsi="Calibri;sans-serif"/>
                  <w:b w:val="false"/>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39">
              <w:r>
                <w:rPr>
                  <w:rStyle w:val="InternetLink"/>
                  <w:rFonts w:ascii="Calibri;sans-serif" w:hAnsi="Calibri;sans-serif"/>
                  <w:b w:val="false"/>
                  <w:strike w:val="false"/>
                  <w:dstrike w:val="false"/>
                  <w:color w:val="000000"/>
                  <w:sz w:val="20"/>
                  <w:u w:val="none"/>
                  <w:effect w:val="none"/>
                </w:rPr>
                <w:t>52</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42">
              <w:r>
                <w:rPr>
                  <w:rStyle w:val="InternetLink"/>
                  <w:rFonts w:ascii="Calibri;sans-serif" w:hAnsi="Calibri;sans-serif"/>
                  <w:b w:val="false"/>
                  <w:strike w:val="false"/>
                  <w:dstrike w:val="false"/>
                  <w:color w:val="000000"/>
                  <w:sz w:val="20"/>
                  <w:u w:val="none"/>
                  <w:effect w:val="none"/>
                </w:rPr>
                <w:t>Item 6.</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42">
              <w:r>
                <w:rPr>
                  <w:rStyle w:val="InternetLink"/>
                  <w:rFonts w:ascii="Calibri;sans-serif" w:hAnsi="Calibri;sans-serif"/>
                  <w:b w:val="false"/>
                  <w:color w:val="0563C1"/>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42">
              <w:r>
                <w:rPr>
                  <w:rStyle w:val="InternetLink"/>
                  <w:rFonts w:ascii="Calibri;sans-serif" w:hAnsi="Calibri;sans-serif"/>
                  <w:b w:val="false"/>
                  <w:strike w:val="false"/>
                  <w:dstrike w:val="false"/>
                  <w:color w:val="000000"/>
                  <w:sz w:val="20"/>
                  <w:u w:val="none"/>
                  <w:effect w:val="none"/>
                </w:rPr>
                <w:t>52</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14" w:after="283"/>
              <w:jc w:val="left"/>
              <w:rPr/>
            </w:pPr>
            <w:hyperlink w:anchor="i251b608ad65f4b9d9786aaa1683f4105_145">
              <w:r>
                <w:rPr>
                  <w:rStyle w:val="InternetLink"/>
                  <w:rFonts w:ascii="Calibri;sans-serif" w:hAnsi="Calibri;sans-serif"/>
                  <w:b w:val="false"/>
                  <w:color w:val="0563C1"/>
                  <w:sz w:val="20"/>
                  <w:u w:val="single"/>
                </w:rPr>
                <w:t>Exhibit Index</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45">
              <w:r>
                <w:rPr>
                  <w:rStyle w:val="InternetLink"/>
                  <w:rFonts w:ascii="Calibri;sans-serif" w:hAnsi="Calibri;sans-serif"/>
                  <w:b w:val="false"/>
                  <w:strike w:val="false"/>
                  <w:dstrike w:val="false"/>
                  <w:color w:val="000000"/>
                  <w:sz w:val="20"/>
                  <w:u w:val="none"/>
                  <w:effect w:val="none"/>
                </w:rPr>
                <w:t>52</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251b608ad65f4b9d9786aaa1683f4105_148">
              <w:r>
                <w:rPr>
                  <w:rStyle w:val="InternetLink"/>
                  <w:rFonts w:ascii="Calibri;sans-serif" w:hAnsi="Calibri;sans-serif"/>
                  <w:b w:val="false"/>
                  <w:color w:val="0563C1"/>
                  <w:sz w:val="20"/>
                  <w:u w:val="single"/>
                </w:rPr>
                <w:t>Signatures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251b608ad65f4b9d9786aaa1683f4105_148">
              <w:r>
                <w:rPr>
                  <w:rStyle w:val="InternetLink"/>
                  <w:rFonts w:ascii="Calibri;sans-serif" w:hAnsi="Calibri;sans-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2E74B5"/>
          <w:sz w:val="20"/>
        </w:rPr>
      </w:pPr>
      <w:r>
        <w:rPr>
          <w:rFonts w:ascii="Calibri;sans-serif" w:hAnsi="Calibri;sans-serif"/>
          <w:b/>
          <w:color w:val="2E74B5"/>
          <w:sz w:val="20"/>
        </w:rPr>
        <w:t>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w:t>
      </w:r>
    </w:p>
    <w:p>
      <w:pPr>
        <w:pStyle w:val="TextBody"/>
        <w:bidi w:val="0"/>
        <w:spacing w:lineRule="auto" w:line="288" w:before="240" w:after="283"/>
        <w:jc w:val="left"/>
        <w:rPr/>
      </w:pPr>
      <w:r>
        <w:rPr>
          <w:rFonts w:ascii="Calibri;sans-serif" w:hAnsi="Calibri;sans-serif"/>
          <w:b w:val="false"/>
          <w:color w:val="000000"/>
          <w:sz w:val="20"/>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of the most recent Form 10-K of Greenidge Generation Holdings Inc. (“Greenidge,” the “Company,” “we,” “us,” or “our”) filed with the Securities and Exchange Commission ("SEC") and in this Quarterly Report on Form 10-Q, as well as those described from time to time in our future reports filed with the SEC, which should be reviewed carefully. Please consider Greenidge's forward-looking statements in light of those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913"/>
        <w:gridCol w:w="2293"/>
        <w:gridCol w:w="2320"/>
        <w:gridCol w:w="214"/>
        <w:gridCol w:w="733"/>
        <w:gridCol w:w="110"/>
        <w:gridCol w:w="109"/>
        <w:gridCol w:w="109"/>
        <w:gridCol w:w="109"/>
        <w:gridCol w:w="250"/>
        <w:gridCol w:w="857"/>
        <w:gridCol w:w="188"/>
      </w:tblGrid>
      <w:tr>
        <w:trPr/>
        <w:tc>
          <w:tcPr>
            <w:tcW w:w="291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7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including restricted cash</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current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24,432 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45,095 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62,851 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71,179 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LIABILITIES AND STOCKHOLDERS' EQUITY</w:t>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10,520 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Short-term environmental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Related party payables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20,977 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deferred financing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69,239 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68,710 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114,950 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122,203 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COMMITMENTS AND CONTINGENCIES (NOTE 10)</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STOCKHOLDERS' DEFICIT:</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Preferred stock, par value $0.0001, 20,000,000 shares authorized, none outstanding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Common stock, par value $0.0001, 500,000,000 shares authorized, 10,623,987 and 9,131,252 shares issued and outstanding as of June 30, 2024 and December 31, 2023,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319,992 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Cumulative translation adjustment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subscription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(379,464)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(369,974)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stockholders' deficit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(52,099)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(51,024)</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62,851 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71,179 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4"/>
        </w:rPr>
      </w:pPr>
      <w:r>
        <w:rPr>
          <w:rFonts w:ascii="Calibri;sans-serif" w:hAnsi="Calibri;sans-serif"/>
          <w:b/>
          <w:color w:val="000000"/>
          <w:sz w:val="24"/>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OPERATIONS AND COMPREHENSIVE LOSS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per share data) </w:t>
      </w:r>
    </w:p>
    <w:tbl>
      <w:tblPr>
        <w:tblW w:w="10205" w:type="dxa"/>
        <w:jc w:val="left"/>
        <w:tblInd w:w="0" w:type="dxa"/>
        <w:tblLayout w:type="fixed"/>
        <w:tblCellMar>
          <w:top w:w="28" w:type="dxa"/>
          <w:left w:w="28" w:type="dxa"/>
          <w:bottom w:w="28" w:type="dxa"/>
          <w:right w:w="28" w:type="dxa"/>
        </w:tblCellMar>
      </w:tblPr>
      <w:tblGrid>
        <w:gridCol w:w="1799"/>
        <w:gridCol w:w="1567"/>
        <w:gridCol w:w="1557"/>
        <w:gridCol w:w="211"/>
        <w:gridCol w:w="681"/>
        <w:gridCol w:w="109"/>
        <w:gridCol w:w="109"/>
        <w:gridCol w:w="109"/>
        <w:gridCol w:w="109"/>
        <w:gridCol w:w="211"/>
        <w:gridCol w:w="786"/>
        <w:gridCol w:w="109"/>
        <w:gridCol w:w="109"/>
        <w:gridCol w:w="109"/>
        <w:gridCol w:w="109"/>
        <w:gridCol w:w="211"/>
        <w:gridCol w:w="721"/>
        <w:gridCol w:w="109"/>
        <w:gridCol w:w="109"/>
        <w:gridCol w:w="109"/>
        <w:gridCol w:w="109"/>
        <w:gridCol w:w="211"/>
        <w:gridCol w:w="786"/>
        <w:gridCol w:w="156"/>
      </w:tblGrid>
      <w:tr>
        <w:trPr/>
        <w:tc>
          <w:tcPr>
            <w:tcW w:w="179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datacenter hosting (exclusive of depreciation)</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cryptocurrency mining (exclusive of depreciation)</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power and capacity (exclusive of depreciation)</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EPCM consulting services (exclusive of depreciation)</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(gain) on digital assets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(12,304)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digital assets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from income taxes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(loss) from discontinued operations, net of tax</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Comprehensive Loss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Foreign currency translation adjustment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(loss) income per share, basic and diluted:</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1"/>
        <w:gridCol w:w="1770"/>
        <w:gridCol w:w="1775"/>
        <w:gridCol w:w="211"/>
        <w:gridCol w:w="582"/>
        <w:gridCol w:w="109"/>
        <w:gridCol w:w="109"/>
        <w:gridCol w:w="109"/>
        <w:gridCol w:w="109"/>
        <w:gridCol w:w="211"/>
        <w:gridCol w:w="582"/>
        <w:gridCol w:w="109"/>
        <w:gridCol w:w="109"/>
        <w:gridCol w:w="109"/>
        <w:gridCol w:w="109"/>
        <w:gridCol w:w="211"/>
        <w:gridCol w:w="582"/>
        <w:gridCol w:w="109"/>
        <w:gridCol w:w="109"/>
        <w:gridCol w:w="109"/>
        <w:gridCol w:w="109"/>
        <w:gridCol w:w="211"/>
        <w:gridCol w:w="582"/>
        <w:gridCol w:w="159"/>
      </w:tblGrid>
      <w:tr>
        <w:trPr/>
        <w:tc>
          <w:tcPr>
            <w:tcW w:w="202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from continuing operations,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share from discontinued operations, basic and diluted</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shares outstanding, basic and diluted</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STOCKHOLDERS’ DEFICIT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share data) </w:t>
      </w:r>
    </w:p>
    <w:tbl>
      <w:tblPr>
        <w:tblW w:w="10412" w:type="dxa"/>
        <w:jc w:val="left"/>
        <w:tblInd w:w="0" w:type="dxa"/>
        <w:tblLayout w:type="fixed"/>
        <w:tblCellMar>
          <w:top w:w="28" w:type="dxa"/>
          <w:left w:w="28" w:type="dxa"/>
          <w:bottom w:w="28" w:type="dxa"/>
          <w:right w:w="28" w:type="dxa"/>
        </w:tblCellMar>
      </w:tblPr>
      <w:tblGrid>
        <w:gridCol w:w="700"/>
        <w:gridCol w:w="394"/>
        <w:gridCol w:w="212"/>
        <w:gridCol w:w="109"/>
        <w:gridCol w:w="109"/>
        <w:gridCol w:w="123"/>
        <w:gridCol w:w="123"/>
        <w:gridCol w:w="497"/>
        <w:gridCol w:w="449"/>
        <w:gridCol w:w="124"/>
        <w:gridCol w:w="109"/>
        <w:gridCol w:w="109"/>
        <w:gridCol w:w="109"/>
        <w:gridCol w:w="196"/>
        <w:gridCol w:w="406"/>
        <w:gridCol w:w="109"/>
        <w:gridCol w:w="185"/>
        <w:gridCol w:w="185"/>
        <w:gridCol w:w="186"/>
        <w:gridCol w:w="196"/>
        <w:gridCol w:w="721"/>
        <w:gridCol w:w="109"/>
        <w:gridCol w:w="109"/>
        <w:gridCol w:w="109"/>
        <w:gridCol w:w="109"/>
        <w:gridCol w:w="196"/>
        <w:gridCol w:w="461"/>
        <w:gridCol w:w="109"/>
        <w:gridCol w:w="109"/>
        <w:gridCol w:w="109"/>
        <w:gridCol w:w="109"/>
        <w:gridCol w:w="227"/>
        <w:gridCol w:w="487"/>
        <w:gridCol w:w="127"/>
        <w:gridCol w:w="109"/>
        <w:gridCol w:w="109"/>
        <w:gridCol w:w="109"/>
        <w:gridCol w:w="196"/>
        <w:gridCol w:w="736"/>
        <w:gridCol w:w="109"/>
        <w:gridCol w:w="109"/>
        <w:gridCol w:w="109"/>
        <w:gridCol w:w="109"/>
        <w:gridCol w:w="196"/>
        <w:gridCol w:w="646"/>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Additional </w:t>
              <w:br/>
              <w:t xml:space="preserve">Paid - In </w:t>
              <w:br/>
              <w:t>Capital</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Subscription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Cumulative </w:t>
              <w:br/>
              <w:t xml:space="preserve">Translation </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Total</w:t>
            </w:r>
          </w:p>
        </w:tc>
        <w:tc>
          <w:tcPr>
            <w:tcW w:w="1323" w:type="dxa"/>
            <w:gridSpan w:val="6"/>
            <w:tcBorders/>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Amount</w:t>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9,131,252 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319,992 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(369,974)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(51,024)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Cumulative-effect adjustment due to the adoption of ASU 2023-08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in connection with Securities Purchase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450,300 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45,269 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159,357 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warrants in connection with Securities Purchase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9,786,178 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327,401 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(373,896)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(46,842)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Common stock issuance upon exercise of prefunded warrant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810,205 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27,604 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(5,568)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10,623,987 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327,712 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(379,464)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(52,099)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4,625,278 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(47,047)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1,211,926 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 net of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9,275 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Proceeds from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133,333 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5,979,812 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303,350 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(348,635)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(45,624)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1,253,434 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 net of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3,368 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7,236,614 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307,238 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(330)</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(358,677)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(51,768)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CONDENSED CONSOLIDATED STATEMENTS OF CASH FLOWS (UNAUDITED)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2787"/>
        <w:gridCol w:w="2442"/>
        <w:gridCol w:w="2450"/>
        <w:gridCol w:w="211"/>
        <w:gridCol w:w="721"/>
        <w:gridCol w:w="109"/>
        <w:gridCol w:w="109"/>
        <w:gridCol w:w="109"/>
        <w:gridCol w:w="109"/>
        <w:gridCol w:w="211"/>
        <w:gridCol w:w="791"/>
        <w:gridCol w:w="156"/>
      </w:tblGrid>
      <w:tr>
        <w:trPr/>
        <w:tc>
          <w:tcPr>
            <w:tcW w:w="2787"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OPERATING ACTIVITIES FROM CONTINUING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Adjustments to reconcile net loss from continuing operations to net cash flow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principal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digital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Revenues from digital assets production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digital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Professional fees paid in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Related party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operating activities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INVESTING ACTIVITIES FROM CONTINUING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Purchases of and deposits for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digital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investing activities from continuing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FINANCING ACTIVITIES FROM CONTINUING OPERATIONS: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issuance of common stock,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issuance of common stock and pre-funded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Principal payments on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provided by financing activities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Discontinued Operations: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operating activities of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investing activities of 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Increase (decrease) in cash and cash equivalents from discontinued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CASH EQUIVALENTS AND RESTRICTED CASH -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CASH EQUIVALENTS AND RESTRICTED CASH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See Note 13 for supplemental cash flow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 ORGANIZATION AND DESCRIPTION OF BUSINESS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Generation Holdings Inc. and its subsidiaries (collectively, "Greenidge" or the "Company") owns and operates a vertically integrated cryptocurrency datacenter and power generation company. The Company owns and operates facilities in the Town of Torrey, New York (the "New York Facility") and the Town of Columbia, Mississippi (the "Mississippi Facility"), operates a facility under a lease in the Town of Underwood, North Dakota (the "North Dakota Facility") and owned and operated a facility in Spartanburg, South Carolina (the "South Carolina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earned bitcoin are then exchanged for U.S. dollars. The Company also owns and operates a 106 megawatt ("MW") power facility that is connected to the New York Independent System Operator ("NYISO") power grid. In addition to the electricity used "behind the meter" by the New York datacenter, the Company sells electricity to the NYISO at all times when its power plant is running and increases or decreases the amount of electricity sold based on prevailing prices in the wholesale electricity market and demand for electricity.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Effective May 16, 2023, the Company effected a 1-for-10 reverse stock split of its outstanding shares of common stock. The par value remains unchanged. Unless specifically provided otherwise herein, all share and per share amounts as well as common stock and additional paid-in capital have been retroactively adjusted to reflect the reverse stock split. See Note 9, "Stockholders' Deficit",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2. SUMMARY OF SIGNIFICANT ACCOUNTING POLICIES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Presentation of Condensed Consolidated Financial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2024 or for any future interim period. The unaudited interim condensed consolidated financial statements do not include all of the information and notes required by United States Generally Accepted Accounting Principles for complete financial statements. </w:t>
      </w:r>
    </w:p>
    <w:p>
      <w:pPr>
        <w:pStyle w:val="TextBody"/>
        <w:bidi w:val="0"/>
        <w:spacing w:lineRule="auto" w:line="288" w:before="360" w:after="283"/>
        <w:jc w:val="left"/>
        <w:rPr/>
      </w:pPr>
      <w:r>
        <w:rPr>
          <w:rFonts w:ascii="Calibri;sans-serif" w:hAnsi="Calibri;sans-serif"/>
          <w:b w:val="false"/>
          <w:color w:val="000000"/>
          <w:sz w:val="20"/>
        </w:rPr>
        <w:t>The Company has reflected the operations of its Support.com business as discontinued operations for all periods presented.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for further information. Unless otherwise noted, amounts and disclosures throughout these notes to the Company's condensed consolidated financial statements relate solely to continuing operations and exclude all discontinued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accompanying condensed consolidated financial statements should be read in conjunction with the notes to the consolidated financial statements of the Company in its 2023 Annual Report on Form 10-K.</w:t>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Going Concern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accordance with the Financial Accounting Standards Board ("FASB") Accounting Standards Update ("ASU") 2014-15, Presentation of Financial Statements – Going Concern, the Company's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The Company has historically incurred operating losses and negative cash flows from operations. These factors raise substantial doubt as to the Company’s ability to continue as a going concern.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halving of bitcoin, which occurred April 19, 2024, may have an adverse effect on the Company’s projected future cash flows. The fixed costs to operate the business including, but not limited to, insurance, overhead and capital expenditures, as well as the variable input costs to operate the Company’s datacenters, have a material impact on the Company’s continuing operations and ability to generate positive cash flows. While the market has improved in 2023 and 2024, the Company continues to have to address the possibility of negative impacts of the price of bitcoin and natural gas as these have proven to be volatile markets. As a result, management took certain actions during 2023 and 2024 to improve the Company's liquidity that are described further below. At June 30, 2024, the Company had $10.3 million of cash,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cash and cash equivalents and other current assets of $7.4 million, while having $8.7 million of accounts payable and accrued expenses, emissions liability of $3.5 million, current liabilities held for sale of $0.3 million, related party payables of $0.4 million, and an estimated $1.6 million of environmental liability spend in the next 12 months, which results in working capital of $3.2 million as of June 30, 2024.</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Additionally, the Company has $6.1 million of interest payments due over the next twelve months. The ability to continue as a going concern is dependent upon the Company generating profitable operations in the future and/or obtaining the necessary financing to meet its obligations and repay its liabilities arising from normal business operations when they come due. In an effort to improve liquidity, the Company has completed or is in the process of completing the following transactions: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In September 2022, Greenidge entered into an at-the-market issuance sales agreement, as amended, dated as of September 19, 2022, by and among the Company, B. Riley Securities, Inc. (“B. Riley Securities”) and Northland Securities, Inc., relating to shares of Greenidge’s Class A common stock (the "ATM Agreement"), and since October 23, 2022 through August 9, 2024, have received net proceeds of $20.7 million from sales of Class A common stock under the ATM Agreement. See Note 9, "Stockholder's Deficit", for further details.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On January 30, 2023, the Company entered into debt restructuring agreements with NYDIG ABL LLC ("NYDIG") and B. Riley Commercial Capital, LLC ("B. Riley Commercial"). The restructuring of the NYDIG debt improved the Company's liquidity during 2023 as the payments required in 2023 on the remaining principal balance was interest payments of $2.0 million. This reduced debt service is substantially lower than the $62.7 million of principal and interest payments which would have been required in 2023 pursuant to the 2021 and 2022 Master Equipment Finance Agreements, both of which were refinanced in January 2023. See Note 5, "Debt" of our Annual Report on Form 10-K, filed April 10, 2024, for further details regarding the debt restructuring agreements.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In conjunction with the restructuring of the debt with NYDIG, the Company also entered into hosting agreements with NYDIG on January 30, 2023 (the “NYDIG Hosting Agreements”), which improved its liquidity position, as it provided for cost reimbursements for key input costs, while allowing the Company to participate in profit upside.</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On November 9, 2023, the Company closed the sale of the South Carolina Facility to complete the deleveraging transaction with NYDIG. In exchange for the sale to NYDIG of the upgraded 44 MW South Carolina mining facilities and the subdivided real estate of approximately 22 acres of land, the Company received total consideration of $28 million, as follows: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Senior Secured Loan with NYDIG with remaining principal of $17.7 million was extinguished;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B. Riley Commercial Secured Promissory Note with remaining principal of $4.1 million, which NYDIG purchased from B. Riley Commercial on July 20, 2023 at par was extinguished;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Company also received bonus payments earned of approximately $1.6 million as a result of the completion of the expansion of the upgraded mining facility and the facility’s uptime performance.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recognized a gain on the sale of the South Carolina Facility of $8.2 million.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conjunction with the sale, the Company and NYDIG terminated the South Carolina Hosting Order. The NYDIG Hosting Agreement related to the New York Facility was not impacted by this transaction and remains in place.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sale of the property.</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Since entering into the NYDIG Hosting Agreements, the Company has identified opportunities to deploy its company-owned miners. In March 2023, the Company entered into a hosting agreement with Conifex Timber Inc. ("Conifex"), whereby Conifex will provide hosting services to Greenidge utilizing renewable power (the “Conifex Hosting Agreement”). In April 2023, the Company entered into a hosting agreement with Core Scientific, Inc. ("Core") in which Core will host and operate Greenidge-owned bitcoin miners at its facilities (the “Core Hosting Agreement”, and together with the NYDIG Hosting Agreements and the Conifex Hosting Agreement, the “Hosting Agreements”). On May 31, 2024, the only order entered into between Greenidge and Core pursuant to the Core Hosting Agreement terminated pursuant to its terms and Core no longer hosts or operates any Greenidge-owned bitcoin miners. As a result, the Company deployed the miners hosted by Core to sites Greenidge operates as part of its self-mining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On April 10, 2024, the Company closed on the purchase of a parcel of land containing approximately 12 acres located in Columbus, Mississippi, including over 73,000 square feet of industrial warehouse space. The Company deployed 7.5 MW of miners on the property in the second quarter of 2024. The Company has also deployed additional miners in conjunction with a 7.5 MW mining capacity lease in North Dakota, which has a term of five years and provides us with energy to power mining. The Company believes the addition of these datacenters will improve the Company’s profits and liquidity during the remainder of 2024 and beyond.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On February 12, 2024, the Company entered into a securities purchase agreement (the “SPA”) with Armistice Capital Master Fund Ltd. (“Armistice”). Pursuant to the SPA, Armistice purchased shares of the Company’s Class A common stock and a pre-funded Class A common stock purchase warrant entitling them to purchase shares of the Company’s Class A common stock. In addition, the Company issued to Armistice a Class A common stock purchase warrant entitling Armistice, commencing on August 14, 2024, to acquire additional shares of the Company’s Class A common stock from time to time. The SPA resulted in net proceeds of $6.0 million. See Note 9, "Stockholders’ Deficit", for further details.</w:t>
      </w:r>
    </w:p>
    <w:p>
      <w:pPr>
        <w:pStyle w:val="TextBody"/>
        <w:bidi w:val="0"/>
        <w:spacing w:lineRule="auto" w:line="288" w:before="120" w:after="283"/>
        <w:ind w:left="0" w:right="0" w:hanging="360"/>
        <w:jc w:val="left"/>
        <w:rPr/>
      </w:pPr>
      <w:r>
        <w:rPr>
          <w:strike/>
          <w:color w:val="000000"/>
        </w:rPr>
        <w:t>•</w:t>
      </w:r>
      <w:r>
        <w:rPr>
          <w:rFonts w:ascii="Calibri;sans-serif" w:hAnsi="Calibri;sans-serif"/>
          <w:b w:val="false"/>
          <w:color w:val="000000"/>
          <w:sz w:val="20"/>
        </w:rPr>
        <w:t xml:space="preserve">On September 15, 2021, as amended on April 7, 2022, Greenidge entered into the Equity Purchase Agreement with B. Riley Principal Capital, LLC ("B. Riley Principal"). Pursuant to the Equity Purchase Agreement, Greenidge had the right to sell to B. Riley Principal up to $500 million in shares of its Class A common stock, subject to certain limitations and the satisfaction of specified conditions in the Equity Purchase Agreement, from time to time over the 24-month period commencing on April 28, 2022. From the Effective Date to June 30, 2024, The Company has received aggregate proceeds of $8.0 million, net of discounts, of which $0.3 million were received during the six months ended June 30, 2024. There were no shares issued during the three months ended June 30, 2024. See Note 9, "Stockholders’ Deficit", for further details. The Equity Purchase Agreement automatically terminated pursuant to its terms on April 28, 2024. </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 xml:space="preserve">On July 30, 2024, Greenidge entered into a common stock purchase agreement (the "Common Stock Purchase Agreement") and related registration rights agreement with B. Riley Principal Capital II, LLC ("B. Riley Principal II"), an affiliate of B. Riley Principal, pursuant to which Greenidge has the right to sell to B. Riley Principal II up to $20 million in shares of its Class A common stock, subject to certain limitations and the satisfaction of specified conditions in the Common Stock Purchase Agreement, from time to time over the 36-month term of the Common Stock Purchase Agreement. See Note 16, "Subsequent Events", for further details.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near-term working capital needs and remaining debt servicing requirements. Management continues to assess different options to improve its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issuances of equity, including but not limited to issuances under the Common Stock Purchase Agreement and/or the ATM Agreement.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sale of the Company’s remaining real estate in South Carolina and/or sale of the remaining miner infrastructure equipment inventory, which was not used in the South Carolina expansion.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estimates that substantially all of its cash resources will be depleted by the end of the first quarter of 2025. The Company’s estimate of cash resources available to the Company for the next 12 months is dependent on completion of certain actions, including obtaining additional short-term outside financing, executing on certain investing transactions; as well as bitcoin prices and blockchain difficulty levels similar to those existing as of the filing of this Quarterly Report on Form 10-Q and energy prices similar to the those experienced in the first six months of 2024. Increases in the price of bitcoin benefit the Company by increasing the amount of revenue earned for each bitcoin mined. Increases in the difficulty to mine a bitcoin adversely affect the Company by decreasing the number of bitcoin it can mine. Increases in the costs of electricity, natural gas, and emissions credits adversely affect the Company by increasing the cost to mine bitcoin. While the Company continues to work to implement options to improve liquidity, we can provide no assurance that these efforts will be successful and the Company’s liquidity could be negatively impacted by factors outside of its control, in particular, significant decreases in the price of bitcoin, our inability to procure and comply with the permits and licenses required to operate our facilities, including the Title V Air Permit for the New York Facility, or the cost to us of such procurement or compliance, regulatory changes concerning cryptocurrency, increases in energy costs or other macroeconomic conditions and other matters identified in Part I, Item 1A "Risk Factors" in the Company’s Annual Report on Form 10-K for the year ended December 31, 2023 and in this Quarterly Report on Form 10-Q. Given this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rFonts w:ascii="Calibri;sans-serif" w:hAnsi="Calibri;sans-serif"/>
          <w:b/>
          <w:i/>
          <w:color w:val="000000"/>
          <w:sz w:val="20"/>
        </w:rPr>
      </w:pPr>
      <w:r>
        <w:rPr>
          <w:rFonts w:ascii="Calibri;sans-serif" w:hAnsi="Calibri;sans-serif"/>
          <w:b/>
          <w:i/>
          <w:color w:val="000000"/>
          <w:sz w:val="20"/>
        </w:rPr>
        <w:t>Reclassifications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Certain prior year amounts have been reclassified to conform to the current year’s presentation.</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Significant Accounting Policies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significant accounting policies are described in Note 2. Summary of Significant Accounting Policies, in the Company’s consolidated financial statements included in the Company’s Annual Report filed on Form 10-K for the year ended December 31,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have been no material changes to the significant accounting policies, except as described herein, for the three and six months ended June 30, 2024.</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Revenue Recognition</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has entered into digital asset mining pools by executing contracts with the mining pool operators to perform hash computations for a mining pool. The contracts are terminable at any time at no cost by either party and Greenidge’s enforceable right to compensation begins only when, and lasts as long as, Greenidge performs hash computations for the mining pool operator. In exchange for performing hash computations, Greenidge is entitled to a fractional share of the cryptocurrency award the mining pool operator theoretically receives less the mining pool fees. The agreements entered into with the pool operators pay out based on a Full-Pay-Per-Share (“FPPS”) payout formula, which is a conceptual formula that entitles Greenidge to consideration upon the provision of hash computations to the pool even if a block is not successfully placed by the pool operator. Revenue is measured as the value of the consideration received in the form of cryptocurrency from the pool operator, less the mining pool fees retained by the mining pool operator. Greenidge does not expect any material future changes in mining pool fee rates.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exchange for performing hash computations for the mining pool, the Company is entitled to a fractional share of the cryptocurrency award the mining pool operator theoretically receives (less pool operator fees to the mining pool operator which are netted as a reduction of the transaction price). Greenidge’s fractional share is based on the proportion of hash computations the Company performed for the mining pool operator to the total hash computations contributed by all miners in solving the current algorithm during the 24-hour period. Daily earnings calculated under the FPPS payout formula are calculated from midnight-to-midnight UTC time and are credited to pool members’ accounts at 1:00:00 A.M. UTC. The pool sends Greenidge’s cryptocurrency balance in the account to a digital wallet designated by the Company between 9:00 A.M. and 5:00 P.M. UTC time each day, which Greenidge automatically sells for cash within minutes of receipt, unless Greenidge decides to retain its newly earned bitcoin in connection with its bitcoin retention strategy.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service of performing hash computations for the mining pool operators is an output of Greenidge’s ordinary activities and is the only performance obligation in Greenidge’s contracts with mining pool operators. The cryptocurrency that Greenidge receives as transaction consideration is noncash consideration, which Greenidge measures at fair value on the contract inception date at 0:00:00 UTC on the start date of the contract. The duration of each contract is 24 hours or less and provides the same rate of payment upon renewal. Since the pricing remains the same upon contract renewal, the contract does not provide the applicable mining pool operator with a material right that represents a separate performance obligation. The fair value is based on Greenidge’s primary exchange of the related cryptocurrency which is considered to be Coinbase. The consideration Greenidge earns is variable since it is based on the amount of hash computations provided by both Greenidge and the bitcoin network as a whole. The Company does not constrain this variable consideration because it is probable that a significant reversal in the amount of revenue recognized from the contract will not occur when the uncertainty is subsequently resolved and recognizes the non-cash consideration on the same day that control is transferred, which is the same day as contract inception.</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Engineering Procurement and Construction Management ("EPCM") Revenue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entered into contracts with customers to perform engineering procurement and construction management services for customers developing cryptocurrency mining facilities. The services defined in the contracts are generally separated into phases, being 1) engineering 2) construction and 3) procurement.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While the services discussed above are capable of being distinct and separately identifiable, the Company concluded that the services provided are inputs to produce the combined output to the customer, which is the completed site buildout. Further, the services provided are significantly modified by the other services in the contract. As such, while the performance obligations may be capable of being distinct, they are not distinct in the context of the contract and therefore the promises in the contract are combined into one single performance obligation.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recognizes EPCM revenue over time, as performance obligations are satisfied, due to the continuous transfer of control to the customer. The Company utilizes the percentage-of-completion method, based primarily on contract cost incurred to date compared to total estimated contract cost. The percentage-of-completion method, and input method, is used as management considers it to be the best available measure of progress on these contracts.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 the extent a contract is canceled, the Company assesses whether there are any remaining goods or services to be provided after cancellation. If there are any remaining goods or services to be provided, the Company follows the guidance under ASC 606 for contract modifications. If there are no remaining goods or services to be provided, the Company considers whether consideration received is refundable or nonrefundable. To the extent consideration received is refundable, the Company recognizes a refund liability, otherwise, it recognizes revenue for the consideration received.</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Digital assets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Digital assets are comprised of bitcoin earned as noncash consideration in exchange for providing hash computations for a mining pool, which are accounted for in connection with the Company’s revenue recognition policy previously disclosed. Digital assets are included in current assets in the consolidated balance sheets due to the Company’s ability to sell it in a highly liquid marketplace and because the Company reasonably expects to liquidate its digital assets to support operations within the next twelve months.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adopted ASU 2023-08 during the second quarter of 2024 with an effective date of January 1, 2024. As a result of adopting ASU 2023-08, the Company measures digital assets at fair value as of each reporting period based on UTC closing prices at period-end on the active trading platform that the Company normally transacts and has determined is its principal market for bitcoin.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Gains and losses resulting from remeasurements are included within Loss (gain) on digital assets in the consolidated statements of operations and comprehensive loss. Gains and losses resulting from the sale of bitcoin, measured as the difference between the cash proceeds and the carrying basis of bitcoin as determined on a first-in-first-out basis, are also included within Loss (gain) on digital assets in the consolidated statements of operations and comprehensive loss.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Digital assets received by the Company as noncash consideration are included within operating activities on the consolidated statements of cash flows as substantially all of the Company’s digital asset production is sold within days of being produced. To the extent the Company holds bitcoin for more than a few days, proceeds from the sale of bitcoin are included within investing activities on the consolidated statements of cash flows.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Prior to the adoption of ASU 2023-08, the Company accounted for digital assets as intangible assets with an indefinite useful life, which are not amortized but assessed for impairment annually, or more frequently, when events or changes in circumstances occur indicating that it is more likely than not that the indefinite-lived asset is impaired. The Company performed an analysis each period to identify whether events or changes in circumstances, principally decreases in the quoted prices on active exchanges, indicated that it was more likely than not that its digital assets were impaired. Digital assets were considered impaired if the carrying value was greater than the lowest intraday quoted price at any time during the period. For quoted prices, the Company used daily exchange data from its principal market. Subsequent reversal of impairment losses were not permitted.</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Recent Accounting Pronouncements, Not Yet Adopted</w:t>
      </w:r>
    </w:p>
    <w:p>
      <w:pPr>
        <w:pStyle w:val="TextBody"/>
        <w:bidi w:val="0"/>
        <w:spacing w:lineRule="auto" w:line="288" w:before="240" w:after="283"/>
        <w:jc w:val="left"/>
        <w:rPr/>
      </w:pPr>
      <w:r>
        <w:rPr>
          <w:rFonts w:ascii="Calibri;sans-serif" w:hAnsi="Calibri;sans-serif"/>
          <w:b w:val="false"/>
          <w:color w:val="000000"/>
          <w:sz w:val="20"/>
        </w:rPr>
        <w:t xml:space="preserve">In November 2023, the FASB issued ASU No. 2023-07, </w:t>
      </w:r>
      <w:r>
        <w:rPr>
          <w:rFonts w:ascii="Calibri;sans-serif" w:hAnsi="Calibri;sans-serif"/>
          <w:b w:val="false"/>
          <w:i/>
          <w:color w:val="000000"/>
          <w:sz w:val="20"/>
        </w:rPr>
        <w:t xml:space="preserve">Segment Reporting (Topic 280): Improvements to Reportable Segment Disclosures. </w:t>
      </w:r>
      <w:r>
        <w:rPr>
          <w:rFonts w:ascii="Calibri;sans-serif" w:hAnsi="Calibri;sans-serif"/>
          <w:b w:val="false"/>
          <w:color w:val="000000"/>
          <w:sz w:val="20"/>
        </w:rPr>
        <w:t xml:space="preserve">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of other segment items, and interim disclosures of a reportable segment’s profit or loss and assets. This guidance becomes effective for fiscal years beginning after December 15, 2023 and interim periods within fiscal years beginning after December 15, 2024 and is required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applied retrospectively. Early adoption is permitted. The Company is currently evaluating this guidance to determine the impact it may have on its consolidated financial statements disclosures.</w:t>
      </w:r>
    </w:p>
    <w:p>
      <w:pPr>
        <w:pStyle w:val="TextBody"/>
        <w:bidi w:val="0"/>
        <w:spacing w:lineRule="auto" w:line="288" w:before="240" w:after="283"/>
        <w:jc w:val="left"/>
        <w:rPr/>
      </w:pPr>
      <w:r>
        <w:rPr>
          <w:rFonts w:ascii="Calibri;sans-serif" w:hAnsi="Calibri;sans-serif"/>
          <w:b w:val="false"/>
          <w:color w:val="000000"/>
          <w:sz w:val="20"/>
        </w:rPr>
        <w:t>In December 2023, the FASB issued ASU No. 2023-09,</w:t>
      </w:r>
      <w:r>
        <w:rPr>
          <w:color w:val="000000"/>
        </w:rPr>
        <w:t xml:space="preserve"> </w:t>
      </w:r>
      <w:r>
        <w:rPr>
          <w:rFonts w:ascii="Calibri;sans-serif" w:hAnsi="Calibri;sans-serif"/>
          <w:b w:val="false"/>
          <w:i/>
          <w:color w:val="000000"/>
          <w:sz w:val="20"/>
        </w:rPr>
        <w:t>Income Taxes (Topic 740): Improvements to Income Tax Disclosure</w:t>
      </w:r>
      <w:r>
        <w:rPr>
          <w:rFonts w:ascii="Calibri;sans-serif" w:hAnsi="Calibri;sans-serif"/>
          <w:b w:val="false"/>
          <w:color w:val="000000"/>
          <w:sz w:val="20"/>
        </w:rPr>
        <w:t>.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evaluating the impact the adoption of this ASU will have on its consolidated financial statements and disclosures.</w:t>
      </w:r>
    </w:p>
    <w:p>
      <w:pPr>
        <w:pStyle w:val="TextBody"/>
        <w:bidi w:val="0"/>
        <w:spacing w:lineRule="auto" w:line="288" w:before="240" w:after="283"/>
        <w:jc w:val="left"/>
        <w:rPr/>
      </w:pPr>
      <w:r>
        <w:rPr>
          <w:rFonts w:ascii="Calibri;sans-serif" w:hAnsi="Calibri;sans-serif"/>
          <w:b w:val="false"/>
          <w:color w:val="000000"/>
          <w:sz w:val="20"/>
        </w:rPr>
        <w:t xml:space="preserve">In March 2024, the FASB issued ASU 2024-01, </w:t>
      </w:r>
      <w:r>
        <w:rPr>
          <w:rFonts w:ascii="Calibri;sans-serif" w:hAnsi="Calibri;sans-serif"/>
          <w:b w:val="false"/>
          <w:i/>
          <w:color w:val="000000"/>
          <w:sz w:val="20"/>
        </w:rPr>
        <w:t>Compensation - Stock Compensation (Topic 718): Scope Application of Profits Interest and Similar Awards</w:t>
      </w:r>
      <w:r>
        <w:rPr>
          <w:rFonts w:ascii="Calibri;sans-serif" w:hAnsi="Calibri;sans-serif"/>
          <w:b w:val="false"/>
          <w:color w:val="000000"/>
          <w:sz w:val="20"/>
        </w:rPr>
        <w:t>. ASU 2024-01 clarifies ASC 718 scope application for profits interest and similar awards by adding illustrative examples. This guidance becomes effective for annual periods beginning after December 15, 2024 and interim periods within those annual periods. Early adoption is permitted. The Company is currently evaluating this guidance to determine the impact, but does not expect it to have a material impact on its Condensed Consolidated Financial Statements and related disclosures.</w:t>
      </w:r>
    </w:p>
    <w:p>
      <w:pPr>
        <w:pStyle w:val="TextBody"/>
        <w:bidi w:val="0"/>
        <w:spacing w:lineRule="auto" w:line="288" w:before="240" w:after="283"/>
        <w:jc w:val="left"/>
        <w:rPr/>
      </w:pPr>
      <w:r>
        <w:rPr>
          <w:rFonts w:ascii="Calibri;sans-serif" w:hAnsi="Calibri;sans-serif"/>
          <w:b w:val="false"/>
          <w:color w:val="000000"/>
          <w:sz w:val="20"/>
        </w:rPr>
        <w:t xml:space="preserve">In March 2024, the FASB issued ASU 2024-02, </w:t>
      </w:r>
      <w:r>
        <w:rPr>
          <w:rFonts w:ascii="Calibri;sans-serif" w:hAnsi="Calibri;sans-serif"/>
          <w:b w:val="false"/>
          <w:i/>
          <w:color w:val="000000"/>
          <w:sz w:val="20"/>
        </w:rPr>
        <w:t>Codification Improvements - Amendments to Remove References to the Concept Statements</w:t>
      </w:r>
      <w:r>
        <w:rPr>
          <w:rFonts w:ascii="Calibri;sans-serif" w:hAnsi="Calibri;sans-serif"/>
          <w:b w:val="false"/>
          <w:color w:val="000000"/>
          <w:sz w:val="20"/>
        </w:rPr>
        <w:t>. ASU 2024-02 removes references to various Concept Statements. This ASU is effective for fiscal years beginning after December 15, 2024. Early application of the amendments in the ASU is permitted. ASU 2024-02 can be applied prospectively or retrospectively. The Company is currently evaluating this guidance to determine the impact, but does not expect it to have a material impact on its Condensed Consolidated Financial Statements and related disclosures.</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Recent Accounting Pronouncements, Adopted</w:t>
      </w:r>
    </w:p>
    <w:p>
      <w:pPr>
        <w:pStyle w:val="TextBody"/>
        <w:bidi w:val="0"/>
        <w:spacing w:lineRule="auto" w:line="288" w:before="240" w:after="283"/>
        <w:jc w:val="left"/>
        <w:rPr/>
      </w:pPr>
      <w:r>
        <w:rPr>
          <w:rFonts w:ascii="Calibri;sans-serif" w:hAnsi="Calibri;sans-serif"/>
          <w:b w:val="false"/>
          <w:color w:val="000000"/>
          <w:sz w:val="20"/>
        </w:rPr>
        <w:t xml:space="preserve">In December 2023, the FASB issued ASU No. 2023-08, Intangibles - Goodwill and Other - Crypto Assets (Subtopic 350-60): Accounting for and Disclosure of Crypto Assets ("ASU 2023-08"), which is intended to improve the accounting for and disclosure of crypto assets. The amendments require crypto assets meeting the criteria to be recognized at fair value with changes recognized in net income each reporting period. Upon adoption, a cumulative-effect adjustment is made to the opening balance of retained earnings as of the beginning of the annual reporting period of adoption. This guidance is effective for fiscal years, and interim periods within those fiscal years, beginning after December 15, 2024, with early adoption permitted. The Company elected to adopt ASU 2023-08 effective January 1, 2024. As a result of adoption, the Company recorded a cumulative-effect adjustment to its </w:t>
      </w:r>
      <w:r>
        <w:rPr>
          <w:rFonts w:ascii="Calibri;sans-serif" w:hAnsi="Calibri;sans-serif"/>
          <w:b w:val="false"/>
          <w:i/>
          <w:color w:val="000000"/>
          <w:sz w:val="20"/>
        </w:rPr>
        <w:t>Accumulated deficit</w:t>
      </w:r>
      <w:r>
        <w:rPr>
          <w:color w:val="000000"/>
        </w:rPr>
        <w:t xml:space="preserve"> </w:t>
      </w:r>
      <w:r>
        <w:rPr>
          <w:rFonts w:ascii="Calibri;sans-serif" w:hAnsi="Calibri;sans-serif"/>
          <w:b w:val="false"/>
          <w:color w:val="000000"/>
          <w:sz w:val="20"/>
        </w:rPr>
        <w:t>balance of approximately $0.02 million as of January 1, 2024, as a result of recognizing its bitcoin held as of January 1, 2024, at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3. DISCONTINUED OPERATIONS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business is classified as held for sale when management having the authority to approve the action commits to a plan to sell or exit the business, the sale or exit is probable to occur during the next 12 months at a price or cost that is reasonable in relation to its current fair value and certain other criteria are met. A business classified as held for sale is recorded at the lower of its carrying amount or estimated fair value less cost to sell. When the carrying amount of the business exceeds its estimated fair value less cost to sell, a loss is recognized and updated each reporting period as appropriate.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At December 31, 2022, the Company classified the Support.com business as held for sale and discontinued operations in the condensed consolidated financial statements as a result of its strategic shift to strictly focus on its cryptocurrency datacenter and power generation operations. </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In January 2023, Greenidge completed the sale of a portion of the assets of Support.com for net proceeds of approximately $2.6 million. In June 2023, the Company entered into a purchase and sale agreement with third parties in order to sell certain remaining assets and liabilities, including the transfer of remaining customer contracts, for net proceeds of approximately $0.8 million. The Company has ended all Support.com operations as of December 31, 2023; therefore, the remaining assets and liabilities of Support.com have been presented as current at June 30, 2024 and December 31, 2023. The remaining assets and liabilities consist primarily of remaining prepaid expenses and refundable deposits, payables and accrued expenses associated with the closing of operations and foreign tax liabilities.</w:t>
      </w:r>
    </w:p>
    <w:p>
      <w:pPr>
        <w:pStyle w:val="TextBody"/>
        <w:bidi w:val="0"/>
        <w:spacing w:before="0" w:after="0"/>
        <w:jc w:val="left"/>
        <w:rPr/>
      </w:pPr>
      <w:r>
        <w:rPr/>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Major classes of assets and liabilities consist of the following:</w:t>
      </w:r>
    </w:p>
    <w:p>
      <w:pPr>
        <w:pStyle w:val="TextBody"/>
        <w:bidi w:val="0"/>
        <w:spacing w:before="0" w:after="0"/>
        <w:jc w:val="left"/>
        <w:rPr/>
      </w:pPr>
      <w:r>
        <w:rPr/>
      </w:r>
    </w:p>
    <w:tbl>
      <w:tblPr>
        <w:tblW w:w="7054" w:type="dxa"/>
        <w:jc w:val="left"/>
        <w:tblInd w:w="0" w:type="dxa"/>
        <w:tblLayout w:type="fixed"/>
        <w:tblCellMar>
          <w:top w:w="28" w:type="dxa"/>
          <w:left w:w="28" w:type="dxa"/>
          <w:bottom w:w="28" w:type="dxa"/>
          <w:right w:w="28" w:type="dxa"/>
        </w:tblCellMar>
      </w:tblPr>
      <w:tblGrid>
        <w:gridCol w:w="1255"/>
        <w:gridCol w:w="1102"/>
        <w:gridCol w:w="1108"/>
        <w:gridCol w:w="290"/>
        <w:gridCol w:w="640"/>
        <w:gridCol w:w="149"/>
        <w:gridCol w:w="109"/>
        <w:gridCol w:w="109"/>
        <w:gridCol w:w="109"/>
        <w:gridCol w:w="397"/>
        <w:gridCol w:w="879"/>
        <w:gridCol w:w="208"/>
        <w:gridCol w:w="109"/>
        <w:gridCol w:w="109"/>
        <w:gridCol w:w="109"/>
        <w:gridCol w:w="109"/>
        <w:gridCol w:w="109"/>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current assets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assets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classification to held for sale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 held for sale</w:t>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Financial results from discontinued operations consist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16"/>
        <w:gridCol w:w="1848"/>
        <w:gridCol w:w="1864"/>
        <w:gridCol w:w="211"/>
        <w:gridCol w:w="432"/>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5"/>
      </w:tblGrid>
      <w:tr>
        <w:trPr/>
        <w:tc>
          <w:tcPr>
            <w:tcW w:w="211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w:t>
              <w:br/>
              <w:t>June 30,</w:t>
            </w:r>
          </w:p>
        </w:tc>
      </w:tr>
      <w:tr>
        <w:trPr/>
        <w:tc>
          <w:tcPr>
            <w:tcW w:w="5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services and other (exclusive of depreciation and amortization)</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Merger and other costs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asset disposal</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assets classified as held for sale</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(loss), net</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82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Company’s effective income tax rate from discontinued operations for the three months ended June 30, 2024 and 2023 was 0% and 0%, respectively, and for the six months ended June 30, 2024 and 2023 was 0% and 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4. PROPERTY AND EQUIPMENT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Property and equipment, net consisted of the following at June 30, 2024 and December 31, 2023:</w:t>
      </w:r>
    </w:p>
    <w:tbl>
      <w:tblPr>
        <w:tblW w:w="7088" w:type="dxa"/>
        <w:jc w:val="left"/>
        <w:tblInd w:w="0" w:type="dxa"/>
        <w:tblLayout w:type="fixed"/>
        <w:tblCellMar>
          <w:top w:w="28" w:type="dxa"/>
          <w:left w:w="28" w:type="dxa"/>
          <w:bottom w:w="28" w:type="dxa"/>
          <w:right w:w="28" w:type="dxa"/>
        </w:tblCellMar>
      </w:tblPr>
      <w:tblGrid>
        <w:gridCol w:w="933"/>
        <w:gridCol w:w="822"/>
        <w:gridCol w:w="825"/>
        <w:gridCol w:w="414"/>
        <w:gridCol w:w="414"/>
        <w:gridCol w:w="416"/>
        <w:gridCol w:w="109"/>
        <w:gridCol w:w="109"/>
        <w:gridCol w:w="109"/>
        <w:gridCol w:w="219"/>
        <w:gridCol w:w="748"/>
        <w:gridCol w:w="113"/>
        <w:gridCol w:w="109"/>
        <w:gridCol w:w="109"/>
        <w:gridCol w:w="109"/>
        <w:gridCol w:w="297"/>
        <w:gridCol w:w="1016"/>
        <w:gridCol w:w="217"/>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Estimated Useful</w:t>
              <w:br/>
              <w:t>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32,195 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7,679 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6,229 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59,351 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55,669 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Accumulated depreciation</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(10,574)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42,258 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45,095 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Total depreciation expense was $3.3 million and $3.2 million for the three months ended June 30, 2024 and 2023, respectively and $6.5 million and $7.0 million six months ended June 30, 2024 and 2023,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January 30, 2023, Greenidge entered into an agreement regarding its 2021 and 2022 Master Equipment Finance Agreements with NYDIG. During the six months ended June 30, 2023, the Company transferred ownership of bitcoin mining equipment with net book value of $50.0 million and miner deposits of $7.4 million that remained accrued to Greenidge for previous purchases of mining equipment with a bitcoin miner manufacturer and the related debt was canceled pursuant to a debt settlement agreement entered into with NYDIG. The Company recognized a gain on the sale of assets of $1.2 million, which relates to the sale of bitcoin miner manufacturer coupons that were transferred as part of the debt restructuring agreement with NYDIG.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5. DEBT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on the Company’s debt agreements:</w:t>
      </w:r>
    </w:p>
    <w:tbl>
      <w:tblPr>
        <w:tblW w:w="10205" w:type="dxa"/>
        <w:jc w:val="left"/>
        <w:tblInd w:w="0" w:type="dxa"/>
        <w:tblLayout w:type="fixed"/>
        <w:tblCellMar>
          <w:top w:w="28" w:type="dxa"/>
          <w:left w:w="28" w:type="dxa"/>
          <w:bottom w:w="28" w:type="dxa"/>
          <w:right w:w="28" w:type="dxa"/>
        </w:tblCellMar>
      </w:tblPr>
      <w:tblGrid>
        <w:gridCol w:w="543"/>
        <w:gridCol w:w="444"/>
        <w:gridCol w:w="428"/>
        <w:gridCol w:w="109"/>
        <w:gridCol w:w="109"/>
        <w:gridCol w:w="109"/>
        <w:gridCol w:w="536"/>
        <w:gridCol w:w="536"/>
        <w:gridCol w:w="543"/>
        <w:gridCol w:w="109"/>
        <w:gridCol w:w="109"/>
        <w:gridCol w:w="109"/>
        <w:gridCol w:w="328"/>
        <w:gridCol w:w="311"/>
        <w:gridCol w:w="312"/>
        <w:gridCol w:w="109"/>
        <w:gridCol w:w="109"/>
        <w:gridCol w:w="109"/>
        <w:gridCol w:w="203"/>
        <w:gridCol w:w="203"/>
        <w:gridCol w:w="349"/>
        <w:gridCol w:w="109"/>
        <w:gridCol w:w="109"/>
        <w:gridCol w:w="109"/>
        <w:gridCol w:w="236"/>
        <w:gridCol w:w="809"/>
        <w:gridCol w:w="122"/>
        <w:gridCol w:w="109"/>
        <w:gridCol w:w="109"/>
        <w:gridCol w:w="109"/>
        <w:gridCol w:w="214"/>
        <w:gridCol w:w="732"/>
        <w:gridCol w:w="110"/>
        <w:gridCol w:w="109"/>
        <w:gridCol w:w="109"/>
        <w:gridCol w:w="109"/>
        <w:gridCol w:w="248"/>
        <w:gridCol w:w="848"/>
        <w:gridCol w:w="188"/>
      </w:tblGrid>
      <w:tr>
        <w:trPr/>
        <w:tc>
          <w:tcPr>
            <w:tcW w:w="5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Balance as of: </w:t>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Loan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Interest</w:t>
              <w:br/>
              <w:t xml:space="preserve">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 Financed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2021/December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Debt discount and issue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at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69,239 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68,710 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69,239 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68,710 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incurred interest expense of $1.8 million and $3.1 million during the three months ended June 30, 2024 and 2023, respectively, under the terms of these notes payable. The Company incurred interest expense of $3.6 million and $6.7 million during the six months ended June 30, 2024 and 2023, respectively, under the terms of these notes payable and other financings that were extinguished during the year ended December 31, 2023.</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Senior Unsecured Notes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fourth quarter of 2021, the Company sold $72.2 million of 8.50% Senior Notes due October 2026 (the "Notes") pursuant to the Company’s registration statement on Form S-1. Interest on the Notes is payable quarterly in arrears on January 31, April 30, July 31 and October 31 of each year to the holders of record at the close of business on the immediately preceding January 15, April 15, July 15 and October 15, respectively. The Notes are senior unsecured obligations of the Company and rank equal in right of payment with the Company’s existing and future senior unsecured indebtedness. The Notes trade on the Nasdaq Global Select Market under the symbol "GREEL."</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may redeem the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76" w:before="180" w:after="283"/>
        <w:jc w:val="left"/>
        <w:rPr>
          <w:rFonts w:ascii="Calibri;sans-serif" w:hAnsi="Calibri;sans-serif"/>
          <w:b/>
          <w:color w:val="000000"/>
          <w:sz w:val="20"/>
        </w:rPr>
      </w:pPr>
      <w:r>
        <w:rPr>
          <w:rFonts w:ascii="Calibri;sans-serif" w:hAnsi="Calibri;sans-serif"/>
          <w:b/>
          <w:color w:val="000000"/>
          <w:sz w:val="20"/>
        </w:rPr>
        <w:t>Minimum Future Principal Payments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Minimum future principal payments on debt at June 30, 2024 were as follows:</w:t>
      </w:r>
    </w:p>
    <w:tbl>
      <w:tblPr>
        <w:tblW w:w="2736" w:type="dxa"/>
        <w:jc w:val="left"/>
        <w:tblInd w:w="0" w:type="dxa"/>
        <w:tblLayout w:type="fixed"/>
        <w:tblCellMar>
          <w:top w:w="28" w:type="dxa"/>
          <w:left w:w="28" w:type="dxa"/>
          <w:bottom w:w="28" w:type="dxa"/>
          <w:right w:w="28" w:type="dxa"/>
        </w:tblCellMar>
      </w:tblPr>
      <w:tblGrid>
        <w:gridCol w:w="597"/>
        <w:gridCol w:w="525"/>
        <w:gridCol w:w="528"/>
        <w:gridCol w:w="211"/>
        <w:gridCol w:w="72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u w:val="single"/>
              </w:rPr>
            </w:pPr>
            <w:r>
              <w:rPr>
                <w:rFonts w:ascii="Calibri;sans-serif" w:hAnsi="Calibri;sans-serif"/>
                <w:b/>
                <w:color w:val="000000"/>
                <w:sz w:val="16"/>
                <w:u w:val="single"/>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Fair Value Disclosure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notional value and estimated fair value of the Company’s debt totaled $72.2 million and $33.2 million, respectively at June 30, 2024 and $72.2 million and $29.3 million, respectively at December 31, 2023. The notional value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include unamortized discounts on debt issuance costs of $3.0 million and $3.5 million at June 30, 2024 and December 31, 2023, respectively. The estimated fair value of the senior unsecured notes, representing the fair value of the Company's 8.50% senior secured notes due October 2026, was measured using quoted market prices at the reporting date. Such instruments were valued using Level 1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6. EARNINGS PER SHARE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calculates basic earnings per share by dividing the net income (loss) by the weighted average number of shares of common stock outstanding for the period. The diluted earnings (loss) per share is computed by assuming the exercise, settlement, and vesting of all potential dilutive common stock equivalents outstanding for the period using the treasury stock method.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following table sets forth a reconciliation of the numerator and denominator used to compute basic earnings and diluted per share of common stock (In thousands, except per share data): </w:t>
      </w:r>
    </w:p>
    <w:tbl>
      <w:tblPr>
        <w:tblW w:w="10205" w:type="dxa"/>
        <w:jc w:val="left"/>
        <w:tblInd w:w="0" w:type="dxa"/>
        <w:tblLayout w:type="fixed"/>
        <w:tblCellMar>
          <w:top w:w="28" w:type="dxa"/>
          <w:left w:w="28" w:type="dxa"/>
          <w:bottom w:w="28" w:type="dxa"/>
          <w:right w:w="28" w:type="dxa"/>
        </w:tblCellMar>
      </w:tblPr>
      <w:tblGrid>
        <w:gridCol w:w="1433"/>
        <w:gridCol w:w="1194"/>
        <w:gridCol w:w="1201"/>
        <w:gridCol w:w="211"/>
        <w:gridCol w:w="665"/>
        <w:gridCol w:w="109"/>
        <w:gridCol w:w="109"/>
        <w:gridCol w:w="109"/>
        <w:gridCol w:w="109"/>
        <w:gridCol w:w="211"/>
        <w:gridCol w:w="770"/>
        <w:gridCol w:w="109"/>
        <w:gridCol w:w="109"/>
        <w:gridCol w:w="109"/>
        <w:gridCol w:w="109"/>
        <w:gridCol w:w="211"/>
        <w:gridCol w:w="665"/>
        <w:gridCol w:w="109"/>
        <w:gridCol w:w="109"/>
        <w:gridCol w:w="109"/>
        <w:gridCol w:w="109"/>
        <w:gridCol w:w="211"/>
        <w:gridCol w:w="770"/>
        <w:gridCol w:w="109"/>
        <w:gridCol w:w="109"/>
        <w:gridCol w:w="109"/>
        <w:gridCol w:w="109"/>
        <w:gridCol w:w="109"/>
        <w:gridCol w:w="109"/>
        <w:gridCol w:w="109"/>
        <w:gridCol w:w="109"/>
        <w:gridCol w:w="109"/>
        <w:gridCol w:w="109"/>
        <w:gridCol w:w="109"/>
        <w:gridCol w:w="156"/>
      </w:tblGrid>
      <w:tr>
        <w:trPr/>
        <w:tc>
          <w:tcPr>
            <w:tcW w:w="143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Numerator</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from discontinued operations, net of tax</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Denominator</w:t>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weighted average shares outstanding</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dilutive securities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weighted average shares outstanding</w:t>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(loss) income per share, basic and diluted:</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from continuing operations,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share from discontinued operations, basic and diluted</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three and six months ended June 30, 2024 and 2023, because the Company was in a loss position, basic net loss per share is the same as diluted net loss per share, as the inclusion of the potential common shares would have been anti-dilutive.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sets forth potential shares of common stock that are not included in the diluted net loss per share calculation because to do so would be anti-dilutive for the period indicated (in thousands):</w:t>
      </w:r>
    </w:p>
    <w:tbl>
      <w:tblPr>
        <w:tblW w:w="7045" w:type="dxa"/>
        <w:jc w:val="left"/>
        <w:tblInd w:w="0" w:type="dxa"/>
        <w:tblLayout w:type="fixed"/>
        <w:tblCellMar>
          <w:top w:w="28" w:type="dxa"/>
          <w:left w:w="28" w:type="dxa"/>
          <w:bottom w:w="28" w:type="dxa"/>
          <w:right w:w="28" w:type="dxa"/>
        </w:tblCellMar>
      </w:tblPr>
      <w:tblGrid>
        <w:gridCol w:w="1634"/>
        <w:gridCol w:w="1437"/>
        <w:gridCol w:w="1444"/>
        <w:gridCol w:w="359"/>
        <w:gridCol w:w="359"/>
        <w:gridCol w:w="361"/>
        <w:gridCol w:w="109"/>
        <w:gridCol w:w="109"/>
        <w:gridCol w:w="109"/>
        <w:gridCol w:w="327"/>
        <w:gridCol w:w="327"/>
        <w:gridCol w:w="470"/>
      </w:tblGrid>
      <w:tr>
        <w:trPr/>
        <w:tc>
          <w:tcPr>
            <w:tcW w:w="16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Anti-dilutive securities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2023</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Restricted stock units</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shares issuable upon exercise of stock options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shares issuable upon exercise of warrants</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10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7. EQUITY BASED COMPENSATION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For the three months ended June 30, 2024, no additional shares had been granted under the 2021 Equity Plan. In October 2022, the Company registered 307,684 shares of Class A common stock, outside the 2021 Equity Plan, that were reserved for issuance upon the vesting and exercise of non-qualified stock options inducement grants.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RSAs and RSUs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Restricted stock awards ("RSA") are generally granted with an eligible vesting range from upon grant to over a three-year period. Restricted stock unit ("RSU") awards are generally eligible to vest over a three-year period.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unvested RSA and RSU award activity for the six months ended June 30, 2024 is summarized below:</w:t>
      </w:r>
    </w:p>
    <w:tbl>
      <w:tblPr>
        <w:tblW w:w="5364" w:type="dxa"/>
        <w:jc w:val="left"/>
        <w:tblInd w:w="0" w:type="dxa"/>
        <w:tblLayout w:type="fixed"/>
        <w:tblCellMar>
          <w:top w:w="28" w:type="dxa"/>
          <w:left w:w="28" w:type="dxa"/>
          <w:bottom w:w="28" w:type="dxa"/>
          <w:right w:w="28" w:type="dxa"/>
        </w:tblCellMar>
      </w:tblPr>
      <w:tblGrid>
        <w:gridCol w:w="962"/>
        <w:gridCol w:w="843"/>
        <w:gridCol w:w="849"/>
        <w:gridCol w:w="314"/>
        <w:gridCol w:w="314"/>
        <w:gridCol w:w="316"/>
        <w:gridCol w:w="109"/>
        <w:gridCol w:w="109"/>
        <w:gridCol w:w="109"/>
        <w:gridCol w:w="309"/>
        <w:gridCol w:w="904"/>
        <w:gridCol w:w="22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RSAs &amp;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Grant Date</w:t>
              <w:br/>
              <w:t>Fair Value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December 31, 2023</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June 30, 2024</w:t>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149,066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RSA and RSU grants are measured based on their fair market value on the date of grant and amortized over their requisite service periods. At June 30, 2024, there was approximately $0.4 million of total unrecognized compensation cost related to unvested restricted stock rights, which is expected to be recognized over a remaining weighted-average vesting period of approximately 1.41 years.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Common Stock Options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common stock options activity for the six months ended June 30, 2024 is summarized below:</w:t>
      </w:r>
    </w:p>
    <w:tbl>
      <w:tblPr>
        <w:tblW w:w="8894" w:type="dxa"/>
        <w:jc w:val="left"/>
        <w:tblInd w:w="0" w:type="dxa"/>
        <w:tblLayout w:type="fixed"/>
        <w:tblCellMar>
          <w:top w:w="28" w:type="dxa"/>
          <w:left w:w="28" w:type="dxa"/>
          <w:bottom w:w="28" w:type="dxa"/>
          <w:right w:w="28" w:type="dxa"/>
        </w:tblCellMar>
      </w:tblPr>
      <w:tblGrid>
        <w:gridCol w:w="1049"/>
        <w:gridCol w:w="922"/>
        <w:gridCol w:w="924"/>
        <w:gridCol w:w="109"/>
        <w:gridCol w:w="109"/>
        <w:gridCol w:w="109"/>
        <w:gridCol w:w="413"/>
        <w:gridCol w:w="413"/>
        <w:gridCol w:w="221"/>
        <w:gridCol w:w="109"/>
        <w:gridCol w:w="109"/>
        <w:gridCol w:w="109"/>
        <w:gridCol w:w="314"/>
        <w:gridCol w:w="918"/>
        <w:gridCol w:w="162"/>
        <w:gridCol w:w="109"/>
        <w:gridCol w:w="109"/>
        <w:gridCol w:w="109"/>
        <w:gridCol w:w="464"/>
        <w:gridCol w:w="464"/>
        <w:gridCol w:w="466"/>
        <w:gridCol w:w="109"/>
        <w:gridCol w:w="109"/>
        <w:gridCol w:w="109"/>
        <w:gridCol w:w="234"/>
        <w:gridCol w:w="450"/>
        <w:gridCol w:w="172"/>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Aggregate</w:t>
              <w:br/>
              <w:t>Intrinsic</w:t>
              <w:br/>
              <w:t>Value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458,982 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482,892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Exercisable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common stock option grants is measured based on their fair market value on the date of grant and amortized over their requisite service periods. At June 30, 2024, there was approximately $1.2 million of total unrecognized compensation cost related to unvested common stock options, which is expected to be recognized over a remaining weighted-average vesting period of approximately 1.78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April 26, 2024, the Company entered into a Release Agreement with a former employee to allow for an acceleration of vesting of remaining unvested options and extended post termination exercise period. The stock option modification resulted in $0.2 million of incremental compensation cost for the three and six months ended June 30, 2024, which was calculated using the Black-Scholes option-pricing model. The following assumptions were used for the Black-Scholes valuation: risk-free rate of 4.67%, expected life of 8.46 years, exercise price of $13.20, annualized volatility of 133.96%, and a dividend rate of 0%.</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Stock-Based Compensation</w:t>
      </w:r>
    </w:p>
    <w:p>
      <w:pPr>
        <w:pStyle w:val="TextBody"/>
        <w:bidi w:val="0"/>
        <w:spacing w:lineRule="auto" w:line="288" w:before="240" w:after="283"/>
        <w:jc w:val="left"/>
        <w:rPr/>
      </w:pPr>
      <w:r>
        <w:rPr>
          <w:rFonts w:ascii="Calibri;sans-serif" w:hAnsi="Calibri;sans-serif"/>
          <w:b w:val="false"/>
          <w:color w:val="000000"/>
          <w:sz w:val="20"/>
        </w:rPr>
        <w:t>The Company recognized stock-based compensation expense of $0.3 million and $0.6 million during the three months ended June 30, 2024 and 2023, respectively and $1.4 million and</w:t>
      </w:r>
      <w:r>
        <w:rPr>
          <w:color w:val="000000"/>
        </w:rPr>
        <w:t xml:space="preserve"> </w:t>
      </w:r>
      <w:r>
        <w:rPr>
          <w:rFonts w:ascii="Calibri;sans-serif" w:hAnsi="Calibri;sans-serif"/>
          <w:b w:val="false"/>
          <w:color w:val="000000"/>
          <w:sz w:val="20"/>
        </w:rPr>
        <w:t>$1.0 million during the six months ended June 30, 2024 and 2023, respectively. Stock-based compensation expense is included in selling, general and administrative expenses in the accompanying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8. INCOME TAXES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The effective tax rate for the three and six months ended June 30, 2024 was 0% which was lower than the statutory rate of 21% because the Company has recognized a full valuation allowance on its deferred tax assets. The Company continued to evaluate the realizability of deferred tax assets, due to continued reduced profitability, concluded that a valuation allowance should continue to be recognized for any deferred tax assets generated during the quarter. As a result, there was no net income tax benefit recorded for pretax losses of the U.S. operations in the three and six months ended June 30, 2024.</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effective tax rate for the three and six months ended June 30, 2023 was 0% which was lower than the statutory rate of 21% primarily related to historical net operating loss carryforwards of the Support.com business that was acquired in 2021, due to the reduced profitability caused by the declines in the price of bitcoin and the increased power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9. STOCKHOLDERS’ DEFICIT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Equity Purchase Agreement with B. Riley Principal Capital, LLC</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September 15, 2021, as amended on April 7, 2022, Greenidge entered into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connection with the Equity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Equity Purchase Agreement. The registration statement became effective on April 28, 2022 (the "Effective Date"), relating to the resale of 572,095 shares of Greenidge’s Class A common stock in connection with the Equity Purchase Agreement.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From the Effective Date to June 30, 2024, Greenidge issued 549,285 shares of Class A common stock to the Investor pursuant to the Equity Purchase Agreement for aggregate proceeds of $8.0 million, net of discounts, of which there were 45,269 shares issued for aggregate proceeds of $0.3 million, net of discounts, during the six months ended June 30, 2024. There were no shares issued during the three months ended June 30, 2024. The Equity Purchase Agreement automatically terminated pursuant to its terms on April 28, 2024.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On July 30, 2024, Greenidge entered into the Common Stock Purchase Agreement and related registration rights agreement with B. Riley Principal II, an affiliate of B. Riley Principal, pursuant to which Greenidge has the right to sell to B. Riley Principal II up to $20 million in shares of its Class A common stock, subject to certain limitations and the satisfaction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of specified conditions in the Common Stock Purchase Agreement, from time to time over the 36-month term of the Common Stock Purchase Agreement. See Note 16, "Subsequent Events", for further details. </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At The Market Issuance Sales Agreement with B. Riley Securities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On September 19, 2022, as amended on October 3, 2022, Greenidge entered into the ATM Agreement with B. Riley and Northland,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pays B. Riley commissions for its services in acting as sales agent, in an amount to up to 3.0%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October 1, 2022 through August 9, 2024, Greenidge issued 4,167,463 shares under the ATM Agreement for net proceeds of $20.7 million, of which no shares were issued for the three or six months ended June 30, 2024.</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Armistice Capital Agreement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February 12, 2024, the Company entered into a securities purchase agreement (the “SPA”) with Armistice Capital Master Fund Ltd. (“Armistice”). Pursuant to the SPA, Armistice purchased (i) 450,300 shares (the “Shares”) of the Company’s Class A common stock, and (ii) a pre-funded Class A common stock purchase warrant (the “Pre-Funded Warrant”) for 810,205 shares of the Company’s Class A common stock (the “Pre-Funded Warrant Shares”). The per share purchase price of the Shares and the Pre-Funded Warrant Shares was $4.76, resulting in aggregate gross proceeds of $6.0 million, and after giving effect to the exercise price of $0.0001 per Pre-Funded Warrant Share, the Company received net proceeds of $6.0 million. The Pre-Funded Warrant, which had an initial exercise date of February 14, 2024, was exercised in full during the six months ended June 30, 2024, which resulted in the issuance of 810,205 shares of common stock. In addition, the Company issued to Armistice a five (5) year Class A common stock purchase warrant entitling Armistice, commencing on August 14, 2024, to acquire up to 1,260,505 shares of the Company’s Class A common stock from time to time at an exercise price of $5.25 per share (the “Warrant Shares”).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pre-funded and common stock warrants were classified as a component of permanent stockholders’ equity within additional paid-in capital and were recorded at the issuance date using a relative fair value allocation method. The Company valued the pre-funded warrant at issuance, concluding that its sale price approximated their fair value, and allocated the aggregate net proceeds from the sale proportionately to the common stock and pre-funded warrant, including approximately $2.0 million allocated to the pre-funded warrant and recorded as a component of additional paid-in capital. The Company valued the common stock warrant using the Black-Scholes-Merton option pricing model and recorded as a component of additional paid-in capital with an allocated amount of $2.8 million. By analogy to ASC 505-20-30-3, the Company would have recorded a charge to retained earnings, however, as the Company is in a deficit position it was recorded as a component of additional paid-in capital.</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Warrants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the Company’s warrant activity:</w:t>
      </w:r>
    </w:p>
    <w:tbl>
      <w:tblPr>
        <w:tblW w:w="8605" w:type="dxa"/>
        <w:jc w:val="left"/>
        <w:tblInd w:w="0" w:type="dxa"/>
        <w:tblLayout w:type="fixed"/>
        <w:tblCellMar>
          <w:top w:w="28" w:type="dxa"/>
          <w:left w:w="28" w:type="dxa"/>
          <w:bottom w:w="28" w:type="dxa"/>
          <w:right w:w="28" w:type="dxa"/>
        </w:tblCellMar>
      </w:tblPr>
      <w:tblGrid>
        <w:gridCol w:w="1325"/>
        <w:gridCol w:w="1164"/>
        <w:gridCol w:w="1171"/>
        <w:gridCol w:w="594"/>
        <w:gridCol w:w="594"/>
        <w:gridCol w:w="596"/>
        <w:gridCol w:w="109"/>
        <w:gridCol w:w="109"/>
        <w:gridCol w:w="109"/>
        <w:gridCol w:w="681"/>
        <w:gridCol w:w="1652"/>
        <w:gridCol w:w="501"/>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Number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Weighted Average Exercise Price</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Warrants outstanding at December 31, 2023</w:t>
            </w:r>
          </w:p>
        </w:tc>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Issued</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2,070,710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Exercised</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(810,205)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0.0001 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Warrants outstanding at June 30, 2024</w:t>
            </w:r>
          </w:p>
        </w:tc>
        <w:tc>
          <w:tcPr>
            <w:tcW w:w="17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1,440,505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5.47 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information about warrants outstanding at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1"/>
        <w:gridCol w:w="589"/>
        <w:gridCol w:w="593"/>
        <w:gridCol w:w="805"/>
        <w:gridCol w:w="805"/>
        <w:gridCol w:w="807"/>
        <w:gridCol w:w="109"/>
        <w:gridCol w:w="109"/>
        <w:gridCol w:w="109"/>
        <w:gridCol w:w="770"/>
        <w:gridCol w:w="770"/>
        <w:gridCol w:w="772"/>
        <w:gridCol w:w="109"/>
        <w:gridCol w:w="109"/>
        <w:gridCol w:w="109"/>
        <w:gridCol w:w="283"/>
        <w:gridCol w:w="686"/>
        <w:gridCol w:w="146"/>
        <w:gridCol w:w="109"/>
        <w:gridCol w:w="109"/>
        <w:gridCol w:w="109"/>
        <w:gridCol w:w="444"/>
        <w:gridCol w:w="444"/>
        <w:gridCol w:w="639"/>
      </w:tblGrid>
      <w:tr>
        <w:trPr/>
        <w:tc>
          <w:tcPr>
            <w:tcW w:w="67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Number of Warrants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Number of Warrants Exercisable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Expiration Date</w:t>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December 2023 Warrants</w:t>
            </w:r>
          </w:p>
        </w:tc>
        <w:tc>
          <w:tcPr>
            <w:tcW w:w="24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December 11, 2024</w:t>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February 2024 Warrants</w:t>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1,260,505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August 14, 2029</w:t>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1,440,505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10. COMMITMENTS AND CONTINGENCIES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Legal Matters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such legal proceedings or claims that it believes will have a material adverse effect on its business, financial condition, or operating results.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Environmental Liabilities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has a CCR liability associated with the closure of a coal ash pond located on the Company’s property in the Town of Torrey, New York. In accordance with ASC 410-30, the Company has a liability of $17.3 million as of June 30, 2024 and December 31, 2023, respectively.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five years. Current estimates are based on various assumptions including, but not limited to, closure and post-closure cost estimates, timing of expenditures, escalation factors, and requirements of granted permits. Additional adjustments to the environment liability may occur periodically due to changes in remediation requirements regarding CCRs, which may lead to material changes in estimates and assumptions.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owns and operates a fully permitted landfill that also acts as a leachate treatment facility. In accordance with ASC 410-30, Environmental Obligations ("ASC 410-30"), the Company has recorded an environmental liability of $12.9 million as of June 30, 2024 and December 31, 2023.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2.4%.</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Commitments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entered into a contract with Empire Pipeline Incorporated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11. CONCENTRATIONS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has a single hosting customer that accounted for 51% and 66% of the company’s revenue during the three months ended June 30, 2024 and 2023, respectively, as well as 49% and 56% of the company’s revenue during the six months ended June 30, 2024 and 2023,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37% and 27% of total revenue for the three months ended June 30, 2024 and 2023, respectively, and 36% and 30% for the six months ended June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has one major power customer, NYISO, that accounted for 11% and 7% of its revenue for the three months ended June 30, 2024 and 2023, respectively, and 14% and 9% for the six months ended June 30, 2024 and 2023,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natural gas vendor that accounted for approximately 27% and 21% of cost of revenue for the three months ended June 30, 2024 and 2023, respectively, and 37% and 31% for the six months ended June 30, 2024 and 2023, respectively.</w:t>
      </w:r>
    </w:p>
    <w:p>
      <w:pPr>
        <w:pStyle w:val="TextBody"/>
        <w:bidi w:val="0"/>
        <w:spacing w:lineRule="auto" w:line="288" w:before="240" w:after="283"/>
        <w:jc w:val="left"/>
        <w:rPr/>
      </w:pPr>
      <w:r>
        <w:rPr>
          <w:rFonts w:ascii="Calibri;sans-serif" w:hAnsi="Calibri;sans-serif"/>
          <w:b w:val="false"/>
          <w:color w:val="000000"/>
          <w:sz w:val="20"/>
        </w:rPr>
        <w:t>The Company has one major provider of hosting services for its self-mining operation that accounted for approximately 11% and 17%</w:t>
      </w:r>
      <w:r>
        <w:rPr>
          <w:color w:val="000000"/>
        </w:rPr>
        <w:t xml:space="preserve"> </w:t>
      </w:r>
      <w:r>
        <w:rPr>
          <w:rFonts w:ascii="Calibri;sans-serif" w:hAnsi="Calibri;sans-serif"/>
          <w:b w:val="false"/>
          <w:color w:val="000000"/>
          <w:sz w:val="20"/>
        </w:rPr>
        <w:t>of cost of revenue for the three months ended June 30, 2024 and 2023, respectively, and 18% and 9%</w:t>
      </w:r>
      <w:r>
        <w:rPr>
          <w:color w:val="000000"/>
        </w:rPr>
        <w:t xml:space="preserve"> </w:t>
      </w:r>
      <w:r>
        <w:rPr>
          <w:rFonts w:ascii="Calibri;sans-serif" w:hAnsi="Calibri;sans-serif"/>
          <w:b w:val="false"/>
          <w:color w:val="000000"/>
          <w:sz w:val="20"/>
        </w:rPr>
        <w:t>of cost of revenue for the six months ended June 30, 2024 and 2023, respectively. During the six months ended June 30, 2024, the contract with the Company’s major provider of hosting services for its self-mining operation was terminated. As a result, the Company deployed the miners operated at the host’s site to sites they operate as part of its self-mining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12. RELATED PARTY TRANSACTIONS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Letters of Credit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Atlas, our controlling shareholder and a related party, obtained a letter of credit from a financial institution in the amount of $5.0 million at June 30, 2024 and December 31, 2023, payable to the NYSDEC. This letter of credit guarantees the current value of the Company’s landfill environmental trust liability. See Note 10, "Commitments and Contingencies" for further details.</w:t>
      </w:r>
    </w:p>
    <w:p>
      <w:pPr>
        <w:pStyle w:val="TextBody"/>
        <w:bidi w:val="0"/>
        <w:spacing w:lineRule="auto" w:line="288" w:before="240" w:after="283"/>
        <w:jc w:val="left"/>
        <w:rPr/>
      </w:pPr>
      <w:r>
        <w:rPr>
          <w:rFonts w:ascii="Calibri;sans-serif" w:hAnsi="Calibri;sans-serif"/>
          <w:b w:val="false"/>
          <w:color w:val="000000"/>
          <w:sz w:val="20"/>
        </w:rPr>
        <w:t>Atlas also has a letter of credit from a financial institution in the amount of $3.6 million at June 30, 2024 and December 31, 2023, payable to Empire Pipeline Incorporated (“Empire”) in the event the Company should not make contracted payments for costs related to a pipeline interconnection project the Company has entered into with Empire (see Note 10, "</w:t>
      </w:r>
      <w:r>
        <w:rPr>
          <w:rFonts w:ascii="Calibri;sans-serif" w:hAnsi="Calibri;sans-serif"/>
          <w:b w:val="false"/>
          <w:i/>
          <w:color w:val="000000"/>
          <w:sz w:val="20"/>
        </w:rPr>
        <w:t>Commitments and Contingencies"</w:t>
      </w:r>
      <w:r>
        <w:rPr>
          <w:rFonts w:ascii="Calibri;sans-serif" w:hAnsi="Calibri;sans-serif"/>
          <w:b w:val="false"/>
          <w:color w:val="000000"/>
          <w:sz w:val="20"/>
        </w:rPr>
        <w: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Mississippi Expansion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$1.45 million, of which $1.1 million was paid during the six months ended June 30, 2024 and $0.4 million paid in August 2024, which is included in related party payables in the accompanying unaudited consolidated balance sheet as of June 30, 2024. This property provides us with access to 32.5 MW of additional power capacity. The transaction closed in April 2024 and we deployed 7.5 MW of miners on the property in the second quarter of 2024.</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Other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Affiliates of Atlas from time to time incur certain costs for the benefit of Greenidge, which are fully reimbursed by Greenidge. Greenidge did not reimburse Atlas or its affiliates for any such costs during the quarter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13. SUPPLEMENTAL BALANCE SHEET AND CASH FLOW INFORMATION</w:t>
      </w:r>
    </w:p>
    <w:tbl>
      <w:tblPr>
        <w:tblW w:w="4585" w:type="dxa"/>
        <w:jc w:val="left"/>
        <w:tblInd w:w="0" w:type="dxa"/>
        <w:tblLayout w:type="fixed"/>
        <w:tblCellMar>
          <w:top w:w="28" w:type="dxa"/>
          <w:left w:w="28" w:type="dxa"/>
          <w:bottom w:w="28" w:type="dxa"/>
          <w:right w:w="28" w:type="dxa"/>
        </w:tblCellMar>
      </w:tblPr>
      <w:tblGrid>
        <w:gridCol w:w="598"/>
        <w:gridCol w:w="524"/>
        <w:gridCol w:w="527"/>
        <w:gridCol w:w="243"/>
        <w:gridCol w:w="711"/>
        <w:gridCol w:w="125"/>
        <w:gridCol w:w="109"/>
        <w:gridCol w:w="109"/>
        <w:gridCol w:w="109"/>
        <w:gridCol w:w="329"/>
        <w:gridCol w:w="961"/>
        <w:gridCol w:w="240"/>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Prepaid expenses:</w:t>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Electric deposits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insurance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 asset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Accrued expenses: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5,090 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4,729 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6,116 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had the following noncash investing and financing activities:</w:t>
      </w:r>
    </w:p>
    <w:tbl>
      <w:tblPr>
        <w:tblW w:w="7719" w:type="dxa"/>
        <w:jc w:val="left"/>
        <w:tblInd w:w="0" w:type="dxa"/>
        <w:tblLayout w:type="fixed"/>
        <w:tblCellMar>
          <w:top w:w="28" w:type="dxa"/>
          <w:left w:w="28" w:type="dxa"/>
          <w:bottom w:w="28" w:type="dxa"/>
          <w:right w:w="28" w:type="dxa"/>
        </w:tblCellMar>
      </w:tblPr>
      <w:tblGrid>
        <w:gridCol w:w="1943"/>
        <w:gridCol w:w="1706"/>
        <w:gridCol w:w="1721"/>
        <w:gridCol w:w="211"/>
        <w:gridCol w:w="616"/>
        <w:gridCol w:w="109"/>
        <w:gridCol w:w="109"/>
        <w:gridCol w:w="109"/>
        <w:gridCol w:w="109"/>
        <w:gridCol w:w="211"/>
        <w:gridCol w:w="721"/>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Cumulative-effect adjustment due to the adoption of ASU 2023-08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purchases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for amendment fee to lender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for professional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assets for reduction in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coupons for reduction in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equipment deposits for reduction in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debt 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supplemental cash flow information for cash paid for interest:</w:t>
      </w:r>
    </w:p>
    <w:tbl>
      <w:tblPr>
        <w:tblW w:w="4058" w:type="dxa"/>
        <w:jc w:val="left"/>
        <w:tblInd w:w="0" w:type="dxa"/>
        <w:tblLayout w:type="fixed"/>
        <w:tblCellMar>
          <w:top w:w="28" w:type="dxa"/>
          <w:left w:w="28" w:type="dxa"/>
          <w:bottom w:w="28" w:type="dxa"/>
          <w:right w:w="28" w:type="dxa"/>
        </w:tblCellMar>
      </w:tblPr>
      <w:tblGrid>
        <w:gridCol w:w="657"/>
        <w:gridCol w:w="577"/>
        <w:gridCol w:w="580"/>
        <w:gridCol w:w="211"/>
        <w:gridCol w:w="616"/>
        <w:gridCol w:w="109"/>
        <w:gridCol w:w="109"/>
        <w:gridCol w:w="109"/>
        <w:gridCol w:w="109"/>
        <w:gridCol w:w="211"/>
        <w:gridCol w:w="61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Cash paid for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14. DIGITAL ASSETS</w:t>
      </w:r>
    </w:p>
    <w:p>
      <w:pPr>
        <w:pStyle w:val="TextBody"/>
        <w:bidi w:val="0"/>
        <w:spacing w:lineRule="auto" w:line="288" w:before="240" w:after="283"/>
        <w:jc w:val="left"/>
        <w:rPr/>
      </w:pPr>
      <w:r>
        <w:rPr>
          <w:rFonts w:ascii="Calibri;sans-serif" w:hAnsi="Calibri;sans-serif"/>
          <w:b w:val="false"/>
          <w:color w:val="000000"/>
          <w:sz w:val="20"/>
        </w:rPr>
        <w:t>The following table presents our bitcoin holdings as of June 30, 2024</w:t>
      </w:r>
      <w:r>
        <w:rPr>
          <w:color w:val="000000"/>
        </w:rPr>
        <w:t xml:space="preserve"> </w:t>
      </w:r>
      <w:r>
        <w:rPr>
          <w:rFonts w:ascii="Calibri;sans-serif" w:hAnsi="Calibri;sans-serif"/>
          <w:b w:val="false"/>
          <w:color w:val="000000"/>
          <w:sz w:val="20"/>
        </w:rPr>
        <w:t>and December 31, 2023 (in thousands, except bitcoin held):</w:t>
      </w:r>
    </w:p>
    <w:tbl>
      <w:tblPr>
        <w:tblW w:w="5366" w:type="dxa"/>
        <w:jc w:val="left"/>
        <w:tblInd w:w="0" w:type="dxa"/>
        <w:tblLayout w:type="fixed"/>
        <w:tblCellMar>
          <w:top w:w="28" w:type="dxa"/>
          <w:left w:w="28" w:type="dxa"/>
          <w:bottom w:w="28" w:type="dxa"/>
          <w:right w:w="28" w:type="dxa"/>
        </w:tblCellMar>
      </w:tblPr>
      <w:tblGrid>
        <w:gridCol w:w="733"/>
        <w:gridCol w:w="644"/>
        <w:gridCol w:w="648"/>
        <w:gridCol w:w="280"/>
        <w:gridCol w:w="820"/>
        <w:gridCol w:w="145"/>
        <w:gridCol w:w="109"/>
        <w:gridCol w:w="109"/>
        <w:gridCol w:w="109"/>
        <w:gridCol w:w="448"/>
        <w:gridCol w:w="992"/>
        <w:gridCol w:w="329"/>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Digital assets holdings</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Number of bitcoin held</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Carrying basis of bitcoin</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Fair Value of bitcoin</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carrying basis represents the valuation of bitcoin at the time the Company earns the bitcoin through mining activities. The carrying amount for 8.7 bitcoin held as of December 31, 2023 was determined on the "cost-less-impairment" basis prior to the adoption of ASU 2023-08.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represents a reconciliation of the fair values of our digital assets (in thousands):</w:t>
      </w:r>
    </w:p>
    <w:tbl>
      <w:tblPr>
        <w:tblW w:w="6265" w:type="dxa"/>
        <w:jc w:val="left"/>
        <w:tblInd w:w="0" w:type="dxa"/>
        <w:tblLayout w:type="fixed"/>
        <w:tblCellMar>
          <w:top w:w="28" w:type="dxa"/>
          <w:left w:w="28" w:type="dxa"/>
          <w:bottom w:w="28" w:type="dxa"/>
          <w:right w:w="28" w:type="dxa"/>
        </w:tblCellMar>
      </w:tblPr>
      <w:tblGrid>
        <w:gridCol w:w="912"/>
        <w:gridCol w:w="802"/>
        <w:gridCol w:w="806"/>
        <w:gridCol w:w="487"/>
        <w:gridCol w:w="1076"/>
        <w:gridCol w:w="251"/>
        <w:gridCol w:w="109"/>
        <w:gridCol w:w="109"/>
        <w:gridCol w:w="109"/>
        <w:gridCol w:w="407"/>
        <w:gridCol w:w="900"/>
        <w:gridCol w:w="297"/>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b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Six Months Ended</w:t>
              <w:br/>
              <w:t>June 30, 2024</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Beginning balance at fair value</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11,774 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Dispositions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(11,230)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digital assets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Ending balance</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bitcoin holdings are not subject to contractual sale restrictions. As of June 30, 2024, the Company held no other digital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15. FAIR VALUE</w:t>
      </w:r>
    </w:p>
    <w:p>
      <w:pPr>
        <w:pStyle w:val="TextBody"/>
        <w:bidi w:val="0"/>
        <w:spacing w:lineRule="auto" w:line="288" w:before="240" w:after="283"/>
        <w:jc w:val="left"/>
        <w:rPr/>
      </w:pPr>
      <w:r>
        <w:rPr>
          <w:rFonts w:ascii="Calibri;sans-serif" w:hAnsi="Calibri;sans-serif"/>
          <w:b w:val="false"/>
          <w:color w:val="000000"/>
          <w:sz w:val="20"/>
        </w:rPr>
        <w:t xml:space="preserve">The Company follows the guidance in ASC Topic 820, </w:t>
      </w:r>
      <w:r>
        <w:rPr>
          <w:rFonts w:ascii="Calibri;sans-serif" w:hAnsi="Calibri;sans-serif"/>
          <w:b w:val="false"/>
          <w:i/>
          <w:color w:val="000000"/>
          <w:sz w:val="20"/>
        </w:rPr>
        <w:t>Fair Value Measurement</w:t>
      </w:r>
      <w:r>
        <w:rPr>
          <w:rFonts w:ascii="Calibri;sans-serif" w:hAnsi="Calibri;sans-serif"/>
          <w:b w:val="false"/>
          <w:color w:val="000000"/>
          <w:sz w:val="20"/>
        </w:rPr>
        <w: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Level 1 inputs: Unadjusted quoted prices in active markets for identical assets or liabilities accessible to the reporting entity at the measurement date.</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Level 2 inputs: Other than quoted prices included in Level 1 inputs that are observable for the asset or liability, either directly or indirectly, for substantially the full term of the asset or liability.</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As of June 30, 2024, and December 31, 2023, the carrying amount of accounts receivable, prepaid expenses and other assets, income tax receivable, emissions and carbon offset credits, income tax receivable, accounts payable,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expenses, accrued emissions expense, and other short-term liabilities approximated their fair value due to their relatively short maturities.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tables present information about the Company’s assets and liabilities that are measured at fair value on a recurring basis and indicate the fair value hierarchy of the valuation inputs the Company utilized to determine such fair value (in thousands):</w:t>
      </w:r>
    </w:p>
    <w:tbl>
      <w:tblPr>
        <w:tblW w:w="7560" w:type="dxa"/>
        <w:jc w:val="left"/>
        <w:tblInd w:w="0" w:type="dxa"/>
        <w:tblLayout w:type="fixed"/>
        <w:tblCellMar>
          <w:top w:w="28" w:type="dxa"/>
          <w:left w:w="28" w:type="dxa"/>
          <w:bottom w:w="28" w:type="dxa"/>
          <w:right w:w="28" w:type="dxa"/>
        </w:tblCellMar>
      </w:tblPr>
      <w:tblGrid>
        <w:gridCol w:w="1269"/>
        <w:gridCol w:w="1110"/>
        <w:gridCol w:w="1131"/>
        <w:gridCol w:w="211"/>
        <w:gridCol w:w="406"/>
        <w:gridCol w:w="109"/>
        <w:gridCol w:w="109"/>
        <w:gridCol w:w="109"/>
        <w:gridCol w:w="109"/>
        <w:gridCol w:w="211"/>
        <w:gridCol w:w="406"/>
        <w:gridCol w:w="109"/>
        <w:gridCol w:w="109"/>
        <w:gridCol w:w="109"/>
        <w:gridCol w:w="109"/>
        <w:gridCol w:w="211"/>
        <w:gridCol w:w="466"/>
        <w:gridCol w:w="109"/>
        <w:gridCol w:w="109"/>
        <w:gridCol w:w="109"/>
        <w:gridCol w:w="109"/>
        <w:gridCol w:w="211"/>
        <w:gridCol w:w="46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As of December 31, 2023</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current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60" w:type="dxa"/>
        <w:jc w:val="left"/>
        <w:tblInd w:w="0" w:type="dxa"/>
        <w:tblLayout w:type="fixed"/>
        <w:tblCellMar>
          <w:top w:w="28" w:type="dxa"/>
          <w:left w:w="28" w:type="dxa"/>
          <w:bottom w:w="28" w:type="dxa"/>
          <w:right w:w="28" w:type="dxa"/>
        </w:tblCellMar>
      </w:tblPr>
      <w:tblGrid>
        <w:gridCol w:w="1271"/>
        <w:gridCol w:w="1115"/>
        <w:gridCol w:w="1124"/>
        <w:gridCol w:w="211"/>
        <w:gridCol w:w="466"/>
        <w:gridCol w:w="109"/>
        <w:gridCol w:w="109"/>
        <w:gridCol w:w="109"/>
        <w:gridCol w:w="109"/>
        <w:gridCol w:w="211"/>
        <w:gridCol w:w="406"/>
        <w:gridCol w:w="109"/>
        <w:gridCol w:w="109"/>
        <w:gridCol w:w="109"/>
        <w:gridCol w:w="109"/>
        <w:gridCol w:w="211"/>
        <w:gridCol w:w="406"/>
        <w:gridCol w:w="109"/>
        <w:gridCol w:w="109"/>
        <w:gridCol w:w="109"/>
        <w:gridCol w:w="109"/>
        <w:gridCol w:w="211"/>
        <w:gridCol w:w="46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As of June 30, 2024</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current other assets: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 asset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Warrant Asset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fair value of the warrant asset was estimated by utilizing a Black-Scholes-Merton option pricing model. The inputs into the Black-Scholes-Merton option pricing model included significant unobservable inputs. The following table provides quantitative information regarding the Level 3 fair value inputs:</w:t>
      </w:r>
    </w:p>
    <w:tbl>
      <w:tblPr>
        <w:tblW w:w="5485" w:type="dxa"/>
        <w:jc w:val="left"/>
        <w:tblInd w:w="0" w:type="dxa"/>
        <w:tblLayout w:type="fixed"/>
        <w:tblCellMar>
          <w:top w:w="28" w:type="dxa"/>
          <w:left w:w="28" w:type="dxa"/>
          <w:bottom w:w="28" w:type="dxa"/>
          <w:right w:w="28" w:type="dxa"/>
        </w:tblCellMar>
      </w:tblPr>
      <w:tblGrid>
        <w:gridCol w:w="776"/>
        <w:gridCol w:w="682"/>
        <w:gridCol w:w="686"/>
        <w:gridCol w:w="273"/>
        <w:gridCol w:w="661"/>
        <w:gridCol w:w="311"/>
        <w:gridCol w:w="109"/>
        <w:gridCol w:w="109"/>
        <w:gridCol w:w="109"/>
        <w:gridCol w:w="370"/>
        <w:gridCol w:w="897"/>
        <w:gridCol w:w="502"/>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 Price</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5.21 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5.14 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Volatility</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67.09 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172.64 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Remaining term (in years)</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Assets Measured on a Nonrecurring Basis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There were no impairment charges for the three months ended June 30, 2024 and 2023. During the six months ended June 30, 2024, the Company recognized an impairment charge of $0.2 million of property and equipment, net. There were no impairment charges for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16. SUBSEQUENT EVENTS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Subsequent events have been evaluated through August 14, 2024, the date at which the condensed consolidated financial statements were available to be issued, and the Company has concluded that no such events or transactions took place that would require disclosure herein except as stated directly below.</w:t>
      </w:r>
    </w:p>
    <w:p>
      <w:pPr>
        <w:pStyle w:val="TextBody"/>
        <w:bidi w:val="0"/>
        <w:spacing w:lineRule="auto" w:line="288" w:before="240" w:after="240"/>
        <w:jc w:val="left"/>
        <w:rPr>
          <w:rFonts w:ascii="Calibri;sans-serif" w:hAnsi="Calibri;sans-serif"/>
          <w:b/>
          <w:color w:val="000000"/>
          <w:sz w:val="20"/>
        </w:rPr>
      </w:pPr>
      <w:r>
        <w:rPr>
          <w:rFonts w:ascii="Calibri;sans-serif" w:hAnsi="Calibri;sans-serif"/>
          <w:b/>
          <w:color w:val="000000"/>
          <w:sz w:val="20"/>
        </w:rPr>
        <w:t>Common Stock Purchase Agreement with B. Riley Principal Capital II, LLC</w:t>
      </w:r>
    </w:p>
    <w:p>
      <w:pPr>
        <w:pStyle w:val="TextBody"/>
        <w:bidi w:val="0"/>
        <w:spacing w:lineRule="auto" w:line="288" w:before="240" w:after="240"/>
        <w:jc w:val="left"/>
        <w:rPr>
          <w:rFonts w:ascii="Calibri;sans-serif" w:hAnsi="Calibri;sans-serif"/>
          <w:b w:val="false"/>
          <w:color w:val="000000"/>
          <w:sz w:val="20"/>
        </w:rPr>
      </w:pPr>
      <w:r>
        <w:rPr>
          <w:rFonts w:ascii="Calibri;sans-serif" w:hAnsi="Calibri;sans-serif"/>
          <w:b w:val="false"/>
          <w:color w:val="000000"/>
          <w:sz w:val="20"/>
        </w:rPr>
        <w:t>On July 30, 2024, the Company entered into the Common Stock Purchase Agreement and a related registration rights agreement, each dated as of July 30, 2024, with B. Riley Principal Capital II. Upon the terms and subject to the satisfaction of the conditions set forth in the Common Stock Purchase Agreement, the Company will have the right, in its sole discretion, to sell to B. Riley Principal Capital II up to $20,000,000 of newly issued shares of the Company’s Class A common stock, subject to certain conditions and limitations contained in the Common Stock Purchase Agreement, from time to time during the 36-month term of the Purchase Agreement. Sales of Class A common stock by the Company to B. Riley Principal Capital II pursuant to the Common Stock Purchase Agreement, and the timing of any such sales, are solely at the option of the Company, and the Company is under no obligation to sell any securities to B. Riley Principal Capital II under the Common Stock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Calibri;sans-serif" w:hAnsi="Calibri;sans-serif"/>
          <w:b w:val="false"/>
          <w:i/>
          <w:color w:val="000000"/>
          <w:sz w:val="20"/>
        </w:rPr>
        <w:t xml:space="preserve">The following discussion should be read together with the audited financial statements and the related notes thereto of Greenidge Generation Holdings Inc. (“Greenidge”), together with its consolidated subsidiaries (the “Company”) for the years ended December 31, 2023 and 2022 included in our Annual Report on Form 10-K and the unaudited interim financial statements and related notes thereto of the Company for the three and six months ended June 30, 2024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2023 </w:t>
      </w:r>
      <w:r>
        <w:rPr>
          <w:rFonts w:ascii="Calibri;sans-serif" w:hAnsi="Calibri;sans-serif"/>
          <w:b w:val="false"/>
          <w:color w:val="000000"/>
          <w:sz w:val="20"/>
        </w:rPr>
        <w:t>and in this Quarterly Report on Form 10-Q,</w:t>
      </w:r>
      <w:r>
        <w:rPr>
          <w:color w:val="000000"/>
        </w:rPr>
        <w:t xml:space="preserve"> </w:t>
      </w:r>
      <w:r>
        <w:rPr>
          <w:rFonts w:ascii="Calibri;sans-serif" w:hAnsi="Calibri;sans-serif"/>
          <w:b w:val="false"/>
          <w:i/>
          <w:color w:val="000000"/>
          <w:sz w:val="20"/>
        </w:rPr>
        <w:t>and “Cautionary Statement Regarding Forward-Looking Statements” sections of this Quarterly Report on Form 10-Q. Actual results may differ materially from those contained in any forward-looking statements. For purposes of this section, “Greenidge“, “the Company,” “we,” “us” and “our” refer to Greenidge Generation Holdings Inc. together with its consolidated subsidiaries. You should carefully read “Cautionary Statement Regarding Forward-Looking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own cryptocurrency datacenter operations in the Town of Torrey, New York (the "New York Facility"), the Town of Columbia, Mississippi (the "Mississippi Facility"), and lease property for purposes of operating a cryptocurrency datacenter in the Town of Underwood, North Dakota (the "North Dakota Facility" and, together with the New York Facility, Mississippi Facility, and a facility in Spartanburg, South Carolina (the "South Carolina Facility", and collectively, the "facilities"). The New York Facility is a vertically integrated cryptocurrency datacenter and power generation facility with an approximately 106 megawatt ("MW") nameplate capacity, natural gas power generation facility. We generate revenue from four primary sources: (1) datacenter hosting, which we commenced on January 30, 2023, (2) cryptocurrency mining, (3) power and capacity, and (4) engineering procurement and construction management.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assist in meeting the power needs of homes and businesses in the region served by our New York Facility.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datacenter operations consists of approximately 28,910 miners with approximately 3.0 EH/S of combined capacity for both datacenter hosting and cryptocurrency mining, of which 18,200 miners or 1.8 EH/s, is associated with datacenter hosting and 10,710 miners, or 1.2 EH/s is associated with our cryptocurrency mining. In 2023, prior to the South Carolina transaction, our datacenter operations consisted of approximately 42,300 miners with approximately 4.6 EH/s of combined capacity for both datacenter hosting and cryptocurrency mining, of which 32,100 miners, or 3.4 EH/s, were associated with datacenter hosting and 10,200 miners, or 1.2 EH/s, were associated with Greenidge’s cryptocurrency mining.</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Recent Developments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In the first six months of 2024, Greenidge has made significant efforts to reduce costs, leading to selling, general and administrative expense reductions of $6.4 million compared to the same period in 2023. Greenidge also reported a reduction in operating costs for its Bitcoin mining operations in the second quarter of 2024, when compared to the first quarter of 2024, while expanding its footprint.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April 10, 2024, we closed on the purchase of a parcel of land containing approximately 12 acres located in Columbus, Mississippi, including over 73,000 square feet of industrial warehouse space, from a subsidiary of Motus Pivot Inc., a portfolio company of Atlas, our controlling shareholder and a related party. The purchase price was $1.45 million, of which $1.1 million was paid during the six months ended June 30, 2024 and $0.4 million paid in August 2024. This property provides us with access to 32.5 MW of additional power capacity. The transaction closed in April 2024, and we deployed 7.5 MW of miners on the property in the second quarter of 2024. We have also deployed additional miners in conjunction with a 7.5 MW mining capacity lease in North Dakota, which has a term of five years and provides us with energy to power mining.</w:t>
      </w:r>
    </w:p>
    <w:p>
      <w:pPr>
        <w:pStyle w:val="TextBody"/>
        <w:bidi w:val="0"/>
        <w:spacing w:lineRule="auto" w:line="268" w:before="120" w:after="283"/>
        <w:jc w:val="both"/>
        <w:rPr>
          <w:rFonts w:ascii="Calibri;sans-serif" w:hAnsi="Calibri;sans-serif"/>
          <w:b w:val="false"/>
          <w:color w:val="000000"/>
          <w:sz w:val="20"/>
        </w:rPr>
      </w:pPr>
      <w:r>
        <w:rPr>
          <w:rFonts w:ascii="Calibri;sans-serif" w:hAnsi="Calibri;sans-serif"/>
          <w:b w:val="false"/>
          <w:color w:val="000000"/>
          <w:sz w:val="20"/>
        </w:rPr>
        <w:t>The Company’s successfully executed the June 2024 planned maintenance outage of the New York Facility and relocation of owned miners from third-party operated sites to Company-operated facilities in the second quarter of 2024 resulted in the Company’s miners being non-operational for a period. The Company anticipates such actions will positively impact its profitability in the near term by reducing operational costs and maintaining elevated uptime levels. The Company also continues to explore additional opportunities to further streamline operations and improve efficiency across its business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 July 2024, the Company announced the launch of its Pod X portable cryptocurrency mining infrastructure solution, which is deployed at the Company's facilities across the country and reflects a culmination of the Company's experience in maintaining optimal temperature control and uptime using portable mining equipment. </w:t>
      </w:r>
    </w:p>
    <w:p>
      <w:pPr>
        <w:pStyle w:val="TextBody"/>
        <w:bidi w:val="0"/>
        <w:spacing w:lineRule="auto" w:line="288" w:before="240" w:after="240"/>
        <w:jc w:val="left"/>
        <w:rPr>
          <w:rFonts w:ascii="Calibri;sans-serif" w:hAnsi="Calibri;sans-serif"/>
          <w:b w:val="false"/>
          <w:color w:val="000000"/>
          <w:sz w:val="20"/>
        </w:rPr>
      </w:pPr>
      <w:r>
        <w:rPr>
          <w:rFonts w:ascii="Calibri;sans-serif" w:hAnsi="Calibri;sans-serif"/>
          <w:b w:val="false"/>
          <w:color w:val="000000"/>
          <w:sz w:val="20"/>
        </w:rPr>
        <w:t>On August 1, 2024, the Company announced its new bitcoin self-mining retention strategy, which enables it to accumulate bitcoin from its owned miners in order to increase its bitcoin holdings.</w:t>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Discontinued Operations</w:t>
      </w:r>
    </w:p>
    <w:p>
      <w:pPr>
        <w:pStyle w:val="TextBody"/>
        <w:bidi w:val="0"/>
        <w:spacing w:lineRule="auto" w:line="288" w:before="240" w:after="283"/>
        <w:jc w:val="left"/>
        <w:rPr/>
      </w:pPr>
      <w:r>
        <w:rPr>
          <w:rFonts w:ascii="Calibri;sans-serif" w:hAnsi="Calibri;sans-serif"/>
          <w:b w:val="false"/>
          <w:color w:val="000000"/>
          <w:sz w:val="20"/>
        </w:rPr>
        <w:t>The contract with Support.com’s largest customer expired on December 31, 2022 and was not renewed. As a result, we have classified the Support.com business as held for sale and discontinued operations in these condensed consolidated financial statements as a result of management and the board of directors making a decision to pursue alternatives for the Support.com business and to strictly focus on its cryptocurrency mining, datacenter hosting and power generation operations.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of our unaudited condensed consolidated financial statements for additional information.</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Growth Opportunities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view our growth opportunities as primarily related to the following areas: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Acquisition of properties with low-cost power</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Development of owned properties for artificial intelligence ("AI")/graphics processing unit ("GPU") data center, bitcoin self-mining and bitcoin hosting</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Sale of owned properties for AI/GPU data center construction</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Infrastructure services and development for AI and high-performance computing ("HPC")</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Purchase and deployment of GPUs for AI and HPC</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Sale of Greenidge Pod X infrastructure solutions for miners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Engineering Procurement and Construction Management ("EPCM") contracts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Purchase and deployment of high efficiency bitcoin mining rigs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Hosting services for bitcoin mining</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Acquisition of private bitcoin mining companies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is actively pursuing the acquisition of additional properties with access to low-cost power and appropriate size to allow for efficient expansion of AI/GPU data centers and/or bitcoin mining facilities, such as the Columbus property. The growth of AI and HPC will provide significant demand for development of future data centers utilizing large amounts of energy. We currently have significant infrastructure on hand to reduce the cost of site development for various future projects. All current and future properties will be simultaneously evaluated for internal development or outright sales.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has purchased GPUs for a pilot program related to the rental of computing power for AI and HPC. We are utilizing the pilot program to ensure our investments in the AI/GPU data center space efficiently utilize capital to align with the anticipated growth and demand for our offerings.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is continuing to develop and market its EPCM services in order to provide greater short-term growth. We believe feedback from previous and current clients has shown that we offer a superior product with respect to the development of bitcoin mining facilities.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will also continue to evaluate the benefits of finding accretive acquisitions, specifically in the bitcoin mining sector.</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Title V Air Permit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In late June 2022, the New York State Department of Environmental Conservation ("NYSDEC") announced its denial of the Title V Air Permit renewal for our New York Facility. We filed a notice with NYSDEC in July 2022 requesting a hearing on NYSDEC’s decision. In September 2023, the administrative law judge presiding over the hearing issued a ruling with respect to the status of the parties and certain issues to be adjudicated in the hearing. We submitted an interim appeal with NYSDEC thereafter challenging such ruling with a motion to stay the broader appeals process while the interim appeal was being resolved. On May 8, 2024, our interim appeal to NYSDEC and request for an adjudicatory hearing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ultimately denied, and the June 2022 non-renewal of our Title V Air Permit was affirmed by NYSDEC’s Regional Director for Region 7, which rendered NYSDEC’s decision final for purposes of seeking judicial review. We have four months from May 8, 2024 to continue to operate the New York Facility uninterrupted under a State Administrative Procedures Act extension, in full compliance with our existing Title V Air Permit, and to bring an action challenging the denial of our permit renewal application. While no further adjudication proceedings have been scheduled to date, we intend to challenge the June 2022 non-renewal and simultaneously bring a request for temporary restraining order/preliminary injunction to allow the New York Facility to continue operating during the pendency of the litigation. This challenge will cause us to incur additional costs and result in the diversion of management attention, which could adversely affect our business, financial condition and results of operations. We expect that the judicial proceedings related to the challenge of NYSDEC’s denial of our Title V Air Permit renewal application may take a number of years to fully resolve, and there can be no assurance that our efforts will be successful. Our inability to secure a temporary restraining order or preliminary injunction to allow the New York Facility to continue operating during the pendency of the litigation or to otherwise succeed in securing a renewal of our Title V Air Permit for the New York Facility could have a material adverse effect on us and our ability to continue operating as a going concern. See Note 2, “Summary of Significant Accounting Policies,” in the Notes to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u w:val="single"/>
        </w:rPr>
      </w:pPr>
      <w:r>
        <w:rPr>
          <w:rFonts w:ascii="Calibri;sans-serif" w:hAnsi="Calibri;sans-serif"/>
          <w:b/>
          <w:color w:val="000000"/>
          <w:sz w:val="20"/>
          <w:u w:val="single"/>
        </w:rPr>
        <w:t>Results from Continuing Operations - Three Months Ended June 30, 2024</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and should be read in conjunction with our condensed consolidated financial statements and related notes. All comparisons below refer to the three months ended June 30, 2024 versus the three months ended June 30, 2023, unless otherwise specified.</w:t>
      </w:r>
    </w:p>
    <w:tbl>
      <w:tblPr>
        <w:tblW w:w="10038" w:type="dxa"/>
        <w:jc w:val="left"/>
        <w:tblInd w:w="0" w:type="dxa"/>
        <w:tblLayout w:type="fixed"/>
        <w:tblCellMar>
          <w:top w:w="28" w:type="dxa"/>
          <w:left w:w="28" w:type="dxa"/>
          <w:bottom w:w="28" w:type="dxa"/>
          <w:right w:w="28" w:type="dxa"/>
        </w:tblCellMar>
      </w:tblPr>
      <w:tblGrid>
        <w:gridCol w:w="1780"/>
        <w:gridCol w:w="1571"/>
        <w:gridCol w:w="1583"/>
        <w:gridCol w:w="211"/>
        <w:gridCol w:w="691"/>
        <w:gridCol w:w="241"/>
        <w:gridCol w:w="109"/>
        <w:gridCol w:w="109"/>
        <w:gridCol w:w="109"/>
        <w:gridCol w:w="211"/>
        <w:gridCol w:w="691"/>
        <w:gridCol w:w="241"/>
        <w:gridCol w:w="109"/>
        <w:gridCol w:w="109"/>
        <w:gridCol w:w="109"/>
        <w:gridCol w:w="211"/>
        <w:gridCol w:w="691"/>
        <w:gridCol w:w="109"/>
        <w:gridCol w:w="109"/>
        <w:gridCol w:w="109"/>
        <w:gridCol w:w="109"/>
        <w:gridCol w:w="269"/>
        <w:gridCol w:w="271"/>
        <w:gridCol w:w="286"/>
      </w:tblGrid>
      <w:tr>
        <w:trPr/>
        <w:tc>
          <w:tcPr>
            <w:tcW w:w="178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digital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(3,700)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from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(23.6)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(16.1)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Calibri;sans-serif" w:hAnsi="Calibri;sans-serif"/>
          <w:b w:val="false"/>
          <w:color w:val="000000"/>
          <w:sz w:val="20"/>
        </w:rPr>
        <w:t>(a)</w:t>
      </w:r>
      <w:r>
        <w:rPr>
          <w:rFonts w:ascii="Calibri;sans-serif" w:hAnsi="Calibri;sans-serif"/>
          <w:b w:val="false"/>
          <w:color w:val="000000"/>
          <w:sz w:val="20"/>
        </w:rPr>
        <w:t>Adjusted Amounts and Other Financial Data are non-GAAP performance measures. A reconciliation of reported amounts to adjusted amounts can be found in the "Non-GAAP Measures and Reconciliations" section of this Management’s Discussion and Analysis ("MD&amp;A").</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Key Metrics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three months ended June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752" w:type="dxa"/>
        <w:jc w:val="left"/>
        <w:tblInd w:w="0" w:type="dxa"/>
        <w:tblLayout w:type="fixed"/>
        <w:tblCellMar>
          <w:top w:w="28" w:type="dxa"/>
          <w:left w:w="28" w:type="dxa"/>
          <w:bottom w:w="28" w:type="dxa"/>
          <w:right w:w="28" w:type="dxa"/>
        </w:tblCellMar>
      </w:tblPr>
      <w:tblGrid>
        <w:gridCol w:w="1643"/>
        <w:gridCol w:w="1445"/>
        <w:gridCol w:w="1456"/>
        <w:gridCol w:w="220"/>
        <w:gridCol w:w="756"/>
        <w:gridCol w:w="241"/>
        <w:gridCol w:w="109"/>
        <w:gridCol w:w="109"/>
        <w:gridCol w:w="109"/>
        <w:gridCol w:w="220"/>
        <w:gridCol w:w="756"/>
        <w:gridCol w:w="241"/>
        <w:gridCol w:w="109"/>
        <w:gridCol w:w="109"/>
        <w:gridCol w:w="109"/>
        <w:gridCol w:w="211"/>
        <w:gridCol w:w="721"/>
        <w:gridCol w:w="109"/>
        <w:gridCol w:w="109"/>
        <w:gridCol w:w="109"/>
        <w:gridCol w:w="109"/>
        <w:gridCol w:w="233"/>
        <w:gridCol w:w="233"/>
        <w:gridCol w:w="286"/>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100,788 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135,161 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 per MWh</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73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Bitcoins produced:</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bitcoin price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65,773 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737,654 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577,090 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Hosted miners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1,512,430 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2,065,269 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difficulty</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84.8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35.3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60"/>
        <w:jc w:val="left"/>
        <w:rPr/>
      </w:pPr>
      <w:r>
        <w:rPr/>
      </w:r>
    </w:p>
    <w:p>
      <w:pPr>
        <w:pStyle w:val="TextBody"/>
        <w:bidi w:val="0"/>
        <w:spacing w:lineRule="auto" w:line="288" w:before="120" w:after="60"/>
        <w:jc w:val="left"/>
        <w:rPr>
          <w:rFonts w:ascii="Calibri;sans-serif" w:hAnsi="Calibri;sans-serif"/>
          <w:b/>
          <w:i/>
          <w:color w:val="000000"/>
          <w:sz w:val="20"/>
          <w:u w:val="single"/>
        </w:rPr>
      </w:pPr>
      <w:r>
        <w:rPr>
          <w:rFonts w:ascii="Calibri;sans-serif" w:hAnsi="Calibri;sans-serif"/>
          <w:b/>
          <w:i/>
          <w:color w:val="000000"/>
          <w:sz w:val="20"/>
          <w:u w:val="single"/>
        </w:rPr>
        <w:t>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January 30, 2023, upon entering into the NYDIG Hosting Agreement, we transitioned the majority of the capacity of our owned datacenter facilities to datacenter hosting operations. In November 2023, we sold the South Carolina Facility, which was part of our datacenter hosting operations. We entered into hosting arrangements at third party sites for the majority of our remaining owned miners in the second quarter of 2023. In the second quarter of 2024, the hosting agreements to operate miners at third party sites were terminated. As a result, we deployed miners operated at the host’s sites to our own self-mining sites. At June 30, 2024, Greenidge datacenter operations consisted of approximately 28,910miners with approximately 3.0 EH/s of combined capacity for both datacenter hosting and cryptocurrency mining, of which 18,200 miners, or 1.8 EH/s, is associated with datacenter hosting and 10,710 miners, or 1.2 EH/s, is associated with Greenidge’s cryptocurrency mining.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or leased by the Company. Our cryptocurrency mining revenue increased $0.8 million, or 20%, to $4.8 million. We estimate that approximately 69% of the increase was due to the increase in the average price of bitcoin, which was partially offset by 49% as a result of the increase in the global bitcoin mining difficulty factor and the bitcoin halving that occurred in April 2024. Bitcoin mining difficulty was 71% higher compared to the prior year due to increases in the difficulty index associated with the complexity of the algorithmic solution required to create a block and receive a bitcoin award, the average bitcoin price was 135% higher and our average hash rate increased 28%.</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miners associated with Greenidge’s cryptocurrency mining were comprised as follows:</w:t>
      </w:r>
    </w:p>
    <w:p>
      <w:pPr>
        <w:pStyle w:val="TextBody"/>
        <w:bidi w:val="0"/>
        <w:spacing w:before="0" w:after="0"/>
        <w:jc w:val="left"/>
        <w:rPr/>
      </w:pPr>
      <w:r>
        <w:rPr/>
      </w:r>
    </w:p>
    <w:tbl>
      <w:tblPr>
        <w:tblW w:w="3641" w:type="dxa"/>
        <w:jc w:val="left"/>
        <w:tblInd w:w="0" w:type="dxa"/>
        <w:tblLayout w:type="fixed"/>
        <w:tblCellMar>
          <w:top w:w="28" w:type="dxa"/>
          <w:left w:w="28" w:type="dxa"/>
          <w:bottom w:w="28" w:type="dxa"/>
          <w:right w:w="28" w:type="dxa"/>
        </w:tblCellMar>
      </w:tblPr>
      <w:tblGrid>
        <w:gridCol w:w="596"/>
        <w:gridCol w:w="524"/>
        <w:gridCol w:w="529"/>
        <w:gridCol w:w="109"/>
        <w:gridCol w:w="109"/>
        <w:gridCol w:w="109"/>
        <w:gridCol w:w="487"/>
        <w:gridCol w:w="487"/>
        <w:gridCol w:w="691"/>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Calibri;sans-serif" w:hAnsi="Calibri;sans-serif"/>
                <w:b/>
                <w:color w:val="000000"/>
                <w:sz w:val="20"/>
              </w:rPr>
            </w:pPr>
            <w:r>
              <w:rPr>
                <w:rFonts w:ascii="Calibri;sans-serif" w:hAnsi="Calibri;sans-serif"/>
                <w:b/>
                <w:color w:val="000000"/>
                <w:sz w:val="20"/>
              </w:rPr>
              <w:t>Vendor and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20"/>
              </w:rPr>
            </w:pPr>
            <w:r>
              <w:rPr>
                <w:rFonts w:ascii="Calibri;sans-serif" w:hAnsi="Calibri;sans-serif"/>
                <w:b/>
                <w:color w:val="000000"/>
                <w:sz w:val="20"/>
              </w:rPr>
              <w:t>Number of Miners</w:t>
            </w:r>
          </w:p>
        </w:tc>
      </w:tr>
      <w:tr>
        <w:trPr/>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S19j Pro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XP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3,600 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Hydro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Bitmain S21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10,710 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As of June 30, 2024, our fleet of miners ranged in age from 0.2 to 2.8 years and had an average age of approximately 2.10 years. We do not have scheduled downtime for our miners. When we have unscheduled downtime, we may from time to time replace a miner with a substitute miner in order to minimize overall fleet downtime. As of June 30, 2024, our fleet of miners ranged in efficiency from approximately 18.0 to 34.0 joules per terahash (“J/TH”) and had an average efficiency of 28.7 J/TH.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table below presents the average cost of mining each bitcoin for the three months ended June 30, 2024:</w:t>
      </w:r>
    </w:p>
    <w:p>
      <w:pPr>
        <w:pStyle w:val="TextBody"/>
        <w:bidi w:val="0"/>
        <w:spacing w:before="0" w:after="0"/>
        <w:jc w:val="left"/>
        <w:rPr/>
      </w:pPr>
      <w:r>
        <w:rPr/>
      </w:r>
    </w:p>
    <w:tbl>
      <w:tblPr>
        <w:tblW w:w="7824" w:type="dxa"/>
        <w:jc w:val="left"/>
        <w:tblInd w:w="0" w:type="dxa"/>
        <w:tblLayout w:type="fixed"/>
        <w:tblCellMar>
          <w:top w:w="28" w:type="dxa"/>
          <w:left w:w="28" w:type="dxa"/>
          <w:bottom w:w="28" w:type="dxa"/>
          <w:right w:w="28" w:type="dxa"/>
        </w:tblCellMar>
      </w:tblPr>
      <w:tblGrid>
        <w:gridCol w:w="1611"/>
        <w:gridCol w:w="1417"/>
        <w:gridCol w:w="1427"/>
        <w:gridCol w:w="109"/>
        <w:gridCol w:w="109"/>
        <w:gridCol w:w="109"/>
        <w:gridCol w:w="510"/>
        <w:gridCol w:w="263"/>
        <w:gridCol w:w="263"/>
        <w:gridCol w:w="263"/>
        <w:gridCol w:w="263"/>
        <w:gridCol w:w="263"/>
        <w:gridCol w:w="263"/>
        <w:gridCol w:w="263"/>
        <w:gridCol w:w="691"/>
      </w:tblGrid>
      <w:tr>
        <w:trPr/>
        <w:tc>
          <w:tcPr>
            <w:tcW w:w="161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Calibri;sans-serif" w:hAnsi="Calibri;sans-serif"/>
                <w:b/>
                <w:color w:val="000000"/>
                <w:sz w:val="20"/>
              </w:rPr>
            </w:pPr>
            <w:r>
              <w:rPr>
                <w:rFonts w:ascii="Calibri;sans-serif" w:hAnsi="Calibri;sans-serif"/>
                <w:b/>
                <w:color w:val="000000"/>
                <w:sz w:val="20"/>
              </w:rPr>
              <w:t>Cost of Mining - Analysis of Costs to Mine One Bitcoin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Calibri;sans-serif" w:hAnsi="Calibri;sans-serif"/>
                <w:b/>
                <w:color w:val="000000"/>
                <w:sz w:val="20"/>
              </w:rPr>
            </w:pPr>
            <w:r>
              <w:rPr>
                <w:rFonts w:ascii="Calibri;sans-serif" w:hAnsi="Calibri;sans-serif"/>
                <w:b/>
                <w:color w:val="000000"/>
                <w:sz w:val="20"/>
              </w:rPr>
              <w:t>Three Months Ended June 30, 2024</w:t>
            </w:r>
          </w:p>
        </w:tc>
      </w:tr>
      <w:tr>
        <w:trPr/>
        <w:tc>
          <w:tcPr>
            <w:tcW w:w="478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Cost to mine one bitcoin</w:t>
            </w:r>
            <w:r>
              <w:rPr>
                <w:rFonts w:ascii="Calibri;sans-serif" w:hAnsi="Calibri;sans-serif"/>
                <w:b w:val="false"/>
                <w:color w:val="000000"/>
                <w:sz w:val="13"/>
              </w:rPr>
              <w:t>(1)</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841"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44,301 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Calibri;sans-serif" w:hAnsi="Calibri;sans-serif"/>
                <w:b w:val="false"/>
                <w:color w:val="000000"/>
                <w:sz w:val="20"/>
              </w:rPr>
              <w:t>Value of each bitcoin mined</w:t>
            </w:r>
            <w:r>
              <w:rPr>
                <w:rFonts w:ascii="Calibri;sans-serif" w:hAnsi="Calibr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841"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65,411 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to mine one bitcoin as % of value of bitcoin mined</w:t>
            </w:r>
          </w:p>
        </w:tc>
        <w:tc>
          <w:tcPr>
            <w:tcW w:w="2351"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67.7 </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76" w:before="0" w:after="0"/>
        <w:jc w:val="left"/>
        <w:rPr>
          <w:rFonts w:ascii="Calibri;sans-serif" w:hAnsi="Calibri;sans-serif"/>
          <w:b w:val="false"/>
          <w:color w:val="000000"/>
          <w:sz w:val="16"/>
        </w:rPr>
      </w:pPr>
      <w:r>
        <w:rPr>
          <w:rFonts w:ascii="Calibri;sans-serif" w:hAnsi="Calibri;sans-serif"/>
          <w:b w:val="false"/>
          <w:color w:val="000000"/>
          <w:sz w:val="16"/>
        </w:rPr>
        <w:t>(1) Computed as cost of revenue of cryptocurrency mining divided by number of bitcoins produced from cryptocurrency mining.</w:t>
      </w:r>
    </w:p>
    <w:p>
      <w:pPr>
        <w:pStyle w:val="TextBody"/>
        <w:bidi w:val="0"/>
        <w:spacing w:lineRule="auto" w:line="276" w:before="0" w:after="0"/>
        <w:jc w:val="left"/>
        <w:rPr>
          <w:rFonts w:ascii="Calibri;sans-serif" w:hAnsi="Calibri;sans-serif"/>
          <w:b w:val="false"/>
          <w:color w:val="000000"/>
          <w:sz w:val="16"/>
        </w:rPr>
      </w:pPr>
      <w:r>
        <w:rPr>
          <w:rFonts w:ascii="Calibri;sans-serif" w:hAnsi="Calibri;sans-serif"/>
          <w:b w:val="false"/>
          <w:color w:val="000000"/>
          <w:sz w:val="16"/>
        </w:rPr>
        <w:t>(2) Computed as cryptocurrency mining revenue divided by number of bitcoins produced from cryptocurrency mining.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January 30, 2023, we entered into the NYDIG Hosting Agreement to provide datacenter hosting services. Under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and the South Carolina Facility during the 2023 comparative period, prior to the sale of the facility on November 15, 2023. We generated revenue of $6.6 million for the three months ended June 30, 2024 and $9.7 million for the three months ended June 30, 2023. This decrease of $3.0 million was mainly due to the sale of the South Carolina Facility and partially offset by the increase in price of bitcoin. In addition, we managed approximately 1.5 EH/s of average active hash rate in our hosting services, of which produced approximately 144 bitcoins.</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$0.4 million, or 39%, to $1.5 million during the three months ended June 30, 2024. We estimate that higher average power and capacity prices and higher power and capacity sales volume caused revenue increases of approximately 23% and 16%, respectively, as compared to the prior period.</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Cost of revenue (exclusive of depreciation)</w:t>
      </w:r>
    </w:p>
    <w:tbl>
      <w:tblPr>
        <w:tblW w:w="8840" w:type="dxa"/>
        <w:jc w:val="left"/>
        <w:tblInd w:w="0" w:type="dxa"/>
        <w:tblLayout w:type="fixed"/>
        <w:tblCellMar>
          <w:top w:w="28" w:type="dxa"/>
          <w:left w:w="28" w:type="dxa"/>
          <w:bottom w:w="28" w:type="dxa"/>
          <w:right w:w="28" w:type="dxa"/>
        </w:tblCellMar>
      </w:tblPr>
      <w:tblGrid>
        <w:gridCol w:w="1406"/>
        <w:gridCol w:w="1236"/>
        <w:gridCol w:w="1243"/>
        <w:gridCol w:w="211"/>
        <w:gridCol w:w="616"/>
        <w:gridCol w:w="241"/>
        <w:gridCol w:w="109"/>
        <w:gridCol w:w="109"/>
        <w:gridCol w:w="109"/>
        <w:gridCol w:w="211"/>
        <w:gridCol w:w="721"/>
        <w:gridCol w:w="241"/>
        <w:gridCol w:w="109"/>
        <w:gridCol w:w="109"/>
        <w:gridCol w:w="109"/>
        <w:gridCol w:w="211"/>
        <w:gridCol w:w="691"/>
        <w:gridCol w:w="109"/>
        <w:gridCol w:w="109"/>
        <w:gridCol w:w="109"/>
        <w:gridCol w:w="109"/>
        <w:gridCol w:w="218"/>
        <w:gridCol w:w="218"/>
        <w:gridCol w:w="286"/>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71.3 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75.7 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 decreased $1.8 million, or 16%, to $9.3 million during the three months ended June 30, 2024 as compared to the prior year period. We estimate the decrease is comprised of approximately 13% due to the lower utilization of electricity involved in production as a result of the sale of our South Carolina facility in the fourth quarter of 2023 and 8% due to fewer monthly hosting fees paid to third parties for hosting company owned miners. These decreases were partially offset by a 2% increase in pipeline transportation costs and another 2% due to a rise in the usage of natural gas.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significant portions of cost of revenue are allocated between datacenter hosting, cryptocurrency mining and power and capacity based on MWh used by each. Power and capacity Cost of revenue decreased due to lower natural gas costs, while MWh utilized by cryptocurrency mining increased due to the transition away from the Hosting Agreements during the three months ended June 30, 2024.</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$2.9 million, or 41%, to $4.2 million for the three months ended June 30, 2024 as compared to the prior year period. The main drivers of the decrease in selling, general and administrative expenses were: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payroll and benefits and other employee costs decreased approximately $1.1 million in the second quarter of 2024 compared to the prior year period, as a result of declines in employee expenses related to the corporate overhead cost reduction efforts that occurred in 2023 as well as a decrease in incentive compensation;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restructuring costs decreased approximately $0.7 million in the second quarter of 2024 compared to the prior year period, mainly as a result of non-recurring restructuring that occurred in the prior year;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administrative overhead costs decreased approximately $0.5 million in the second quarter of 2024 compared to the prior year period, primarily related to taxes and fees;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insurance expense decreased approximately $0.3 million in the second quarter of 2024 compared to the prior year period, as a result of a decline in coverage costs related to umbrella, property, and liability policies due to a lower asset base;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 xml:space="preserve">Total stock compensation decreased approximately $0.3 million in the second quarter of 2024 compared to the prior year period, as a result of a decline in amortized expense relating to RSUs with a higher grant date fair value, as well as a decline in amortized expense relating to options granted in prior periods.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expense increased $0.1 million, or 4%, to $3.3 million for the three months ended June 30, 2024 as compared to the prior year period, due to a higher asset base resulting from the purchase of additional miners in 2024.</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Operating (loss) income from continuing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We reported an operating loss for the three months ended June 30, 2024 of $3.7 million compared with an operating loss of $6.6 million in the three months ended June 30, 2023. The favorable variance of $2.9 million is primarily related to cost savings related to selling, general, and administrative expenses.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loss from operations was $3.7 million for the three months ended June 30, 2024 as compared to adjusted loss from operations of $6.1 million in the three months ended June 30, 2023. The adjusted loss from operations was driven by the same factors described above impacting loss from operations.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Total other expense, net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three months ended June 30, 2024, Greenidge incurred a decrease of $1.3 million, or 42%, to $1.8 million of other expense due to a reduction in interest expense of $1.3 million. The decrease is a result of the reductions in debt that occurred in the first and fourth quarters of 2023.</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Benefit from income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Our effective tax rate for the three months ended June 30, 2024 was 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three months ended June 30, 2023 was 0%, which was lower than the statutory rate of 21% primarily due to state income taxes and tax benefits associated with stock-based compensation. </w:t>
      </w:r>
    </w:p>
    <w:p>
      <w:pPr>
        <w:pStyle w:val="TextBody"/>
        <w:bidi w:val="0"/>
        <w:spacing w:lineRule="auto" w:line="288" w:before="360" w:after="283"/>
        <w:jc w:val="left"/>
        <w:rPr>
          <w:rFonts w:ascii="Calibri;sans-serif" w:hAnsi="Calibri;sans-serif"/>
          <w:b/>
          <w:i/>
          <w:color w:val="000000"/>
          <w:sz w:val="20"/>
          <w:u w:val="single"/>
        </w:rPr>
      </w:pPr>
      <w:r>
        <w:rPr>
          <w:rFonts w:ascii="Calibri;sans-serif" w:hAnsi="Calibri;sans-serif"/>
          <w:b/>
          <w:i/>
          <w:color w:val="000000"/>
          <w:sz w:val="20"/>
          <w:u w:val="single"/>
        </w:rPr>
        <w:t>Net loss from continuing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Greenidge incurred a net loss of $5.5 million for the three months ended June 30, 2024 as compared to a net loss of $9.8 million for the three months ended June 30,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an adjusted basis, excluding the impact of a gain on sale of assets and debt restructure costs, adjusted net loss during the three months ended June 30, 2024 would have been $5.5 million as compared to $9.2 million in the same period in 2023. Adjusted net loss is a non-GAAP performance measure. A reconciliation of reported amounts to adjusted amounts can be found in the "Non-GAAP Measures and Reconciliations" section of this MD&amp;A.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Income from discontinued operations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have reported the Support.com business as discontinued operations in the consolidated financial statements. Income from discontinued operations, net of tax decreased $0.2 million, or 78%, to $0.1 million for the three months ended June 30, 2024. The decrease is primarily related to the closing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Non-GAAP Measures and Reconciliations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Principles ("U.S. GAAP").</w:t>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EBITDA (loss) from continuing operations and Adjusted EBITDA (loss) from continuing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"EBITDA from continuing operations" is defined as earnings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gain on sale of assets and debt restructuring costs as they are not indicative of business operations. Adjusted EBITDA is intended as a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 of net loss (income) to EBITDA (loss) and Adjusted EBITDA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2"/>
        <w:gridCol w:w="1098"/>
        <w:gridCol w:w="1040"/>
        <w:gridCol w:w="505"/>
        <w:gridCol w:w="1633"/>
        <w:gridCol w:w="698"/>
        <w:gridCol w:w="109"/>
        <w:gridCol w:w="109"/>
        <w:gridCol w:w="109"/>
        <w:gridCol w:w="211"/>
        <w:gridCol w:w="667"/>
        <w:gridCol w:w="277"/>
        <w:gridCol w:w="109"/>
        <w:gridCol w:w="109"/>
        <w:gridCol w:w="109"/>
        <w:gridCol w:w="211"/>
        <w:gridCol w:w="616"/>
        <w:gridCol w:w="109"/>
        <w:gridCol w:w="109"/>
        <w:gridCol w:w="109"/>
        <w:gridCol w:w="109"/>
        <w:gridCol w:w="257"/>
        <w:gridCol w:w="259"/>
        <w:gridCol w:w="291"/>
      </w:tblGrid>
      <w:tr>
        <w:trPr/>
        <w:tc>
          <w:tcPr>
            <w:tcW w:w="135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63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income from continuing operations</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(3,700)</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(3,732)</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(6,100)</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21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(28.6 </w:t>
            </w:r>
          </w:p>
        </w:tc>
        <w:tc>
          <w:tcPr>
            <w:tcW w:w="6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(41.5 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(5,505)</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 after tax</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 after tax</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(5,537)</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(9,216)</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(loss) and Adjusted EBITDA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(5,505)</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1,805 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3,285 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(3,476)</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(2,371)</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u w:val="single"/>
        </w:rPr>
      </w:pPr>
      <w:r>
        <w:rPr>
          <w:rFonts w:ascii="Calibri;sans-serif" w:hAnsi="Calibri;sans-serif"/>
          <w:b/>
          <w:color w:val="000000"/>
          <w:sz w:val="20"/>
          <w:u w:val="single"/>
        </w:rPr>
        <w:t>Results from Continuing Operations - Six Months Ended June 30, 2024</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and should be read in conjunction with our condensed consolidated financial statements and related notes. All comparisons below refer to the six months ended June 30, 2024 versus the six months ended June 30, 2023, unless otherwise specified.</w:t>
      </w:r>
    </w:p>
    <w:tbl>
      <w:tblPr>
        <w:tblW w:w="10098" w:type="dxa"/>
        <w:jc w:val="left"/>
        <w:tblInd w:w="0" w:type="dxa"/>
        <w:tblLayout w:type="fixed"/>
        <w:tblCellMar>
          <w:top w:w="28" w:type="dxa"/>
          <w:left w:w="28" w:type="dxa"/>
          <w:bottom w:w="28" w:type="dxa"/>
          <w:right w:w="28" w:type="dxa"/>
        </w:tblCellMar>
      </w:tblPr>
      <w:tblGrid>
        <w:gridCol w:w="1780"/>
        <w:gridCol w:w="1571"/>
        <w:gridCol w:w="1583"/>
        <w:gridCol w:w="211"/>
        <w:gridCol w:w="721"/>
        <w:gridCol w:w="241"/>
        <w:gridCol w:w="109"/>
        <w:gridCol w:w="109"/>
        <w:gridCol w:w="109"/>
        <w:gridCol w:w="211"/>
        <w:gridCol w:w="796"/>
        <w:gridCol w:w="241"/>
        <w:gridCol w:w="109"/>
        <w:gridCol w:w="109"/>
        <w:gridCol w:w="109"/>
        <w:gridCol w:w="211"/>
        <w:gridCol w:w="616"/>
        <w:gridCol w:w="109"/>
        <w:gridCol w:w="109"/>
        <w:gridCol w:w="109"/>
        <w:gridCol w:w="109"/>
        <w:gridCol w:w="266"/>
        <w:gridCol w:w="274"/>
        <w:gridCol w:w="286"/>
      </w:tblGrid>
      <w:tr>
        <w:trPr/>
        <w:tc>
          <w:tcPr>
            <w:tcW w:w="178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(gain) on digital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42,171 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(5,516)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(12,304)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(3,607)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digital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from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(11,894)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(16.5)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(11.6)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(a)Adjusted Amounts and Other Financial Data are non-GAAP performance measures. A reconciliation of reported amounts to adjusted amounts can be found in the "Non-GAAP Measures and Reconciliations" section of this MD&amp;A.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Key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six months ended June 30, 2024 and 2023.</w:t>
      </w:r>
    </w:p>
    <w:tbl>
      <w:tblPr>
        <w:tblW w:w="9752" w:type="dxa"/>
        <w:jc w:val="left"/>
        <w:tblInd w:w="0" w:type="dxa"/>
        <w:tblLayout w:type="fixed"/>
        <w:tblCellMar>
          <w:top w:w="28" w:type="dxa"/>
          <w:left w:w="28" w:type="dxa"/>
          <w:bottom w:w="28" w:type="dxa"/>
          <w:right w:w="28" w:type="dxa"/>
        </w:tblCellMar>
      </w:tblPr>
      <w:tblGrid>
        <w:gridCol w:w="1643"/>
        <w:gridCol w:w="1445"/>
        <w:gridCol w:w="1456"/>
        <w:gridCol w:w="220"/>
        <w:gridCol w:w="756"/>
        <w:gridCol w:w="241"/>
        <w:gridCol w:w="109"/>
        <w:gridCol w:w="109"/>
        <w:gridCol w:w="109"/>
        <w:gridCol w:w="220"/>
        <w:gridCol w:w="756"/>
        <w:gridCol w:w="241"/>
        <w:gridCol w:w="109"/>
        <w:gridCol w:w="109"/>
        <w:gridCol w:w="109"/>
        <w:gridCol w:w="211"/>
        <w:gridCol w:w="721"/>
        <w:gridCol w:w="109"/>
        <w:gridCol w:w="109"/>
        <w:gridCol w:w="109"/>
        <w:gridCol w:w="109"/>
        <w:gridCol w:w="230"/>
        <w:gridCol w:w="236"/>
        <w:gridCol w:w="286"/>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211,662 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226,140 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90,909 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74,767 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53,715 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 per MWh</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73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Bitcoins produced:</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bitcoin price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59,516 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789,662 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786,713 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Hosted miners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1,624,579 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1,749,004 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difficulty</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81.1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44.9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60"/>
        <w:jc w:val="left"/>
        <w:rPr>
          <w:rFonts w:ascii="Calibri;sans-serif" w:hAnsi="Calibri;sans-serif"/>
          <w:b/>
          <w:i/>
          <w:color w:val="000000"/>
          <w:sz w:val="20"/>
          <w:u w:val="single"/>
        </w:rPr>
      </w:pPr>
      <w:r>
        <w:rPr>
          <w:rFonts w:ascii="Calibri;sans-serif" w:hAnsi="Calibri;sans-serif"/>
          <w:b/>
          <w:i/>
          <w:color w:val="000000"/>
          <w:sz w:val="20"/>
          <w:u w:val="single"/>
        </w:rPr>
        <w:t>Revenue</w:t>
      </w:r>
    </w:p>
    <w:p>
      <w:pPr>
        <w:pStyle w:val="TextBody"/>
        <w:bidi w:val="0"/>
        <w:spacing w:lineRule="auto" w:line="288" w:before="120" w:after="60"/>
        <w:jc w:val="left"/>
        <w:rPr>
          <w:rFonts w:ascii="Calibri;sans-serif" w:hAnsi="Calibri;sans-serif"/>
          <w:b w:val="false"/>
          <w:color w:val="000000"/>
          <w:sz w:val="20"/>
        </w:rPr>
      </w:pPr>
      <w:r>
        <w:rPr>
          <w:rFonts w:ascii="Calibri;sans-serif" w:hAnsi="Calibri;sans-serif"/>
          <w:b w:val="false"/>
          <w:color w:val="000000"/>
          <w:sz w:val="20"/>
        </w:rPr>
        <w:t>On January 30, 2023, upon entering into the NYDIG Hosting Agreement, we transitioned the majority of the capacity of our owned datacenter facilities to datacenter hosting operations. In November 2023, we sold the South Carolina Facility, which was part of our datacenter hosting operations. We entered into hosting arrangements at third party sites for the majority of our remaining owned miners in the first and second quarters of 2023. In the second quarter of 2023, the hosting agreements to operate miners at third party sites were terminated. As a result, we deployed miners operated at the host’s site to our own self-mining sites. At June 30, 2024, Greenidge datacenter operations consisted of approximately 28,910 miners with approximately 3.0 EH/s of combined capacity for both datacenter hosting and cryptocurrency mining, of which 18,200 miners, or 1.8 EH/s, is associated with datacenter hosting and 10,710 miners, or 1.2 EH/s, is associated with Greenidge’s cryptocurrency mining.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or leased by the Company. Our cryptocurrency mining revenue increased $1.3 million, or 13%, to $11.8 million. We estimate that approximately 72% of the increase was due to the increase in the average price of bitcoin, which was partially offset by 59% as a result of the increase in the global bitcoin mining difficulty factor and the bitcoin halving that occurred in April 2024. Bitcoin mining difficulty was 81% higher compared to the prior year due to increases in the difficulty index associated with the complexity of the algorithmic solution required to create a block and receive a bitcoin award, the average bitcoin price was 134% higher and our average hash rate increased less than 1%.</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miners associated with Greenidge’s cryptocurrency mining were comprised as follows:</w:t>
      </w:r>
    </w:p>
    <w:p>
      <w:pPr>
        <w:pStyle w:val="TextBody"/>
        <w:bidi w:val="0"/>
        <w:spacing w:before="0" w:after="0"/>
        <w:jc w:val="left"/>
        <w:rPr/>
      </w:pPr>
      <w:r>
        <w:rPr/>
      </w:r>
    </w:p>
    <w:tbl>
      <w:tblPr>
        <w:tblW w:w="3641" w:type="dxa"/>
        <w:jc w:val="left"/>
        <w:tblInd w:w="0" w:type="dxa"/>
        <w:tblLayout w:type="fixed"/>
        <w:tblCellMar>
          <w:top w:w="28" w:type="dxa"/>
          <w:left w:w="28" w:type="dxa"/>
          <w:bottom w:w="28" w:type="dxa"/>
          <w:right w:w="28" w:type="dxa"/>
        </w:tblCellMar>
      </w:tblPr>
      <w:tblGrid>
        <w:gridCol w:w="596"/>
        <w:gridCol w:w="524"/>
        <w:gridCol w:w="529"/>
        <w:gridCol w:w="109"/>
        <w:gridCol w:w="109"/>
        <w:gridCol w:w="109"/>
        <w:gridCol w:w="487"/>
        <w:gridCol w:w="487"/>
        <w:gridCol w:w="691"/>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center"/>
              <w:rPr>
                <w:rFonts w:ascii="Calibri;sans-serif" w:hAnsi="Calibri;sans-serif"/>
                <w:b/>
                <w:color w:val="000000"/>
                <w:sz w:val="20"/>
              </w:rPr>
            </w:pPr>
            <w:r>
              <w:rPr>
                <w:rFonts w:ascii="Calibri;sans-serif" w:hAnsi="Calibri;sans-serif"/>
                <w:b/>
                <w:color w:val="000000"/>
                <w:sz w:val="20"/>
              </w:rPr>
              <w:t>Vendor and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rFonts w:ascii="Calibri;sans-serif" w:hAnsi="Calibri;sans-serif"/>
                <w:b/>
                <w:color w:val="000000"/>
                <w:sz w:val="20"/>
              </w:rPr>
            </w:pPr>
            <w:r>
              <w:rPr>
                <w:rFonts w:ascii="Calibri;sans-serif" w:hAnsi="Calibri;sans-serif"/>
                <w:b/>
                <w:color w:val="000000"/>
                <w:sz w:val="20"/>
              </w:rPr>
              <w:t>Number of Miners</w:t>
            </w:r>
          </w:p>
        </w:tc>
      </w:tr>
      <w:tr>
        <w:trPr/>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S19j Pro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XP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3,600 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Bitmain S19 Hydro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20"/>
              </w:rPr>
            </w:pPr>
            <w:r>
              <w:rPr>
                <w:rFonts w:ascii="Calibri;sans-serif" w:hAnsi="Calibri;sans-serif"/>
                <w:b w:val="false"/>
                <w:color w:val="000000"/>
                <w:sz w:val="20"/>
              </w:rPr>
              <w:t>Bitmain S21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10,710 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As of June 30, 2024, our fleet of miners ranged in age from 0.2 to 2.8 years and had an average age of approximately 2.10 years. We do not have scheduled downtime for our miners. When we have unscheduled downtime, we may from time to time replace a miner with a substitute miner in order to minimize overall fleet downtime. As of June 30, 2024, our fleet of miners ranged in efficiency from approximately 18.0 to 34.0 joules per terahash (“J/TH”) and had an average efficiency of 28.7 J/TH.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table below presents the average cost of mining each bitcoin for the six months ended June 30, 2024:</w:t>
      </w:r>
    </w:p>
    <w:p>
      <w:pPr>
        <w:pStyle w:val="TextBody"/>
        <w:bidi w:val="0"/>
        <w:spacing w:before="0" w:after="0"/>
        <w:jc w:val="left"/>
        <w:rPr/>
      </w:pPr>
      <w:r>
        <w:rPr/>
      </w:r>
    </w:p>
    <w:tbl>
      <w:tblPr>
        <w:tblW w:w="8800" w:type="dxa"/>
        <w:jc w:val="left"/>
        <w:tblInd w:w="0" w:type="dxa"/>
        <w:tblLayout w:type="fixed"/>
        <w:tblCellMar>
          <w:top w:w="28" w:type="dxa"/>
          <w:left w:w="28" w:type="dxa"/>
          <w:bottom w:w="28" w:type="dxa"/>
          <w:right w:w="28" w:type="dxa"/>
        </w:tblCellMar>
      </w:tblPr>
      <w:tblGrid>
        <w:gridCol w:w="1873"/>
        <w:gridCol w:w="1647"/>
        <w:gridCol w:w="1659"/>
        <w:gridCol w:w="126"/>
        <w:gridCol w:w="126"/>
        <w:gridCol w:w="126"/>
        <w:gridCol w:w="561"/>
        <w:gridCol w:w="1921"/>
        <w:gridCol w:w="761"/>
      </w:tblGrid>
      <w:tr>
        <w:trPr/>
        <w:tc>
          <w:tcPr>
            <w:tcW w:w="187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5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Mining - Analysis of Costs to Mine One Bitcoin</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Six Months Ended June 30, 2024</w:t>
            </w:r>
          </w:p>
        </w:tc>
      </w:tr>
      <w:tr>
        <w:trPr/>
        <w:tc>
          <w:tcPr>
            <w:tcW w:w="5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Cost to mine one bitcoin</w:t>
            </w:r>
            <w:r>
              <w:rPr>
                <w:rFonts w:ascii="Calibri;sans-serif" w:hAnsi="Calibri;sans-serif"/>
                <w:b w:val="false"/>
                <w:color w:val="000000"/>
                <w:sz w:val="13"/>
              </w:rPr>
              <w:t>(1)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33,357 </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Value of each bitcoin mined</w:t>
            </w:r>
            <w:r>
              <w:rPr>
                <w:rFonts w:ascii="Calibri;sans-serif" w:hAnsi="Calibri;sans-serif"/>
                <w:b w:val="false"/>
                <w:color w:val="000000"/>
                <w:sz w:val="13"/>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56,879 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to mine one bitcoin as % of value of bitcoin mined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58.6 </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8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(1) Computed as cost of revenue of cryptocurrency mining divided by number of bitcoins produced from cryptocurrency mining.</w:t>
            </w:r>
          </w:p>
        </w:tc>
      </w:tr>
      <w:tr>
        <w:trPr/>
        <w:tc>
          <w:tcPr>
            <w:tcW w:w="8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(2) Computed as cryptocurrency mining revenue divided by number of bitcoins produced from cryptocurrency mining.</w:t>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January 30, 2023, we entered into the NYDIG Hosting Agreement to provide datacenter hosting services. Under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and the South Carolina Facility during the 2023 comparative period, prior to the sale of the facility on November 15, 2023. We generated revenue of $15.8 million for the first six months of 2024 and $16.6 million for the first six months of 2023. Approximately $4.7 million of this decrease is a result of the sale of the South Carolina in November 2023, which was partially offset by an increase in the price of bitcoin during the six months ended June 30, 2024 as compared to the prior year. In addition, we managed approximately 1.5 EH/s of average active hash rate in our hosting services, of which produced approximately 144 bitcoins.</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power and capacity revenue increased $1.7 million, or 60%, to $4.5 million during the six months ended June 30, 2024. We estimate that higher power and capacity sales volume due to higher average power and capacity prices caused revenue increases of approximately 39% and 21%, respectively, as compared to the prior period.</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Cost of revenue (exclusive of depreciation)</w:t>
      </w:r>
    </w:p>
    <w:tbl>
      <w:tblPr>
        <w:tblW w:w="8719" w:type="dxa"/>
        <w:jc w:val="left"/>
        <w:tblInd w:w="0" w:type="dxa"/>
        <w:tblLayout w:type="fixed"/>
        <w:tblCellMar>
          <w:top w:w="28" w:type="dxa"/>
          <w:left w:w="28" w:type="dxa"/>
          <w:bottom w:w="28" w:type="dxa"/>
          <w:right w:w="28" w:type="dxa"/>
        </w:tblCellMar>
      </w:tblPr>
      <w:tblGrid>
        <w:gridCol w:w="1406"/>
        <w:gridCol w:w="1236"/>
        <w:gridCol w:w="1243"/>
        <w:gridCol w:w="211"/>
        <w:gridCol w:w="721"/>
        <w:gridCol w:w="241"/>
        <w:gridCol w:w="109"/>
        <w:gridCol w:w="109"/>
        <w:gridCol w:w="109"/>
        <w:gridCol w:w="211"/>
        <w:gridCol w:w="721"/>
        <w:gridCol w:w="241"/>
        <w:gridCol w:w="109"/>
        <w:gridCol w:w="109"/>
        <w:gridCol w:w="109"/>
        <w:gridCol w:w="211"/>
        <w:gridCol w:w="466"/>
        <w:gridCol w:w="109"/>
        <w:gridCol w:w="109"/>
        <w:gridCol w:w="109"/>
        <w:gridCol w:w="109"/>
        <w:gridCol w:w="216"/>
        <w:gridCol w:w="219"/>
        <w:gridCol w:w="286"/>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EPCM consulting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66.8 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69.9 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 increased $0.8 million, or 4%, to $21.6 million during the six months ended June 30, 2024 as compared to the prior year period. We estimate the increase is comprised of approximately 7% due to higher natural gas costs for Datacenter Hosting and approximately another 7% due to the increase in costs associated with emissions, along with 5% due to monthly hosting fees paid to third parties for hosting company owned miners. This was partially offset by 17% due to the decrease in electricity utilization within production, mainly as a result of the sale of the facility in South Carolina.</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significant portions of cost of revenue are allocated between datacenter hosting, cryptocurrency mining and power and capacity based on MWh used by each. Power and capacity Cost of revenue declined due to lower natural gas costs, while MWh utilized by cryptocurrency mining declined due to the transition to the Hosting Agreements during the six months ended June 30,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$6.4 million, or 40%, to $9.7 million for the six months ended June 30, 2024 as compared to the prior year period. The main drivers of the decrease in selling, general and administrative expenses were:</w:t>
      </w:r>
    </w:p>
    <w:p>
      <w:pPr>
        <w:pStyle w:val="TextBody"/>
        <w:bidi w:val="0"/>
        <w:spacing w:lineRule="auto" w:line="288" w:before="0" w:after="120"/>
        <w:ind w:left="0" w:right="0" w:hanging="360"/>
        <w:jc w:val="left"/>
        <w:rPr/>
      </w:pPr>
      <w:r>
        <w:rPr>
          <w:color w:val="000000"/>
        </w:rPr>
        <w:t>•</w:t>
      </w:r>
      <w:r>
        <w:rPr>
          <w:rFonts w:ascii="Calibri;sans-serif" w:hAnsi="Calibri;sans-serif"/>
          <w:b w:val="false"/>
          <w:color w:val="000000"/>
          <w:sz w:val="20"/>
        </w:rPr>
        <w:t>Decrease of approximately $2.1 million due to reductions in professional fees and consulting expenses caused by reductions in discretionary costs and higher regulatory costs in the prior year period associated with permit renewals and environmental matters at the New York plant;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payroll and benefits and other employee costs decreased approximately $2.2 million in the first six months of 2024 compared to the prior year period, as a result of declines in employee expenses related to the corporate overhead cost reduction efforts that occurred in 2023 as well as a decrease in incentive compensation;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administrative overhead costs decreased approximately $0.8 million in the first six months of 2024 compared to the prior year period, primarily as a result of declines in taxes and fees;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insurance expense decreased approximately $0.7 million in the first six months of 2024 compared to the prior year period, as a result of declines in coverage costs related to umbrella, property, and liability policies due to a lower asset base;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restructuring costs decreased approximately $0.6 million in the first six months of 2024 compared to the prior year period, mainly as a result of non-recurring restructuring costs incurred in the prior year</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expense decreased $0.5 million, or 7%, to $6.5 million for the six months ended June 30, 2024 as compared to the prior year period, due to a lower asset base resulting from the sale of the South Carolina Facility in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Operating (loss) income from continuing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We reported an operating loss for the six months ended June 30, 2024 of $5.5 million compared with an operating loss of $12.3 million in the six months ended June 30, 2023. The favorable variance of $6.8 million is primarily related to higher revenue, in the aggregate, from hosting, mining, power operations, and EPCM consulting along with additional cost savings related to selling, general, and administrative expenses. These favorable variances were partially offset by increases in cost of revenue, exclusive of 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loss from operations was $5.0 million for the six months ended June 30, 2024 as compared to adjusted loss from operations of $11.9 million in the six months ended June 30, 2023. The adjusted loss from operations was driven by the same factors described above impacting loss from operations.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Total other expense, net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six months ended June 30, 2024, we incurred a decrease of $2.3 million, or 36%, to $4.0 million of other expense due to a reduction in interest expense of $3.1 million, partially offset by a change in fair value of warrant asset of $0.4 million. The decrease in interest expense is a result of the reductions in debt that occurred in the first and fourth quarters of 2023.</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Benefit from income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Our effective tax rate for the six months ended June 30, 2024 was 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six months ended June 30, 2023 was 0%, which was lower than the statutory rate of 21% primarily due to state income taxes and tax benefits associated with stock-based compensation. </w:t>
      </w:r>
    </w:p>
    <w:p>
      <w:pPr>
        <w:pStyle w:val="TextBody"/>
        <w:bidi w:val="0"/>
        <w:spacing w:lineRule="auto" w:line="288" w:before="360" w:after="283"/>
        <w:jc w:val="left"/>
        <w:rPr>
          <w:rFonts w:ascii="Calibri;sans-serif" w:hAnsi="Calibri;sans-serif"/>
          <w:b/>
          <w:i/>
          <w:color w:val="000000"/>
          <w:sz w:val="20"/>
          <w:u w:val="single"/>
        </w:rPr>
      </w:pPr>
      <w:r>
        <w:rPr>
          <w:rFonts w:ascii="Calibri;sans-serif" w:hAnsi="Calibri;sans-serif"/>
          <w:b/>
          <w:i/>
          <w:color w:val="000000"/>
          <w:sz w:val="20"/>
          <w:u w:val="single"/>
        </w:rPr>
        <w:t>Net loss from continuing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Greenidge incurred a net loss of $9.5 million for the six months ended June 30, 2024 as compared to a net loss of $18.6 million for the six months ended June 30,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an adjusted basis, excluding the impact of a gain on sale of assets and debt restructure costs, adjusted net loss during the six months ended June 30, 2024 would have been $9.0 million as compared to $18.2 million in the same period in 2023. Adjusted net loss is a non-GAAP performance measure. A reconciliation of reported amounts to adjusted amounts can be found in the "Non-GAAP Measures and Reconciliations" section of this MD&amp;A.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Income from discontinued operations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have reported the Support.com business as discontinued operations in the consolidated financial statements. Income from discontinued operations, net of tax decreased $0.4 million, or 92%, to $0.03 million for the six months ended June 30, 2024. The decrease is primarily related to the closing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Non-GAAP Measures and Reconciliations</w:t>
      </w:r>
    </w:p>
    <w:tbl>
      <w:tblPr>
        <w:tblW w:w="10205" w:type="dxa"/>
        <w:jc w:val="left"/>
        <w:tblInd w:w="0" w:type="dxa"/>
        <w:tblLayout w:type="fixed"/>
        <w:tblCellMar>
          <w:top w:w="28" w:type="dxa"/>
          <w:left w:w="28" w:type="dxa"/>
          <w:bottom w:w="28" w:type="dxa"/>
          <w:right w:w="28" w:type="dxa"/>
        </w:tblCellMar>
      </w:tblPr>
      <w:tblGrid>
        <w:gridCol w:w="1334"/>
        <w:gridCol w:w="1079"/>
        <w:gridCol w:w="1019"/>
        <w:gridCol w:w="498"/>
        <w:gridCol w:w="1608"/>
        <w:gridCol w:w="686"/>
        <w:gridCol w:w="109"/>
        <w:gridCol w:w="109"/>
        <w:gridCol w:w="109"/>
        <w:gridCol w:w="211"/>
        <w:gridCol w:w="771"/>
        <w:gridCol w:w="276"/>
        <w:gridCol w:w="109"/>
        <w:gridCol w:w="109"/>
        <w:gridCol w:w="109"/>
        <w:gridCol w:w="211"/>
        <w:gridCol w:w="616"/>
        <w:gridCol w:w="109"/>
        <w:gridCol w:w="109"/>
        <w:gridCol w:w="109"/>
        <w:gridCol w:w="109"/>
        <w:gridCol w:w="257"/>
        <w:gridCol w:w="258"/>
        <w:gridCol w:w="291"/>
      </w:tblGrid>
      <w:tr>
        <w:trPr/>
        <w:tc>
          <w:tcPr>
            <w:tcW w:w="133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62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income from continuing operations</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(5,516)</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(4,959)</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(11,894)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2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(15.3 </w:t>
            </w:r>
          </w:p>
        </w:tc>
        <w:tc>
          <w:tcPr>
            <w:tcW w:w="6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(39.8 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(9,543)</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 after tax</w:t>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 after tax</w:t>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2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 after tax</w:t>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 after tax</w:t>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(8,986)</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(18,185)</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(loss) and Adjusted EBITDA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(9,543)</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2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3,607 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6,519 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583 </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(4,925)</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1,381 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2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fair value of warrant asset</w:t>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2,521 </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(3,466)</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June 30, 2024, we had cash and cash equivalents of $10.3 million. To date, we have primarily relied on debt and equity financing to fund our operations, including meeting ongoing working capital needs. Our management took certain actions during 2023 and during the first six months of 2024 to improve the Company’s liquidity.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As discussed in Item 1, "Business—Corporate History and Structure" of our Annual Report on Form 10-K filed on April 10, 2023, we entered into a debt restructuring agreement with our primary lender, NYDIG. We restructured our debt by transferring ownership of miners, previously secured by the MEFAs, under the Purchase Agreement along with the rights to credits and coupons to NYDIG and reduced our debt and accrued interest balance with NYDIG from $75.8 million to $17.3 million.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also entered into the NYDIG Hosting Agreement with NYDIG affiliates. The terms of the NYDIG Hosting Agreement require NYDIG affiliates to pay a hosting fee that covers the cost of power and direct costs associated with management of the mining facilities as well as a gross profit-sharing arrangement. This allows us to participate in profit upside, but reduces our downside risk of bitcoin price deterioration and cost increases related to natural gas.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addition to revenue generated from hosting arrangements, we continue to operate Company-owned miners at our own facilities, including migrating miners from third-party hosting providers to our recent expansion sites in North Dakota and Mississippi. On May 31, 2024, the only order entered into between Greenidge and Core pursuant to the Core Hosting Agreement terminated pursuant to its terms and all Greenidge-owned miners previously hosted by Core were redeployed at Greenidge-owned sites. We expect the migration of miners to Greenidge-owned sites will increase the profitability of Company-owned miners.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Prior to the closing of the South Carolina Facility sale, the Company had a cash outflow of approximately $0.9 million related to the settlement of accounts payable related to the facility upgrade.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development or sale of the property. The NYDIG Hosting Agreement related to the New York Facility was not impacted by this transaction.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December 11, 2023, we entered into an Equity Exchange Agreement (the “Equity Exchange Agreement”) with Infinite Reality, Inc. (“Infinite Reality”), pursuant to which, among other things, (i) we issued to Infinite Reality a one-year warrant to purchase 180,000 shares of our Class A common stock at an exercise price of $7.00 per share, the proceeds of which, upon exercise, are required to be used for the development of a proposed new data center contemplated by a Master Services Agreement entered into between us and Infinite Reality on December 11, 2023, and (ii) we issued 180,000 shares of our Class A common stock to Infinite Reality, which shares for purposes of the Equity Exchange Agreement, were valued at $8.33 per share, or an aggregate value of approximately $1.5 million. In addition, Infinite Realty issued to Greenidge a one-year common stock purchase warrant, pursuant to which we have the right to purchase up to 235,754 shares of common stock of Infinite Reality, par value $0.001 per share (“Infinite Reality Common Stock”), at an exercise price of $5.35 per share, and Infinite Reality issued to us 280,374 shares of Infinite Reality Common Stock.</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continued to improve our liquidity position in the first six months of 2024. On February 12, 2024, we entered into a securities purchase agreement (the “Armistice SPA”) with Armistice Capital Master Fund Ltd. (“Armistice”). Pursuant to the Armistice SPA, Armistice purchased (i) 450,300 shares of Class A common stock (the “SPA Shares”), and (ii) a pre-funded warrant (the “Pre-Funded Warrant”) to purchase 810,205 shares of Class A common stock (the “Pre-Funded Warrant Shares”). The per share purchase price of the SPA Shares and the Pre-Funded Warrant Shares was $4.76, resulting in aggregate gross proceeds of $6.0 million, and after giving effect to the exercise price of $0.0001 per Pre-Funded Warrant Share, we received net proceeds of $6.0 million. In addition, we issued to Armistice a five-year warrant to purchase up to 1,260,505 shares of Class A common stock, exercisable commencing on August 14, 2024 at an exercise price of $5.25 per share.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working capital needs and remaining debt servicing requirements. Management continues to assess different options to improve the Company’s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issuances of equity, including but not limited to issuances under the Common Stock Purchase Agreement and/or the ATM Agreement.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sale of the Company’s remaining real estate in South Carolina and/or sale of the remaining miner infrastructure equipment inventory, which was not used in the South Carolina expansion.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operating cash flows generated by mining, hosting, and power are affected by several factors including the price of bitcoin, bitcoin mining difficulty, and the costs of electricity, natural gas, and emissions credits. Increases in the price of bitcoin benefit the Company by increasing the amount of revenue earned for each bitcoin mined. Increases in the difficulty to mine a bitcoin adversely affect the Company by decreasing the number of bitcoin it can mine. Increases in the costs of electricity, natural gas, and emissions credits adversely affect the Company by increasing the cost to mine bitcoin. In April 2024, a bitcoin halving occurred, which decreased the reward for successfully placing a block from 6.25 bitcoin to 3.125 bitcoin. There are no assurances that favorable changes in the price of bitcoin will occur as a result of the bitcoin halving to offset the decrease in mining revenues as a result therefrom. Therefore, the most recent bitcoin halving may have a material adverse effect on the profitability of the Company's future self-mining and hosting operations. While the Company continues to work to implement options to improve liquidity, we can provide no assurance that these efforts will be successful and our liquidity could be negatively impacted by factors outside of our control, in particular, significant decreases in the price of bitcoin or increases in the difficulty of mining bitcoin, our inability to procure and comply with the permits and licenses required to operate our facilities, including the Title V Air Permit for the New York Facility, or the cost to us of such procurement or compliance, regulatory changes concerning cryptocurrency, increases in energy costs or other macroeconomic conditions and other matters identified in Item 1A, "Risk Factors" in our Annual Report for the year ended December 31, 2023 and in this Quarterly Report on Form 10-Q.</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Given this uncertainty regarding our financial condition over the next 12 months from the date these financial statements were issued, we have concluded that there is substantial doubt about our ability to continue as a going concern for a reasonable period of time. The consolidated financial statements do not include any adjustments that might result from the outcome of this uncertainty.</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Contractual Obligations and Commitments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our contractual obligations and other commitments at June 30, 2024, and the years in which these obligations are due:</w:t>
      </w:r>
    </w:p>
    <w:tbl>
      <w:tblPr>
        <w:tblW w:w="9090"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Thereafter</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Natural gas 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debt payments included in the table above include the principal and interest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Summary of Cash Flow</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about our net cash flow for the six months ended June 30, 2024 and 2023.</w:t>
      </w:r>
    </w:p>
    <w:tbl>
      <w:tblPr>
        <w:tblW w:w="8739" w:type="dxa"/>
        <w:jc w:val="left"/>
        <w:tblInd w:w="0" w:type="dxa"/>
        <w:tblLayout w:type="fixed"/>
        <w:tblCellMar>
          <w:top w:w="28" w:type="dxa"/>
          <w:left w:w="28" w:type="dxa"/>
          <w:bottom w:w="28" w:type="dxa"/>
          <w:right w:w="28" w:type="dxa"/>
        </w:tblCellMar>
      </w:tblPr>
      <w:tblGrid>
        <w:gridCol w:w="2272"/>
        <w:gridCol w:w="2001"/>
        <w:gridCol w:w="2012"/>
        <w:gridCol w:w="211"/>
        <w:gridCol w:w="721"/>
        <w:gridCol w:w="109"/>
        <w:gridCol w:w="109"/>
        <w:gridCol w:w="109"/>
        <w:gridCol w:w="109"/>
        <w:gridCol w:w="211"/>
        <w:gridCol w:w="721"/>
        <w:gridCol w:w="154"/>
      </w:tblGrid>
      <w:tr>
        <w:trPr/>
        <w:tc>
          <w:tcPr>
            <w:tcW w:w="227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w:t>
              <w:br/>
              <w:t>June 30,</w:t>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Net cash used for operating activities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investing activities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provided by financing activities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Increase (decrease) in cash and cash equivalents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Net change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Cash, cash equivalents and restricted cash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Operating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for operating activities was $6.4 million for the six months ended June 30, 2024, as compared to net cash used of $2.8 million for the six months ended June 30, 2023. The variance in the operating cash flow during the first six months of 2024 as compared to 2023 was driven primarily by the purchase of additional Regional Greenhouse Gas Initiative ("RGGI") credits in Q1 2024, which was required to settle the accrued emissions liability for the three-year control period ended December 31, 2023, as well as the advantageous change in net loss.</w:t>
      </w:r>
    </w:p>
    <w:p>
      <w:pPr>
        <w:pStyle w:val="TextBody"/>
        <w:bidi w:val="0"/>
        <w:spacing w:lineRule="auto" w:line="288" w:before="240" w:after="283"/>
        <w:jc w:val="left"/>
        <w:rPr/>
      </w:pPr>
      <w:r>
        <w:rPr>
          <w:rFonts w:ascii="Calibri;sans-serif" w:hAnsi="Calibri;sans-serif"/>
          <w:b w:val="false"/>
          <w:i/>
          <w:color w:val="000000"/>
          <w:sz w:val="20"/>
          <w:u w:val="single"/>
        </w:rPr>
        <w:t>Investing Activities</w:t>
      </w:r>
      <w:r>
        <w:rPr>
          <w:color w:val="000000"/>
        </w:rPr>
        <w:t xml:space="preserv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in investing activities was $3.6 million for the six months ended June 30, 2024, as compared to $6.4 million for the six months ended June 30, 2023. The decrease is primarily related to $2.9 million of lower purchases of and deposits for property and equipment as compared to the prior year due to the lower miner purchases.</w:t>
      </w:r>
    </w:p>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Financing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provided by financing activities was $7.0 million for the six months ended June 30, 2024, as compared to $5.9 million for the six months ended June 30, 2023. The increase is primarily related to the increase of $6.0 million of proceeds from the issuance of common stock and pre-funded warrant, along with the $5.3 million elimination of principal payments on debt due to its restructuring. These increases were partially offset by a $10.1 million reduction in sales of Class A common stock under the Company’s ATM Agreement.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Financing Arrangements</w:t>
      </w:r>
    </w:p>
    <w:p>
      <w:pPr>
        <w:pStyle w:val="TextBody"/>
        <w:bidi w:val="0"/>
        <w:spacing w:lineRule="auto" w:line="288" w:before="0" w:after="0"/>
        <w:jc w:val="left"/>
        <w:rPr/>
      </w:pPr>
      <w:r>
        <w:rPr>
          <w:rFonts w:ascii="Calibri;sans-serif" w:hAnsi="Calibri;sans-serif"/>
          <w:b w:val="false"/>
          <w:color w:val="000000"/>
          <w:sz w:val="20"/>
        </w:rPr>
        <w:t>See Note 5, "</w:t>
      </w:r>
      <w:r>
        <w:rPr>
          <w:rFonts w:ascii="Calibri;sans-serif" w:hAnsi="Calibri;sans-serif"/>
          <w:b w:val="false"/>
          <w:i/>
          <w:color w:val="000000"/>
          <w:sz w:val="20"/>
        </w:rPr>
        <w:t>Debt</w:t>
      </w:r>
      <w:r>
        <w:rPr>
          <w:rFonts w:ascii="Calibri;sans-serif" w:hAnsi="Calibri;sans-serif"/>
          <w:b w:val="false"/>
          <w:color w:val="000000"/>
          <w:sz w:val="20"/>
        </w:rPr>
        <w:t>," and Note 9, "</w:t>
      </w:r>
      <w:r>
        <w:rPr>
          <w:rFonts w:ascii="Calibri;sans-serif" w:hAnsi="Calibri;sans-serif"/>
          <w:b w:val="false"/>
          <w:i/>
          <w:color w:val="000000"/>
          <w:sz w:val="20"/>
        </w:rPr>
        <w:t>Stockholder’s Deficit</w:t>
      </w:r>
      <w:r>
        <w:rPr>
          <w:rFonts w:ascii="Calibri;sans-serif" w:hAnsi="Calibri;sans-serif"/>
          <w:b w:val="false"/>
          <w:color w:val="000000"/>
          <w:sz w:val="20"/>
        </w:rPr>
        <w:t>" in the Notes to our Unaudited Condensed Consolidated Financial Statements for details regarding our financing arrangements for further details regarding our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Calibri;sans-serif" w:hAnsi="Calibri;sans-serif"/>
          <w:b/>
          <w:color w:val="000000"/>
          <w:sz w:val="20"/>
        </w:rPr>
      </w:pPr>
      <w:r>
        <w:rPr>
          <w:rFonts w:ascii="Calibri;sans-serif" w:hAnsi="Calibri;sans-serif"/>
          <w:b/>
          <w:color w:val="000000"/>
          <w:sz w:val="20"/>
        </w:rPr>
        <w:t>Critical Accounting Policies and Estimates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environmental obligations. Management evaluates its policies and assumptions on an ongoing basis.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significant accounting policies related to these accounts in the preparation of our condensed consolidated financial statements are described under the heading “Management Discussion and Analysis of Financial Condition and Results of Operations – Critical Accounting Policies and Estimates” in our Annual Report on Form 10-K for the year ended December 31, 2023. See Note 2. Summary of Significant Accounting Policies in Part I, Item 1 herein, which describes changes to the critical accounting policies and methods used in the preparation 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Off-Balance Sheet Arrangements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Emerging Growth Company Status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have an auditor report on our internal controls over financial reporting pursuant to Section 404(b) of the Sarbanes-Oxley Act;</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submit certain executive compensation matters to shareholder advisory votes, such as “say-on-pay,” “say-on-frequency” and pay ratio; and</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disclose certain executive compensation related items such as the correlation between executive compensation and performance and comparisons of the CEO’s compensation to median employee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will remain an “emerging growth company” for up to five years,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Quantitative and Qualitative Disclosures About Market Risk</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Controls and Procedures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June 30, 2024,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have not been any changes in the Company’s internal control over financial reporting that occurred during the second quarter of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Legal Proceedings</w:t>
      </w:r>
    </w:p>
    <w:p>
      <w:pPr>
        <w:pStyle w:val="TextBody"/>
        <w:bidi w:val="0"/>
        <w:spacing w:lineRule="auto" w:line="288" w:before="240" w:after="283"/>
        <w:jc w:val="left"/>
        <w:rPr/>
      </w:pPr>
      <w:r>
        <w:rPr>
          <w:rFonts w:ascii="Calibri;sans-serif" w:hAnsi="Calibri;sans-serif"/>
          <w:b w:val="false"/>
          <w:color w:val="000000"/>
          <w:sz w:val="20"/>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For information on legal proceedings, refer to Note 10, "</w:t>
      </w:r>
      <w:r>
        <w:rPr>
          <w:rFonts w:ascii="Calibri;sans-serif" w:hAnsi="Calibri;sans-serif"/>
          <w:b w:val="false"/>
          <w:i/>
          <w:color w:val="000000"/>
          <w:sz w:val="20"/>
        </w:rPr>
        <w:t>Commitments and Contingencies—Legal Matters</w:t>
      </w:r>
      <w:r>
        <w:rPr>
          <w:rFonts w:ascii="Calibri;sans-serif" w:hAnsi="Calibri;sans-serif"/>
          <w:b w:val="false"/>
          <w:color w:val="000000"/>
          <w:sz w:val="20"/>
        </w:rPr>
        <w:t>" in our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1A. Risk Factors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In evaluating our company and our business, you should carefully consider the risks and uncertainties described in Part I, Item 1A, “Risk Factors” in our most recent Annual Report on Form 10-K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 There have been no material changes to the risk factors identified in our most recent Annual Report on Form 10-K, other than as set forth below.</w:t>
      </w:r>
    </w:p>
    <w:p>
      <w:pPr>
        <w:pStyle w:val="TextBody"/>
        <w:bidi w:val="0"/>
        <w:spacing w:lineRule="auto" w:line="288" w:before="240" w:after="120"/>
        <w:jc w:val="left"/>
        <w:rPr>
          <w:rFonts w:ascii="Calibri;sans-serif" w:hAnsi="Calibri;sans-serif"/>
          <w:b/>
          <w:i/>
          <w:color w:val="000000"/>
          <w:sz w:val="20"/>
        </w:rPr>
      </w:pPr>
      <w:r>
        <w:rPr>
          <w:rFonts w:ascii="Calibri;sans-serif" w:hAnsi="Calibri;sans-serif"/>
          <w:b/>
          <w:i/>
          <w:color w:val="000000"/>
          <w:sz w:val="20"/>
        </w:rPr>
        <w:t>The bitcoin reward for successfully uncovering a block most recently halved in April 2024 and will halve again several times in the future, and bitcoin value may not adjust to compensate us for the reduction in the rewards we receive from our bitcoin mining efforts.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Halving is a process designed to control the overall supply and reduce the risk of inflation in cryptocurrencies using a proof of work consensus algorithm. At a predetermined block, the bitcoin mining reward is cut in half, hence the term "halving." For bitcoin, the reward was initially set at 50 bitcoin currency rewards per block, which was cut in half to 25 on November 28, 2012 at block 210,000, then to 12.5 on July 9, 2016 at block 420,000, and then again to 6.25 on May 11, 2020 at block 630,000. The most recent halving for bitcoin occurred on April 19, 2024 at block 840,000 and the reward was reduced to 3.125. The next halving is expected to occur in spring 2028. This process will reoccur until the total amount of bitcoin currency rewards issued reaches 21 million, which is expected to occur around the year 2140.</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Bitcoin has had a history of price fluctuations around the halving of its rewards, and we can provide no assurance that any price change will be favorable or would compensate for the reduction in bitcoin mining reward in connection with a halving. If the award of bitcoin or a proportionate decrease in bitcoin mining difficulty does not follow these anticipated halving events, the revenue we earn from our cryptocurrency datacenter operations would see a corresponding decrease, and we may not have an adequate incentive to continue bitcoin mining.</w:t>
      </w:r>
    </w:p>
    <w:p>
      <w:pPr>
        <w:pStyle w:val="TextBody"/>
        <w:bidi w:val="0"/>
        <w:spacing w:before="0" w:after="0"/>
        <w:jc w:val="left"/>
        <w:rPr/>
      </w:pPr>
      <w:r>
        <w:rPr/>
      </w:r>
    </w:p>
    <w:p>
      <w:pPr>
        <w:pStyle w:val="TextBody"/>
        <w:bidi w:val="0"/>
        <w:spacing w:lineRule="auto" w:line="276" w:before="0" w:after="180"/>
        <w:jc w:val="left"/>
        <w:rPr>
          <w:rFonts w:ascii="Calibri;sans-serif" w:hAnsi="Calibri;sans-serif"/>
          <w:b/>
          <w:i/>
          <w:color w:val="000000"/>
          <w:sz w:val="20"/>
        </w:rPr>
      </w:pPr>
      <w:r>
        <w:rPr>
          <w:rFonts w:ascii="Calibri;sans-serif" w:hAnsi="Calibri;sans-serif"/>
          <w:b/>
          <w:i/>
          <w:color w:val="000000"/>
          <w:sz w:val="20"/>
        </w:rPr>
        <w:t>We have material environmental liabilities, and costs of compliance with existing and new environmental laws could have a material adverse effect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60"/>
        <w:jc w:val="left"/>
        <w:rPr/>
      </w:pPr>
      <w:r>
        <w:rPr>
          <w:rFonts w:ascii="Calibri;sans-serif" w:hAnsi="Calibri;sans-serif"/>
          <w:b w:val="false"/>
          <w:color w:val="000000"/>
          <w:sz w:val="20"/>
        </w:rPr>
        <w:t>We and our affiliates are subject to extensive environmental regulation by governmental authorities, including the United States Environmental Protection Agency (the "EPA"), and state environmental agencies such as the NYSDEC and/or attorneys general, and have material environmental liabilities, including a coal combustion ("CCR") residual liability of $17.3 million as of December 31, 2023 associated with the closure of a coal ash point located on the New York Facility property and an environmental liability of $12.9 million as of December 31, 2023 associated with the Lockwood Hills Landfill. See "</w:t>
      </w:r>
      <w:r>
        <w:rPr>
          <w:rFonts w:ascii="Calibri;sans-serif" w:hAnsi="Calibri;sans-serif"/>
          <w:b w:val="false"/>
          <w:i/>
          <w:color w:val="000000"/>
          <w:sz w:val="20"/>
        </w:rPr>
        <w:t>Business</w:t>
      </w:r>
      <w:r>
        <w:rPr>
          <w:color w:val="000000"/>
          <w:shd w:fill="FFFFFF" w:val="clear"/>
        </w:rPr>
        <w:t>—</w:t>
      </w:r>
      <w:r>
        <w:rPr>
          <w:rFonts w:ascii="Calibri;sans-serif" w:hAnsi="Calibri;sans-serif"/>
          <w:b w:val="false"/>
          <w:i/>
          <w:color w:val="000000"/>
          <w:sz w:val="20"/>
        </w:rPr>
        <w:t>Governmental Regulation</w:t>
      </w:r>
      <w:r>
        <w:rPr>
          <w:color w:val="000000"/>
          <w:shd w:fill="FFFFFF" w:val="clear"/>
        </w:rPr>
        <w:t>—</w:t>
      </w:r>
      <w:r>
        <w:rPr>
          <w:rFonts w:ascii="Calibri;sans-serif" w:hAnsi="Calibri;sans-serif"/>
          <w:b w:val="false"/>
          <w:i/>
          <w:color w:val="000000"/>
          <w:sz w:val="20"/>
        </w:rPr>
        <w:t>Environmental Liability</w:t>
      </w:r>
      <w:r>
        <w:rPr>
          <w:rFonts w:ascii="Calibri;sans-serif" w:hAnsi="Calibri;sans-serif"/>
          <w:b w:val="false"/>
          <w:color w:val="000000"/>
          <w:sz w:val="20"/>
        </w:rPr>
        <w:t>" and Note 10, "</w:t>
      </w:r>
      <w:r>
        <w:rPr>
          <w:rFonts w:ascii="Calibri;sans-serif" w:hAnsi="Calibri;sans-serif"/>
          <w:b w:val="false"/>
          <w:i/>
          <w:color w:val="000000"/>
          <w:sz w:val="20"/>
        </w:rPr>
        <w:t>Commitments and Contingencies</w:t>
      </w:r>
      <w:r>
        <w:rPr>
          <w:color w:val="000000"/>
          <w:shd w:fill="FFFFFF" w:val="clear"/>
        </w:rPr>
        <w:t>—</w:t>
      </w:r>
      <w:r>
        <w:rPr>
          <w:rFonts w:ascii="Calibri;sans-serif" w:hAnsi="Calibri;sans-serif"/>
          <w:b w:val="false"/>
          <w:i/>
          <w:color w:val="000000"/>
          <w:sz w:val="20"/>
        </w:rPr>
        <w:t>Environmental Liabilities</w:t>
      </w:r>
      <w:r>
        <w:rPr>
          <w:rFonts w:ascii="Calibri;sans-serif" w:hAnsi="Calibri;sans-serif"/>
          <w:b w:val="false"/>
          <w:color w:val="000000"/>
          <w:sz w:val="20"/>
        </w:rPr>
        <w:t xml:space="preserve">", in the Notes to Consolidated Financial Statements. We may incur significant additional costs beyond those currently contemplated to comply with these regulatory requirements. If we fail to comply with these and future regulatory requirements, we could be forced to reduce or discontinue operations or become subject to administrative, civil, or criminal liabilities and fines.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2015, EPA finalized federal regulations (the “CCR Rule”) that establish technical requirements for the disposal of CCR. The EPA recently published revisions to the CCR Rule, effective November 8, 2024 (the “revised CCR regulations”). The revised CCR regulations impose certain compliance and other obligations on certain previously unregulated CCR sites. The revised CCR regulations require, among other things, electric utilities and independent power producers to investigate and identify previously unregulated CCR sites and demonstrate that the sites were closed in accordance with the closure performance standards in the CCR Rule. The required investigation is conducted in phases, with the Phase 1 report due on February 9, 2026. Any required closure obligation would commence on May 8, 2029, unless exceptions apply that would defer the closure obligation to a permitting process. In accordance with the revised CCR regulations, phased evaluations of the Lockwood Hills and Greenidge Generation facilities will be conducted to determine if any previously unregulated CCR sites must be addressed under the new regulation. We make no assurances as to the status of any CCR sites at either facility that could be subject to regulation under the revised CCR regulations.</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Additionally, the EPA has recently finalized or proposed several regulatory actions establishing new requirements for control of certain air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We can provide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may not be able to obtain or maintain all required environmental regulatory approvals. For example, in June 2022, NYSDEC denied our application to renew a Title V Air Permit for the continued operation of our natural gas power generation facility in the Town of Torrey, New York. In July 2022, we appealed the denial and requested an administrative adjudicatory hearing with NYSDEC, however, in May 2024, our appeal to NYSDEC and request for an adjudicatory hearing were ultimately denied and the June 2022 non-renewal of our Title V Air Permit was affirmed by NYSDEC’s Regional Director for Region 7. We intend to take further legal action in a court of competent jurisdiction to challenge NYSDEC’s denial of our permit renewal application and to continue to operate the facility as normal pending a final, non-appealable outcome regarding our permit renewal application, however there can be no assurance that our efforts will be successful.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our results of operations and financial condition.</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 xml:space="preserve">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environmental claim against us or fail to meet its indemnification obligation to us. Such event could have an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Calibri;sans-serif" w:hAnsi="Calibri;sans-serif"/>
          <w:b/>
          <w:color w:val="000000"/>
          <w:sz w:val="20"/>
        </w:rPr>
      </w:pPr>
      <w:r>
        <w:rPr>
          <w:rFonts w:ascii="Calibri;sans-serif" w:hAnsi="Calibri;sans-serif"/>
          <w:b/>
          <w:color w:val="000000"/>
          <w:sz w:val="20"/>
        </w:rPr>
        <w:t>Item 2. Unregistered Sales of Equity Securities and Use of Proceeds</w:t>
      </w:r>
    </w:p>
    <w:p>
      <w:pPr>
        <w:pStyle w:val="TextBody"/>
        <w:bidi w:val="0"/>
        <w:spacing w:lineRule="auto" w:line="288" w:before="240" w:after="180"/>
        <w:ind w:left="0" w:right="0" w:firstLine="720"/>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Defaults Upon Senior Securities</w:t>
      </w:r>
    </w:p>
    <w:p>
      <w:pPr>
        <w:pStyle w:val="TextBody"/>
        <w:bidi w:val="0"/>
        <w:spacing w:lineRule="auto" w:line="288" w:before="24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Mine Safety Disclosures</w:t>
      </w:r>
    </w:p>
    <w:p>
      <w:pPr>
        <w:pStyle w:val="TextBody"/>
        <w:bidi w:val="0"/>
        <w:spacing w:lineRule="auto" w:line="288" w:before="24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5. Other Information</w:t>
      </w:r>
    </w:p>
    <w:p>
      <w:pPr>
        <w:pStyle w:val="TextBody"/>
        <w:bidi w:val="0"/>
        <w:spacing w:lineRule="auto" w:line="288" w:before="24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6. Exhibits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exhibits listed on the Exhibit Index are filed or furnished as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4"/>
        <w:gridCol w:w="284"/>
        <w:gridCol w:w="285"/>
        <w:gridCol w:w="109"/>
        <w:gridCol w:w="109"/>
        <w:gridCol w:w="109"/>
        <w:gridCol w:w="2677"/>
        <w:gridCol w:w="2601"/>
        <w:gridCol w:w="3707"/>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Calibri;sans-serif" w:hAnsi="Calibri;sans-serif"/>
                  <w:b w:val="false"/>
                  <w:color w:val="0000FF"/>
                  <w:sz w:val="20"/>
                  <w:u w:val="single"/>
                </w:rPr>
                <w:t>Commercial Purchase and Sale Agreement, dated March 6, 2024, between Greenidge Mississippi LLC and Janesville, LLC (incorporated by reference to Exhibit 10.46 of the Company's 10-K filed on April 10, 2024).</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Calibri;sans-serif" w:hAnsi="Calibri;sans-serif"/>
                  <w:b w:val="false"/>
                  <w:color w:val="000080"/>
                  <w:sz w:val="20"/>
                  <w:u w:val="single"/>
                </w:rPr>
                <w:t xml:space="preserve">Common Stock Purchase </w:t>
              </w:r>
            </w:hyperlink>
            <w:hyperlink r:id="rId4">
              <w:r>
                <w:rPr>
                  <w:rStyle w:val="InternetLink"/>
                  <w:rFonts w:ascii="Calibri;sans-serif" w:hAnsi="Calibri;sans-serif"/>
                  <w:b w:val="false"/>
                  <w:color w:val="000080"/>
                  <w:sz w:val="20"/>
                  <w:u w:val="single"/>
                </w:rPr>
                <w:t>Agreement</w:t>
              </w:r>
            </w:hyperlink>
            <w:hyperlink r:id="rId5">
              <w:r>
                <w:rPr>
                  <w:rStyle w:val="InternetLink"/>
                  <w:rFonts w:ascii="Calibri;sans-serif" w:hAnsi="Calibri;sans-serif"/>
                  <w:b w:val="false"/>
                  <w:color w:val="000080"/>
                  <w:sz w:val="20"/>
                  <w:u w:val="single"/>
                </w:rPr>
                <w:t xml:space="preserve">, dated </w:t>
              </w:r>
            </w:hyperlink>
            <w:hyperlink r:id="rId6">
              <w:r>
                <w:rPr>
                  <w:rStyle w:val="InternetLink"/>
                  <w:rFonts w:ascii="Calibri;sans-serif" w:hAnsi="Calibri;sans-serif"/>
                  <w:b w:val="false"/>
                  <w:color w:val="000080"/>
                  <w:sz w:val="20"/>
                  <w:u w:val="single"/>
                </w:rPr>
                <w:t>July</w:t>
              </w:r>
            </w:hyperlink>
            <w:hyperlink r:id="rId7">
              <w:r>
                <w:rPr>
                  <w:rStyle w:val="InternetLink"/>
                  <w:rFonts w:ascii="Calibri;sans-serif" w:hAnsi="Calibri;sans-serif"/>
                  <w:b w:val="false"/>
                  <w:color w:val="000080"/>
                  <w:sz w:val="20"/>
                  <w:u w:val="single"/>
                </w:rPr>
                <w:t xml:space="preserve"> </w:t>
              </w:r>
            </w:hyperlink>
            <w:hyperlink r:id="rId8">
              <w:r>
                <w:rPr>
                  <w:rStyle w:val="InternetLink"/>
                  <w:rFonts w:ascii="Calibri;sans-serif" w:hAnsi="Calibri;sans-serif"/>
                  <w:b w:val="false"/>
                  <w:color w:val="000080"/>
                  <w:sz w:val="20"/>
                  <w:u w:val="single"/>
                </w:rPr>
                <w:t>30</w:t>
              </w:r>
            </w:hyperlink>
            <w:hyperlink r:id="rId9">
              <w:r>
                <w:rPr>
                  <w:rStyle w:val="InternetLink"/>
                  <w:rFonts w:ascii="Calibri;sans-serif" w:hAnsi="Calibri;sans-serif"/>
                  <w:b w:val="false"/>
                  <w:color w:val="000080"/>
                  <w:sz w:val="20"/>
                  <w:u w:val="single"/>
                </w:rPr>
                <w:t xml:space="preserve">, 2024, </w:t>
              </w:r>
            </w:hyperlink>
            <w:hyperlink r:id="rId10">
              <w:r>
                <w:rPr>
                  <w:rStyle w:val="InternetLink"/>
                  <w:rFonts w:ascii="Calibri;sans-serif" w:hAnsi="Calibri;sans-serif"/>
                  <w:b w:val="false"/>
                  <w:color w:val="000080"/>
                  <w:sz w:val="20"/>
                  <w:u w:val="single"/>
                </w:rPr>
                <w:t>between</w:t>
              </w:r>
            </w:hyperlink>
            <w:hyperlink r:id="rId11">
              <w:r>
                <w:rPr>
                  <w:rStyle w:val="InternetLink"/>
                  <w:rFonts w:ascii="Calibri;sans-serif" w:hAnsi="Calibri;sans-serif"/>
                  <w:b w:val="false"/>
                  <w:color w:val="000080"/>
                  <w:sz w:val="20"/>
                  <w:u w:val="single"/>
                </w:rPr>
                <w:t xml:space="preserve"> Greenidge Generation Holdings Inc. </w:t>
              </w:r>
            </w:hyperlink>
            <w:hyperlink r:id="rId12">
              <w:r>
                <w:rPr>
                  <w:rStyle w:val="InternetLink"/>
                  <w:rFonts w:ascii="Calibri;sans-serif" w:hAnsi="Calibri;sans-serif"/>
                  <w:b w:val="false"/>
                  <w:color w:val="000080"/>
                  <w:sz w:val="20"/>
                  <w:u w:val="single"/>
                </w:rPr>
                <w:t>and</w:t>
              </w:r>
            </w:hyperlink>
            <w:hyperlink r:id="rId13">
              <w:r>
                <w:rPr>
                  <w:rStyle w:val="InternetLink"/>
                  <w:rFonts w:ascii="Calibri;sans-serif" w:hAnsi="Calibri;sans-serif"/>
                  <w:b w:val="false"/>
                  <w:color w:val="000080"/>
                  <w:sz w:val="20"/>
                  <w:u w:val="single"/>
                </w:rPr>
                <w:t xml:space="preserve"> </w:t>
              </w:r>
            </w:hyperlink>
            <w:hyperlink r:id="rId14">
              <w:r>
                <w:rPr>
                  <w:rStyle w:val="InternetLink"/>
                  <w:rFonts w:ascii="Calibri;sans-serif" w:hAnsi="Calibri;sans-serif"/>
                  <w:b w:val="false"/>
                  <w:color w:val="000080"/>
                  <w:sz w:val="20"/>
                  <w:u w:val="single"/>
                </w:rPr>
                <w:t xml:space="preserve">B. Riley Principal Capital II, LLC </w:t>
              </w:r>
            </w:hyperlink>
            <w:hyperlink r:id="rId15">
              <w:r>
                <w:rPr>
                  <w:rStyle w:val="InternetLink"/>
                  <w:rFonts w:ascii="Calibri;sans-serif" w:hAnsi="Calibri;sans-serif"/>
                  <w:b w:val="false"/>
                  <w:color w:val="000080"/>
                  <w:sz w:val="20"/>
                  <w:u w:val="single"/>
                </w:rPr>
                <w:t>(incorporated by reference to Exhibit 10.</w:t>
              </w:r>
            </w:hyperlink>
            <w:hyperlink r:id="rId16">
              <w:r>
                <w:rPr>
                  <w:rStyle w:val="InternetLink"/>
                  <w:rFonts w:ascii="Calibri;sans-serif" w:hAnsi="Calibri;sans-serif"/>
                  <w:b w:val="false"/>
                  <w:color w:val="000080"/>
                  <w:sz w:val="20"/>
                  <w:u w:val="single"/>
                </w:rPr>
                <w:t>1</w:t>
              </w:r>
            </w:hyperlink>
            <w:hyperlink r:id="rId17">
              <w:r>
                <w:rPr>
                  <w:rStyle w:val="InternetLink"/>
                  <w:rFonts w:ascii="Calibri;sans-serif" w:hAnsi="Calibri;sans-serif"/>
                  <w:b w:val="false"/>
                  <w:color w:val="000080"/>
                  <w:sz w:val="20"/>
                  <w:u w:val="single"/>
                </w:rPr>
                <w:t xml:space="preserve"> of the Company's Form 8-K filed on </w:t>
              </w:r>
            </w:hyperlink>
            <w:hyperlink r:id="rId18">
              <w:r>
                <w:rPr>
                  <w:rStyle w:val="InternetLink"/>
                  <w:rFonts w:ascii="Calibri;sans-serif" w:hAnsi="Calibri;sans-serif"/>
                  <w:b w:val="false"/>
                  <w:color w:val="000080"/>
                  <w:sz w:val="20"/>
                  <w:u w:val="single"/>
                </w:rPr>
                <w:t>July</w:t>
              </w:r>
            </w:hyperlink>
            <w:hyperlink r:id="rId19">
              <w:r>
                <w:rPr>
                  <w:rStyle w:val="InternetLink"/>
                  <w:rFonts w:ascii="Calibri;sans-serif" w:hAnsi="Calibri;sans-serif"/>
                  <w:b w:val="false"/>
                  <w:color w:val="000080"/>
                  <w:sz w:val="20"/>
                  <w:u w:val="single"/>
                </w:rPr>
                <w:t xml:space="preserve"> </w:t>
              </w:r>
            </w:hyperlink>
            <w:hyperlink r:id="rId20">
              <w:r>
                <w:rPr>
                  <w:rStyle w:val="InternetLink"/>
                  <w:rFonts w:ascii="Calibri;sans-serif" w:hAnsi="Calibri;sans-serif"/>
                  <w:b w:val="false"/>
                  <w:color w:val="000080"/>
                  <w:sz w:val="20"/>
                  <w:u w:val="single"/>
                </w:rPr>
                <w:t>31</w:t>
              </w:r>
            </w:hyperlink>
            <w:hyperlink r:id="rId21">
              <w:r>
                <w:rPr>
                  <w:rStyle w:val="InternetLink"/>
                  <w:rFonts w:ascii="Calibri;sans-serif" w:hAnsi="Calibri;sans-serif"/>
                  <w:b w:val="false"/>
                  <w:color w:val="000080"/>
                  <w:sz w:val="20"/>
                  <w:u w:val="single"/>
                </w:rPr>
                <w:t>, 2024).</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Calibri;sans-serif" w:hAnsi="Calibri;sans-serif"/>
                  <w:b w:val="false"/>
                  <w:color w:val="000080"/>
                  <w:sz w:val="20"/>
                  <w:u w:val="single"/>
                </w:rPr>
                <w:t>R</w:t>
              </w:r>
            </w:hyperlink>
            <w:hyperlink r:id="rId23">
              <w:r>
                <w:rPr>
                  <w:rStyle w:val="InternetLink"/>
                  <w:rFonts w:ascii="Calibri;sans-serif" w:hAnsi="Calibri;sans-serif"/>
                  <w:b w:val="false"/>
                  <w:color w:val="000080"/>
                  <w:sz w:val="20"/>
                  <w:u w:val="single"/>
                </w:rPr>
                <w:t>egistration Rights Agreement</w:t>
              </w:r>
            </w:hyperlink>
            <w:hyperlink r:id="rId24">
              <w:r>
                <w:rPr>
                  <w:rStyle w:val="InternetLink"/>
                  <w:rFonts w:ascii="Calibri;sans-serif" w:hAnsi="Calibri;sans-serif"/>
                  <w:b w:val="false"/>
                  <w:color w:val="000080"/>
                  <w:sz w:val="20"/>
                  <w:u w:val="single"/>
                </w:rPr>
                <w:t xml:space="preserve">, dated </w:t>
              </w:r>
            </w:hyperlink>
            <w:hyperlink r:id="rId25">
              <w:r>
                <w:rPr>
                  <w:rStyle w:val="InternetLink"/>
                  <w:rFonts w:ascii="Calibri;sans-serif" w:hAnsi="Calibri;sans-serif"/>
                  <w:b w:val="false"/>
                  <w:color w:val="000080"/>
                  <w:sz w:val="20"/>
                  <w:u w:val="single"/>
                </w:rPr>
                <w:t>July</w:t>
              </w:r>
            </w:hyperlink>
            <w:hyperlink r:id="rId26">
              <w:r>
                <w:rPr>
                  <w:rStyle w:val="InternetLink"/>
                  <w:rFonts w:ascii="Calibri;sans-serif" w:hAnsi="Calibri;sans-serif"/>
                  <w:b w:val="false"/>
                  <w:color w:val="000080"/>
                  <w:sz w:val="20"/>
                  <w:u w:val="single"/>
                </w:rPr>
                <w:t xml:space="preserve"> </w:t>
              </w:r>
            </w:hyperlink>
            <w:hyperlink r:id="rId27">
              <w:r>
                <w:rPr>
                  <w:rStyle w:val="InternetLink"/>
                  <w:rFonts w:ascii="Calibri;sans-serif" w:hAnsi="Calibri;sans-serif"/>
                  <w:b w:val="false"/>
                  <w:color w:val="000080"/>
                  <w:sz w:val="20"/>
                  <w:u w:val="single"/>
                </w:rPr>
                <w:t>30</w:t>
              </w:r>
            </w:hyperlink>
            <w:hyperlink r:id="rId28">
              <w:r>
                <w:rPr>
                  <w:rStyle w:val="InternetLink"/>
                  <w:rFonts w:ascii="Calibri;sans-serif" w:hAnsi="Calibri;sans-serif"/>
                  <w:b w:val="false"/>
                  <w:color w:val="000080"/>
                  <w:sz w:val="20"/>
                  <w:u w:val="single"/>
                </w:rPr>
                <w:t xml:space="preserve">, 2024, </w:t>
              </w:r>
            </w:hyperlink>
            <w:hyperlink r:id="rId29">
              <w:r>
                <w:rPr>
                  <w:rStyle w:val="InternetLink"/>
                  <w:rFonts w:ascii="Calibri;sans-serif" w:hAnsi="Calibri;sans-serif"/>
                  <w:b w:val="false"/>
                  <w:color w:val="000080"/>
                  <w:sz w:val="20"/>
                  <w:u w:val="single"/>
                </w:rPr>
                <w:t>between</w:t>
              </w:r>
            </w:hyperlink>
            <w:hyperlink r:id="rId30">
              <w:r>
                <w:rPr>
                  <w:rStyle w:val="InternetLink"/>
                  <w:rFonts w:ascii="Calibri;sans-serif" w:hAnsi="Calibri;sans-serif"/>
                  <w:b w:val="false"/>
                  <w:color w:val="000080"/>
                  <w:sz w:val="20"/>
                  <w:u w:val="single"/>
                </w:rPr>
                <w:t xml:space="preserve"> Greenidge Generation Holdings Inc. </w:t>
              </w:r>
            </w:hyperlink>
            <w:hyperlink r:id="rId31">
              <w:r>
                <w:rPr>
                  <w:rStyle w:val="InternetLink"/>
                  <w:rFonts w:ascii="Calibri;sans-serif" w:hAnsi="Calibri;sans-serif"/>
                  <w:b w:val="false"/>
                  <w:color w:val="000080"/>
                  <w:sz w:val="20"/>
                  <w:u w:val="single"/>
                </w:rPr>
                <w:t>and B. Riley Principal Capital II,</w:t>
              </w:r>
            </w:hyperlink>
            <w:hyperlink r:id="rId32">
              <w:r>
                <w:rPr>
                  <w:rStyle w:val="InternetLink"/>
                  <w:rFonts w:ascii="Calibri;sans-serif" w:hAnsi="Calibri;sans-serif"/>
                  <w:b w:val="false"/>
                  <w:color w:val="000080"/>
                  <w:sz w:val="20"/>
                  <w:u w:val="single"/>
                </w:rPr>
                <w:t xml:space="preserve"> LLC</w:t>
              </w:r>
            </w:hyperlink>
            <w:hyperlink r:id="rId33">
              <w:r>
                <w:rPr>
                  <w:rStyle w:val="InternetLink"/>
                  <w:rFonts w:ascii="Calibri;sans-serif" w:hAnsi="Calibri;sans-serif"/>
                  <w:b w:val="false"/>
                  <w:color w:val="000080"/>
                  <w:sz w:val="20"/>
                  <w:u w:val="single"/>
                </w:rPr>
                <w:t xml:space="preserve"> (incorporated by reference to Exhibit 10.</w:t>
              </w:r>
            </w:hyperlink>
            <w:hyperlink r:id="rId34">
              <w:r>
                <w:rPr>
                  <w:rStyle w:val="InternetLink"/>
                  <w:rFonts w:ascii="Calibri;sans-serif" w:hAnsi="Calibri;sans-serif"/>
                  <w:b w:val="false"/>
                  <w:color w:val="000080"/>
                  <w:sz w:val="20"/>
                  <w:u w:val="single"/>
                </w:rPr>
                <w:t>2</w:t>
              </w:r>
            </w:hyperlink>
            <w:hyperlink r:id="rId35">
              <w:r>
                <w:rPr>
                  <w:rStyle w:val="InternetLink"/>
                  <w:rFonts w:ascii="Calibri;sans-serif" w:hAnsi="Calibri;sans-serif"/>
                  <w:b w:val="false"/>
                  <w:color w:val="000080"/>
                  <w:sz w:val="20"/>
                  <w:u w:val="single"/>
                </w:rPr>
                <w:t xml:space="preserve"> of the Company's Form 8-K filed on </w:t>
              </w:r>
            </w:hyperlink>
            <w:hyperlink r:id="rId36">
              <w:r>
                <w:rPr>
                  <w:rStyle w:val="InternetLink"/>
                  <w:rFonts w:ascii="Calibri;sans-serif" w:hAnsi="Calibri;sans-serif"/>
                  <w:b w:val="false"/>
                  <w:color w:val="000080"/>
                  <w:sz w:val="20"/>
                  <w:u w:val="single"/>
                </w:rPr>
                <w:t>July</w:t>
              </w:r>
            </w:hyperlink>
            <w:hyperlink r:id="rId37">
              <w:r>
                <w:rPr>
                  <w:rStyle w:val="InternetLink"/>
                  <w:rFonts w:ascii="Calibri;sans-serif" w:hAnsi="Calibri;sans-serif"/>
                  <w:b w:val="false"/>
                  <w:color w:val="000080"/>
                  <w:sz w:val="20"/>
                  <w:u w:val="single"/>
                </w:rPr>
                <w:t xml:space="preserve"> </w:t>
              </w:r>
            </w:hyperlink>
            <w:hyperlink r:id="rId38">
              <w:r>
                <w:rPr>
                  <w:rStyle w:val="InternetLink"/>
                  <w:rFonts w:ascii="Calibri;sans-serif" w:hAnsi="Calibri;sans-serif"/>
                  <w:b w:val="false"/>
                  <w:color w:val="000080"/>
                  <w:sz w:val="20"/>
                  <w:u w:val="single"/>
                </w:rPr>
                <w:t>31</w:t>
              </w:r>
            </w:hyperlink>
            <w:hyperlink r:id="rId39">
              <w:r>
                <w:rPr>
                  <w:rStyle w:val="InternetLink"/>
                  <w:rFonts w:ascii="Calibri;sans-serif" w:hAnsi="Calibri;sans-serif"/>
                  <w:b w:val="false"/>
                  <w:color w:val="000080"/>
                  <w:sz w:val="20"/>
                  <w:u w:val="single"/>
                </w:rPr>
                <w:t>, 2024).</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40630x10qex311.htm">
              <w:r>
                <w:rPr>
                  <w:rStyle w:val="InternetLink"/>
                  <w:rFonts w:ascii="Calibri;sans-serif" w:hAnsi="Calibri;sans-serif"/>
                  <w:b w:val="false"/>
                  <w:color w:val="0000FF"/>
                  <w:sz w:val="20"/>
                  <w:u w:val="single"/>
                </w:rPr>
                <w:t>Certification of Principal Executive Officer Pursuant to Rules 13a-14(a) and 15d-14(a) of the Securities Exchange Act of 1934, as amended, as Adopted Pursuant to Section 302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40630x10qex312.htm">
              <w:r>
                <w:rPr>
                  <w:rStyle w:val="InternetLink"/>
                  <w:rFonts w:ascii="Calibri;sans-serif" w:hAnsi="Calibri;sans-serif"/>
                  <w:b w:val="false"/>
                  <w:color w:val="0000FF"/>
                  <w:sz w:val="20"/>
                  <w:u w:val="single"/>
                </w:rPr>
                <w:t>Certification of Principal Financial Officer Pursuant to Rules 13a-14(a) and 15d-14(a) of the Securities Exchange Act of 1934, as amended, as Adopted Pursuant to Section 302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40630x10qex321.htm">
              <w:r>
                <w:rPr>
                  <w:rStyle w:val="InternetLink"/>
                  <w:rFonts w:ascii="Calibri;sans-serif" w:hAnsi="Calibri;sans-serif"/>
                  <w:b w:val="false"/>
                  <w:color w:val="0000FF"/>
                  <w:sz w:val="20"/>
                  <w:u w:val="single"/>
                </w:rPr>
                <w:t>Certification of Principal Executive Officer Pursuant to 18 U.S.C. Section 1350, as Adopted Pursuant to Section 906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40630x10qex322.htm">
              <w:r>
                <w:rPr>
                  <w:rStyle w:val="InternetLink"/>
                  <w:rFonts w:ascii="Calibri;sans-serif" w:hAnsi="Calibri;sans-serif"/>
                  <w:b w:val="false"/>
                  <w:color w:val="0000FF"/>
                  <w:sz w:val="20"/>
                  <w:u w:val="single"/>
                </w:rPr>
                <w:t>Certification of Principal Financial Officer Pursuant to 18 U.S.C. Section 1350, as Adopted Pursuant to Section 906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Interactive data files pursuant to Rule 405 of Regulation S-T: (i) the Balance Sheets, (ii) the Statements of Operations, (iii) the Statements of Cash Flows and (iv) the Notes to Unaudited Condensed Interim Consolidated Financial Statements.</w:t>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tbl>
      <w:tblPr>
        <w:tblW w:w="2081" w:type="dxa"/>
        <w:jc w:val="left"/>
        <w:tblInd w:w="0" w:type="dxa"/>
        <w:tblLayout w:type="fixed"/>
        <w:tblCellMar>
          <w:top w:w="28" w:type="dxa"/>
          <w:left w:w="28" w:type="dxa"/>
          <w:bottom w:w="28" w:type="dxa"/>
          <w:right w:w="28" w:type="dxa"/>
        </w:tblCellMar>
      </w:tblPr>
      <w:tblGrid>
        <w:gridCol w:w="124"/>
        <w:gridCol w:w="109"/>
        <w:gridCol w:w="109"/>
        <w:gridCol w:w="509"/>
        <w:gridCol w:w="509"/>
        <w:gridCol w:w="7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73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379" w:type="dxa"/>
        <w:jc w:val="left"/>
        <w:tblInd w:w="0" w:type="dxa"/>
        <w:tblLayout w:type="fixed"/>
        <w:tblCellMar>
          <w:top w:w="28" w:type="dxa"/>
          <w:left w:w="28" w:type="dxa"/>
          <w:bottom w:w="28" w:type="dxa"/>
          <w:right w:w="28" w:type="dxa"/>
        </w:tblCellMar>
      </w:tblPr>
      <w:tblGrid>
        <w:gridCol w:w="705"/>
        <w:gridCol w:w="621"/>
        <w:gridCol w:w="624"/>
        <w:gridCol w:w="500"/>
        <w:gridCol w:w="500"/>
        <w:gridCol w:w="500"/>
        <w:gridCol w:w="1149"/>
        <w:gridCol w:w="1149"/>
        <w:gridCol w:w="163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Greenidge Generation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2024</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Jordan Kovler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Jordan Kovler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2024</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Mulvihill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Christian Mulvihill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Jordan Kovler,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June 30, 2024;</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615" w:type="dxa"/>
        <w:jc w:val="left"/>
        <w:tblInd w:w="0" w:type="dxa"/>
        <w:tblLayout w:type="fixed"/>
        <w:tblCellMar>
          <w:top w:w="28" w:type="dxa"/>
          <w:left w:w="28" w:type="dxa"/>
          <w:bottom w:w="28" w:type="dxa"/>
          <w:right w:w="28" w:type="dxa"/>
        </w:tblCellMar>
      </w:tblPr>
      <w:tblGrid>
        <w:gridCol w:w="190"/>
        <w:gridCol w:w="167"/>
        <w:gridCol w:w="168"/>
        <w:gridCol w:w="474"/>
        <w:gridCol w:w="474"/>
        <w:gridCol w:w="476"/>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Jordan Kovler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Jordan Kovler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Christian Mulvihill,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June 30, 2024;</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526" w:type="dxa"/>
        <w:jc w:val="left"/>
        <w:tblInd w:w="0" w:type="dxa"/>
        <w:tblLayout w:type="fixed"/>
        <w:tblCellMar>
          <w:top w:w="28" w:type="dxa"/>
          <w:left w:w="28" w:type="dxa"/>
          <w:bottom w:w="28" w:type="dxa"/>
          <w:right w:w="28" w:type="dxa"/>
        </w:tblCellMar>
      </w:tblPr>
      <w:tblGrid>
        <w:gridCol w:w="190"/>
        <w:gridCol w:w="167"/>
        <w:gridCol w:w="168"/>
        <w:gridCol w:w="474"/>
        <w:gridCol w:w="474"/>
        <w:gridCol w:w="476"/>
        <w:gridCol w:w="109"/>
        <w:gridCol w:w="109"/>
        <w:gridCol w:w="109"/>
        <w:gridCol w:w="115"/>
        <w:gridCol w:w="115"/>
        <w:gridCol w:w="115"/>
        <w:gridCol w:w="557"/>
        <w:gridCol w:w="557"/>
        <w:gridCol w:w="791"/>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June 30,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615" w:type="dxa"/>
        <w:jc w:val="left"/>
        <w:tblInd w:w="0" w:type="dxa"/>
        <w:tblLayout w:type="fixed"/>
        <w:tblCellMar>
          <w:top w:w="28" w:type="dxa"/>
          <w:left w:w="28" w:type="dxa"/>
          <w:bottom w:w="28" w:type="dxa"/>
          <w:right w:w="28" w:type="dxa"/>
        </w:tblCellMar>
      </w:tblPr>
      <w:tblGrid>
        <w:gridCol w:w="190"/>
        <w:gridCol w:w="167"/>
        <w:gridCol w:w="168"/>
        <w:gridCol w:w="474"/>
        <w:gridCol w:w="474"/>
        <w:gridCol w:w="476"/>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Jordan Kovler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Jordan Kovler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June 30,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526" w:type="dxa"/>
        <w:jc w:val="left"/>
        <w:tblInd w:w="0" w:type="dxa"/>
        <w:tblLayout w:type="fixed"/>
        <w:tblCellMar>
          <w:top w:w="28" w:type="dxa"/>
          <w:left w:w="28" w:type="dxa"/>
          <w:bottom w:w="28" w:type="dxa"/>
          <w:right w:w="28" w:type="dxa"/>
        </w:tblCellMar>
      </w:tblPr>
      <w:tblGrid>
        <w:gridCol w:w="190"/>
        <w:gridCol w:w="167"/>
        <w:gridCol w:w="168"/>
        <w:gridCol w:w="474"/>
        <w:gridCol w:w="474"/>
        <w:gridCol w:w="476"/>
        <w:gridCol w:w="109"/>
        <w:gridCol w:w="109"/>
        <w:gridCol w:w="109"/>
        <w:gridCol w:w="115"/>
        <w:gridCol w:w="115"/>
        <w:gridCol w:w="115"/>
        <w:gridCol w:w="557"/>
        <w:gridCol w:w="557"/>
        <w:gridCol w:w="791"/>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Christian Mulvihill</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971/000162828024015540/commercialpurchaseandsalea.htm" TargetMode="External"/><Relationship Id="rId3" Type="http://schemas.openxmlformats.org/officeDocument/2006/relationships/hyperlink" Target="https://www.sec.gov/Archives/edgar/data/1844971/000162828024033782/greecef-commonstockpurch.htm" TargetMode="External"/><Relationship Id="rId4" Type="http://schemas.openxmlformats.org/officeDocument/2006/relationships/hyperlink" Target="https://www.sec.gov/Archives/edgar/data/1844971/000162828024033782/greecef-commonstockpurch.htm" TargetMode="External"/><Relationship Id="rId5" Type="http://schemas.openxmlformats.org/officeDocument/2006/relationships/hyperlink" Target="https://www.sec.gov/Archives/edgar/data/1844971/000162828024033782/greecef-commonstockpurch.htm" TargetMode="External"/><Relationship Id="rId6" Type="http://schemas.openxmlformats.org/officeDocument/2006/relationships/hyperlink" Target="https://www.sec.gov/Archives/edgar/data/1844971/000162828024033782/greecef-commonstockpurch.htm" TargetMode="External"/><Relationship Id="rId7" Type="http://schemas.openxmlformats.org/officeDocument/2006/relationships/hyperlink" Target="https://www.sec.gov/Archives/edgar/data/1844971/000162828024033782/greecef-commonstockpurch.htm" TargetMode="External"/><Relationship Id="rId8" Type="http://schemas.openxmlformats.org/officeDocument/2006/relationships/hyperlink" Target="https://www.sec.gov/Archives/edgar/data/1844971/000162828024033782/greecef-commonstockpurch.htm" TargetMode="External"/><Relationship Id="rId9" Type="http://schemas.openxmlformats.org/officeDocument/2006/relationships/hyperlink" Target="https://www.sec.gov/Archives/edgar/data/1844971/000162828024033782/greecef-commonstockpurch.htm" TargetMode="External"/><Relationship Id="rId10" Type="http://schemas.openxmlformats.org/officeDocument/2006/relationships/hyperlink" Target="https://www.sec.gov/Archives/edgar/data/1844971/000162828024033782/greecef-commonstockpurch.htm" TargetMode="External"/><Relationship Id="rId11" Type="http://schemas.openxmlformats.org/officeDocument/2006/relationships/hyperlink" Target="https://www.sec.gov/Archives/edgar/data/1844971/000162828024033782/greecef-commonstockpurch.htm" TargetMode="External"/><Relationship Id="rId12" Type="http://schemas.openxmlformats.org/officeDocument/2006/relationships/hyperlink" Target="https://www.sec.gov/Archives/edgar/data/1844971/000162828024033782/greecef-commonstockpurch.htm" TargetMode="External"/><Relationship Id="rId13" Type="http://schemas.openxmlformats.org/officeDocument/2006/relationships/hyperlink" Target="https://www.sec.gov/Archives/edgar/data/1844971/000162828024033782/greecef-commonstockpurch.htm" TargetMode="External"/><Relationship Id="rId14" Type="http://schemas.openxmlformats.org/officeDocument/2006/relationships/hyperlink" Target="https://www.sec.gov/Archives/edgar/data/1844971/000162828024033782/greecef-commonstockpurch.htm" TargetMode="External"/><Relationship Id="rId15" Type="http://schemas.openxmlformats.org/officeDocument/2006/relationships/hyperlink" Target="https://www.sec.gov/Archives/edgar/data/1844971/000162828024033782/greecef-commonstockpurch.htm" TargetMode="External"/><Relationship Id="rId16" Type="http://schemas.openxmlformats.org/officeDocument/2006/relationships/hyperlink" Target="https://www.sec.gov/Archives/edgar/data/1844971/000162828024033782/greecef-commonstockpurch.htm" TargetMode="External"/><Relationship Id="rId17" Type="http://schemas.openxmlformats.org/officeDocument/2006/relationships/hyperlink" Target="https://www.sec.gov/Archives/edgar/data/1844971/000162828024033782/greecef-commonstockpurch.htm" TargetMode="External"/><Relationship Id="rId18" Type="http://schemas.openxmlformats.org/officeDocument/2006/relationships/hyperlink" Target="https://www.sec.gov/Archives/edgar/data/1844971/000162828024033782/greecef-commonstockpurch.htm" TargetMode="External"/><Relationship Id="rId19" Type="http://schemas.openxmlformats.org/officeDocument/2006/relationships/hyperlink" Target="https://www.sec.gov/Archives/edgar/data/1844971/000162828024033782/greecef-commonstockpurch.htm" TargetMode="External"/><Relationship Id="rId20" Type="http://schemas.openxmlformats.org/officeDocument/2006/relationships/hyperlink" Target="https://www.sec.gov/Archives/edgar/data/1844971/000162828024033782/greecef-commonstockpurch.htm" TargetMode="External"/><Relationship Id="rId21" Type="http://schemas.openxmlformats.org/officeDocument/2006/relationships/hyperlink" Target="https://www.sec.gov/Archives/edgar/data/1844971/000162828024033782/greecef-commonstockpurch.htm" TargetMode="External"/><Relationship Id="rId22" Type="http://schemas.openxmlformats.org/officeDocument/2006/relationships/hyperlink" Target="https://www.sec.gov/Archives/edgar/data/1844971/000162828024033782/greecef-registrationrigh.htm" TargetMode="External"/><Relationship Id="rId23" Type="http://schemas.openxmlformats.org/officeDocument/2006/relationships/hyperlink" Target="https://www.sec.gov/Archives/edgar/data/1844971/000162828024033782/greecef-registrationrigh.htm" TargetMode="External"/><Relationship Id="rId24" Type="http://schemas.openxmlformats.org/officeDocument/2006/relationships/hyperlink" Target="https://www.sec.gov/Archives/edgar/data/1844971/000162828024033782/greecef-registrationrigh.htm" TargetMode="External"/><Relationship Id="rId25" Type="http://schemas.openxmlformats.org/officeDocument/2006/relationships/hyperlink" Target="https://www.sec.gov/Archives/edgar/data/1844971/000162828024033782/greecef-registrationrigh.htm" TargetMode="External"/><Relationship Id="rId26" Type="http://schemas.openxmlformats.org/officeDocument/2006/relationships/hyperlink" Target="https://www.sec.gov/Archives/edgar/data/1844971/000162828024033782/greecef-registrationrigh.htm" TargetMode="External"/><Relationship Id="rId27" Type="http://schemas.openxmlformats.org/officeDocument/2006/relationships/hyperlink" Target="https://www.sec.gov/Archives/edgar/data/1844971/000162828024033782/greecef-registrationrigh.htm" TargetMode="External"/><Relationship Id="rId28" Type="http://schemas.openxmlformats.org/officeDocument/2006/relationships/hyperlink" Target="https://www.sec.gov/Archives/edgar/data/1844971/000162828024033782/greecef-registrationrigh.htm" TargetMode="External"/><Relationship Id="rId29" Type="http://schemas.openxmlformats.org/officeDocument/2006/relationships/hyperlink" Target="https://www.sec.gov/Archives/edgar/data/1844971/000162828024033782/greecef-registrationrigh.htm" TargetMode="External"/><Relationship Id="rId30" Type="http://schemas.openxmlformats.org/officeDocument/2006/relationships/hyperlink" Target="https://www.sec.gov/Archives/edgar/data/1844971/000162828024033782/greecef-registrationrigh.htm" TargetMode="External"/><Relationship Id="rId31" Type="http://schemas.openxmlformats.org/officeDocument/2006/relationships/hyperlink" Target="https://www.sec.gov/Archives/edgar/data/1844971/000162828024033782/greecef-registrationrigh.htm" TargetMode="External"/><Relationship Id="rId32" Type="http://schemas.openxmlformats.org/officeDocument/2006/relationships/hyperlink" Target="https://www.sec.gov/Archives/edgar/data/1844971/000162828024033782/greecef-registrationrigh.htm" TargetMode="External"/><Relationship Id="rId33" Type="http://schemas.openxmlformats.org/officeDocument/2006/relationships/hyperlink" Target="https://www.sec.gov/Archives/edgar/data/1844971/000162828024033782/greecef-registrationrigh.htm" TargetMode="External"/><Relationship Id="rId34" Type="http://schemas.openxmlformats.org/officeDocument/2006/relationships/hyperlink" Target="https://www.sec.gov/Archives/edgar/data/1844971/000162828024033782/greecef-registrationrigh.htm" TargetMode="External"/><Relationship Id="rId35" Type="http://schemas.openxmlformats.org/officeDocument/2006/relationships/hyperlink" Target="https://www.sec.gov/Archives/edgar/data/1844971/000162828024033782/greecef-registrationrigh.htm" TargetMode="External"/><Relationship Id="rId36" Type="http://schemas.openxmlformats.org/officeDocument/2006/relationships/hyperlink" Target="https://www.sec.gov/Archives/edgar/data/1844971/000162828024033782/greecef-registrationrigh.htm" TargetMode="External"/><Relationship Id="rId37" Type="http://schemas.openxmlformats.org/officeDocument/2006/relationships/hyperlink" Target="https://www.sec.gov/Archives/edgar/data/1844971/000162828024033782/greecef-registrationrigh.htm" TargetMode="External"/><Relationship Id="rId38" Type="http://schemas.openxmlformats.org/officeDocument/2006/relationships/hyperlink" Target="https://www.sec.gov/Archives/edgar/data/1844971/000162828024033782/greecef-registrationrigh.htm" TargetMode="External"/><Relationship Id="rId39" Type="http://schemas.openxmlformats.org/officeDocument/2006/relationships/hyperlink" Target="https://www.sec.gov/Archives/edgar/data/1844971/000162828024033782/greecef-registrationrigh.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26418</Words>
  <Characters>142566</Characters>
  <CharactersWithSpaces>167010</CharactersWithSpaces>
  <Paragraphs>3224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