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660" w:right="340" w:hanging="652"/>
        <w:spacing w:after="0" w:line="256" w:lineRule="auto"/>
        <w:tabs>
          <w:tab w:leader="none" w:pos="37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60" w:right="320" w:hanging="652"/>
        <w:spacing w:after="0" w:line="274" w:lineRule="auto"/>
        <w:tabs>
          <w:tab w:leader="none" w:pos="384"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3"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001-40808</w:t>
      </w:r>
    </w:p>
    <w:p>
      <w:pPr>
        <w:spacing w:after="0" w:line="31"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Greenidge Generation Holdings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136" w:lineRule="exact"/>
        <w:rPr>
          <w:sz w:val="24"/>
          <w:szCs w:val="24"/>
          <w:color w:val="auto"/>
        </w:rPr>
      </w:pPr>
    </w:p>
    <w:tbl>
      <w:tblPr>
        <w:tblLayout w:type="fixed"/>
        <w:tblInd w:w="1160" w:type="dxa"/>
        <w:tblCellMar>
          <w:top w:w="0" w:type="dxa"/>
          <w:left w:w="0" w:type="dxa"/>
          <w:bottom w:w="0" w:type="dxa"/>
          <w:right w:w="0" w:type="dxa"/>
        </w:tblCellMar>
      </w:tblPr>
      <w:tr>
        <w:trPr>
          <w:trHeight w:val="239"/>
        </w:trPr>
        <w:tc>
          <w:tcPr>
            <w:tcW w:w="4280" w:type="dxa"/>
            <w:vAlign w:val="bottom"/>
          </w:tcPr>
          <w:p>
            <w:pPr>
              <w:jc w:val="center"/>
              <w:ind w:right="1499"/>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right"/>
              <w:ind w:right="41"/>
              <w:spacing w:after="0"/>
              <w:rPr>
                <w:sz w:val="20"/>
                <w:szCs w:val="20"/>
                <w:color w:val="auto"/>
              </w:rPr>
            </w:pPr>
            <w:r>
              <w:rPr>
                <w:rFonts w:ascii="Arial" w:cs="Arial" w:eastAsia="Arial" w:hAnsi="Arial"/>
                <w:sz w:val="18"/>
                <w:szCs w:val="18"/>
                <w:b w:val="1"/>
                <w:bCs w:val="1"/>
                <w:color w:val="auto"/>
              </w:rPr>
              <w:t>86-1746728</w:t>
            </w:r>
          </w:p>
        </w:tc>
      </w:tr>
      <w:tr>
        <w:trPr>
          <w:trHeight w:val="203"/>
        </w:trPr>
        <w:tc>
          <w:tcPr>
            <w:tcW w:w="4280" w:type="dxa"/>
            <w:vAlign w:val="bottom"/>
          </w:tcPr>
          <w:p>
            <w:pPr>
              <w:jc w:val="center"/>
              <w:ind w:right="1499"/>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ind w:left="152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80" w:type="dxa"/>
            <w:vAlign w:val="bottom"/>
          </w:tcPr>
          <w:p>
            <w:pPr>
              <w:jc w:val="center"/>
              <w:ind w:right="1499"/>
              <w:spacing w:after="0"/>
              <w:rPr>
                <w:sz w:val="20"/>
                <w:szCs w:val="20"/>
                <w:color w:val="auto"/>
              </w:rPr>
            </w:pPr>
            <w:r>
              <w:rPr>
                <w:rFonts w:ascii="Arial" w:cs="Arial" w:eastAsia="Arial" w:hAnsi="Arial"/>
                <w:sz w:val="14"/>
                <w:szCs w:val="14"/>
                <w:b w:val="1"/>
                <w:bCs w:val="1"/>
                <w:color w:val="auto"/>
              </w:rPr>
              <w:t>incorporation or organization)</w:t>
            </w:r>
          </w:p>
        </w:tc>
        <w:tc>
          <w:tcPr>
            <w:tcW w:w="2780" w:type="dxa"/>
            <w:vAlign w:val="bottom"/>
          </w:tcPr>
          <w:p>
            <w:pPr>
              <w:jc w:val="center"/>
              <w:ind w:left="1501"/>
              <w:spacing w:after="0"/>
              <w:rPr>
                <w:sz w:val="20"/>
                <w:szCs w:val="20"/>
                <w:color w:val="auto"/>
              </w:rPr>
            </w:pPr>
            <w:r>
              <w:rPr>
                <w:rFonts w:ascii="Arial" w:cs="Arial" w:eastAsia="Arial" w:hAnsi="Arial"/>
                <w:sz w:val="14"/>
                <w:szCs w:val="14"/>
                <w:b w:val="1"/>
                <w:bCs w:val="1"/>
                <w:color w:val="auto"/>
              </w:rPr>
              <w:t>Identification No.)</w:t>
            </w:r>
          </w:p>
        </w:tc>
      </w:tr>
      <w:tr>
        <w:trPr>
          <w:trHeight w:val="300"/>
        </w:trPr>
        <w:tc>
          <w:tcPr>
            <w:tcW w:w="4280" w:type="dxa"/>
            <w:vAlign w:val="bottom"/>
          </w:tcPr>
          <w:p>
            <w:pPr>
              <w:jc w:val="center"/>
              <w:ind w:right="1499"/>
              <w:spacing w:after="0"/>
              <w:rPr>
                <w:sz w:val="20"/>
                <w:szCs w:val="20"/>
                <w:color w:val="auto"/>
              </w:rPr>
            </w:pPr>
            <w:r>
              <w:rPr>
                <w:rFonts w:ascii="Arial" w:cs="Arial" w:eastAsia="Arial" w:hAnsi="Arial"/>
                <w:sz w:val="18"/>
                <w:szCs w:val="18"/>
                <w:b w:val="1"/>
                <w:bCs w:val="1"/>
                <w:color w:val="auto"/>
                <w:w w:val="99"/>
              </w:rPr>
              <w:t>135 Rennell Drive, 3rd Floor</w:t>
            </w:r>
          </w:p>
        </w:tc>
        <w:tc>
          <w:tcPr>
            <w:tcW w:w="2780" w:type="dxa"/>
            <w:vAlign w:val="bottom"/>
          </w:tcPr>
          <w:p>
            <w:pPr>
              <w:spacing w:after="0"/>
              <w:rPr>
                <w:sz w:val="24"/>
                <w:szCs w:val="24"/>
                <w:color w:val="auto"/>
              </w:rPr>
            </w:pPr>
          </w:p>
        </w:tc>
      </w:tr>
      <w:tr>
        <w:trPr>
          <w:trHeight w:val="266"/>
        </w:trPr>
        <w:tc>
          <w:tcPr>
            <w:tcW w:w="4280" w:type="dxa"/>
            <w:vAlign w:val="bottom"/>
          </w:tcPr>
          <w:p>
            <w:pPr>
              <w:ind w:left="860"/>
              <w:spacing w:after="0"/>
              <w:rPr>
                <w:sz w:val="20"/>
                <w:szCs w:val="20"/>
                <w:color w:val="auto"/>
              </w:rPr>
            </w:pPr>
            <w:r>
              <w:rPr>
                <w:rFonts w:ascii="Arial" w:cs="Arial" w:eastAsia="Arial" w:hAnsi="Arial"/>
                <w:sz w:val="18"/>
                <w:szCs w:val="18"/>
                <w:b w:val="1"/>
                <w:bCs w:val="1"/>
                <w:color w:val="auto"/>
              </w:rPr>
              <w:t>Fairfield, CT</w:t>
            </w:r>
          </w:p>
        </w:tc>
        <w:tc>
          <w:tcPr>
            <w:tcW w:w="2780" w:type="dxa"/>
            <w:vAlign w:val="bottom"/>
          </w:tcPr>
          <w:p>
            <w:pPr>
              <w:jc w:val="right"/>
              <w:ind w:right="261"/>
              <w:spacing w:after="0"/>
              <w:rPr>
                <w:sz w:val="20"/>
                <w:szCs w:val="20"/>
                <w:color w:val="auto"/>
              </w:rPr>
            </w:pPr>
            <w:r>
              <w:rPr>
                <w:rFonts w:ascii="Arial" w:cs="Arial" w:eastAsia="Arial" w:hAnsi="Arial"/>
                <w:sz w:val="18"/>
                <w:szCs w:val="18"/>
                <w:b w:val="1"/>
                <w:bCs w:val="1"/>
                <w:color w:val="auto"/>
              </w:rPr>
              <w:t>06890</w:t>
            </w:r>
          </w:p>
        </w:tc>
      </w:tr>
      <w:tr>
        <w:trPr>
          <w:trHeight w:val="190"/>
        </w:trPr>
        <w:tc>
          <w:tcPr>
            <w:tcW w:w="4280" w:type="dxa"/>
            <w:vAlign w:val="bottom"/>
          </w:tcPr>
          <w:p>
            <w:pPr>
              <w:jc w:val="center"/>
              <w:ind w:right="1499"/>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jc w:val="center"/>
              <w:ind w:left="1501"/>
              <w:spacing w:after="0"/>
              <w:rPr>
                <w:sz w:val="20"/>
                <w:szCs w:val="20"/>
                <w:color w:val="auto"/>
              </w:rPr>
            </w:pPr>
            <w:r>
              <w:rPr>
                <w:rFonts w:ascii="Arial" w:cs="Arial" w:eastAsia="Arial" w:hAnsi="Arial"/>
                <w:sz w:val="14"/>
                <w:szCs w:val="14"/>
                <w:b w:val="1"/>
                <w:bCs w:val="1"/>
                <w:color w:val="auto"/>
              </w:rPr>
              <w:t>(Zip Code)</w:t>
            </w:r>
          </w:p>
        </w:tc>
      </w:tr>
    </w:tbl>
    <w:p>
      <w:pPr>
        <w:spacing w:after="0" w:line="192"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(203) 718-5960</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$0.0001 par value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GREE</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8.50% Senior Notes due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GREEL</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191" w:lineRule="exact"/>
        <w:rPr>
          <w:sz w:val="24"/>
          <w:szCs w:val="24"/>
          <w:color w:val="auto"/>
        </w:rPr>
      </w:pPr>
    </w:p>
    <w:p>
      <w:pPr>
        <w:ind w:right="120" w:firstLine="486"/>
        <w:spacing w:after="0" w:line="26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ind w:firstLine="486"/>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07" w:lineRule="exact"/>
        <w:rPr>
          <w:sz w:val="24"/>
          <w:szCs w:val="24"/>
          <w:color w:val="auto"/>
        </w:rPr>
      </w:pPr>
    </w:p>
    <w:p>
      <w:pPr>
        <w:jc w:val="both"/>
        <w:ind w:right="20" w:firstLine="486"/>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60" w:type="dxa"/>
            <w:vAlign w:val="bottom"/>
          </w:tcPr>
          <w:p>
            <w:pPr>
              <w:ind w:left="880"/>
              <w:spacing w:after="0"/>
              <w:rPr>
                <w:sz w:val="20"/>
                <w:szCs w:val="20"/>
                <w:color w:val="auto"/>
              </w:rPr>
            </w:pPr>
            <w:r>
              <w:rPr>
                <w:rFonts w:ascii="Arial" w:cs="Arial" w:eastAsia="Arial" w:hAnsi="Arial"/>
                <w:sz w:val="18"/>
                <w:szCs w:val="18"/>
                <w:color w:val="auto"/>
              </w:rPr>
              <w:t>o</w:t>
            </w:r>
          </w:p>
        </w:tc>
        <w:tc>
          <w:tcPr>
            <w:tcW w:w="416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o</w:t>
            </w:r>
          </w:p>
        </w:tc>
      </w:tr>
      <w:tr>
        <w:trPr>
          <w:trHeight w:val="243"/>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60" w:type="dxa"/>
            <w:vAlign w:val="bottom"/>
          </w:tcPr>
          <w:p>
            <w:pPr>
              <w:ind w:left="880"/>
              <w:spacing w:after="0"/>
              <w:rPr>
                <w:sz w:val="20"/>
                <w:szCs w:val="20"/>
                <w:color w:val="auto"/>
              </w:rPr>
            </w:pPr>
            <w:r>
              <w:rPr>
                <w:rFonts w:ascii="Arial" w:cs="Arial" w:eastAsia="Arial" w:hAnsi="Arial"/>
                <w:sz w:val="18"/>
                <w:szCs w:val="18"/>
                <w:color w:val="auto"/>
              </w:rPr>
              <w:t>x</w:t>
            </w:r>
          </w:p>
        </w:tc>
        <w:tc>
          <w:tcPr>
            <w:tcW w:w="416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720"/>
              <w:spacing w:after="0"/>
              <w:rPr>
                <w:sz w:val="20"/>
                <w:szCs w:val="20"/>
                <w:color w:val="auto"/>
              </w:rPr>
            </w:pPr>
            <w:r>
              <w:rPr>
                <w:rFonts w:ascii="Arial" w:cs="Arial" w:eastAsia="Arial" w:hAnsi="Arial"/>
                <w:sz w:val="17"/>
                <w:szCs w:val="17"/>
                <w:color w:val="auto"/>
                <w:w w:val="70"/>
              </w:rPr>
              <w:t>x</w:t>
            </w:r>
          </w:p>
        </w:tc>
      </w:tr>
      <w:tr>
        <w:trPr>
          <w:trHeight w:val="243"/>
        </w:trPr>
        <w:tc>
          <w:tcPr>
            <w:tcW w:w="26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416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720"/>
              <w:spacing w:after="0"/>
              <w:rPr>
                <w:sz w:val="20"/>
                <w:szCs w:val="20"/>
                <w:color w:val="auto"/>
              </w:rPr>
            </w:pPr>
            <w:r>
              <w:rPr>
                <w:rFonts w:ascii="Arial" w:cs="Arial" w:eastAsia="Arial" w:hAnsi="Arial"/>
                <w:sz w:val="17"/>
                <w:szCs w:val="17"/>
                <w:color w:val="auto"/>
                <w:w w:val="70"/>
              </w:rPr>
              <w:t>x</w:t>
            </w:r>
          </w:p>
        </w:tc>
      </w:tr>
    </w:tbl>
    <w:p>
      <w:pPr>
        <w:spacing w:after="0" w:line="218" w:lineRule="exact"/>
        <w:rPr>
          <w:sz w:val="24"/>
          <w:szCs w:val="24"/>
          <w:color w:val="auto"/>
        </w:rPr>
      </w:pPr>
    </w:p>
    <w:p>
      <w:pPr>
        <w:ind w:right="180" w:firstLine="486"/>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7" w:lineRule="exact"/>
        <w:rPr>
          <w:sz w:val="24"/>
          <w:szCs w:val="24"/>
          <w:color w:val="auto"/>
        </w:rPr>
      </w:pPr>
    </w:p>
    <w:p>
      <w:pPr>
        <w:ind w:left="500" w:right="1820"/>
        <w:spacing w:after="0" w:line="396"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Securities registered pursuant to Section 12(g) of the Act: None</w:t>
      </w:r>
    </w:p>
    <w:p>
      <w:pPr>
        <w:ind w:right="80" w:firstLine="486"/>
        <w:spacing w:after="0" w:line="260" w:lineRule="auto"/>
        <w:rPr>
          <w:sz w:val="20"/>
          <w:szCs w:val="20"/>
          <w:color w:val="auto"/>
        </w:rPr>
      </w:pPr>
      <w:r>
        <w:rPr>
          <w:rFonts w:ascii="Arial" w:cs="Arial" w:eastAsia="Arial" w:hAnsi="Arial"/>
          <w:sz w:val="16"/>
          <w:szCs w:val="16"/>
          <w:color w:val="auto"/>
        </w:rPr>
        <w:t>As of November 11, 2022, the registrant had 16,213,043 shares of Class A common stock, $0.0001 par value per share, outstanding and 28,526,372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2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1"/>
        </w:trPr>
        <w:tc>
          <w:tcPr>
            <w:tcW w:w="20" w:type="dxa"/>
            <w:vAlign w:val="bottom"/>
          </w:tcPr>
          <w:p>
            <w:pPr>
              <w:spacing w:after="0"/>
              <w:rPr>
                <w:sz w:val="17"/>
                <w:szCs w:val="17"/>
                <w:color w:val="auto"/>
              </w:rPr>
            </w:pPr>
          </w:p>
        </w:tc>
        <w:tc>
          <w:tcPr>
            <w:tcW w:w="11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PART I.</w:t>
            </w:r>
          </w:p>
        </w:tc>
        <w:tc>
          <w:tcPr>
            <w:tcW w:w="2280" w:type="dxa"/>
            <w:vAlign w:val="bottom"/>
            <w:tcBorders>
              <w:bottom w:val="single" w:sz="8" w:color="0563C1"/>
            </w:tcBorders>
            <w:gridSpan w:val="9"/>
          </w:tcPr>
          <w:p>
            <w:pPr>
              <w:spacing w:after="0" w:line="201" w:lineRule="exact"/>
              <w:rPr>
                <w:sz w:val="20"/>
                <w:szCs w:val="20"/>
                <w:color w:val="auto"/>
              </w:rPr>
            </w:pPr>
            <w:r>
              <w:rPr>
                <w:rFonts w:ascii="Arial" w:cs="Arial" w:eastAsia="Arial" w:hAnsi="Arial"/>
                <w:sz w:val="18"/>
                <w:szCs w:val="18"/>
                <w:b w:val="1"/>
                <w:bCs w:val="1"/>
                <w:color w:val="0563C1"/>
                <w:w w:val="98"/>
              </w:rPr>
              <w:t>FINANCIAL INFORMATION</w:t>
            </w:r>
          </w:p>
        </w:tc>
        <w:tc>
          <w:tcPr>
            <w:tcW w:w="5680" w:type="dxa"/>
            <w:vAlign w:val="bottom"/>
            <w:gridSpan w:val="9"/>
          </w:tcPr>
          <w:p>
            <w:pPr>
              <w:spacing w:after="0"/>
              <w:rPr>
                <w:sz w:val="17"/>
                <w:szCs w:val="17"/>
                <w:color w:val="auto"/>
              </w:rPr>
            </w:pPr>
          </w:p>
        </w:tc>
        <w:tc>
          <w:tcPr>
            <w:tcW w:w="21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7960" w:type="dxa"/>
            <w:vAlign w:val="bottom"/>
            <w:gridSpan w:val="18"/>
          </w:tcPr>
          <w:p>
            <w:pPr>
              <w:spacing w:after="0"/>
              <w:rPr>
                <w:sz w:val="20"/>
                <w:szCs w:val="20"/>
                <w:color w:val="auto"/>
              </w:rPr>
            </w:pPr>
            <w:r>
              <w:rPr>
                <w:rFonts w:ascii="Arial" w:cs="Arial" w:eastAsia="Arial" w:hAnsi="Arial"/>
                <w:sz w:val="18"/>
                <w:szCs w:val="18"/>
                <w:color w:val="0563C1"/>
              </w:rPr>
              <w:t>Financial Statements</w:t>
            </w:r>
          </w:p>
        </w:tc>
        <w:tc>
          <w:tcPr>
            <w:tcW w:w="2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60" w:type="dxa"/>
            <w:vAlign w:val="bottom"/>
            <w:gridSpan w:val="18"/>
          </w:tcPr>
          <w:p>
            <w:pPr>
              <w:spacing w:after="0"/>
              <w:rPr>
                <w:sz w:val="20"/>
                <w:szCs w:val="20"/>
                <w:color w:val="auto"/>
              </w:rPr>
            </w:pPr>
            <w:r>
              <w:rPr>
                <w:rFonts w:ascii="Arial" w:cs="Arial" w:eastAsia="Arial" w:hAnsi="Arial"/>
                <w:sz w:val="18"/>
                <w:szCs w:val="18"/>
                <w:color w:val="0563C1"/>
              </w:rPr>
              <w:t>Condensed Consolidated Balance Sheets (Unaudited)</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17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60" w:type="dxa"/>
            <w:vAlign w:val="bottom"/>
            <w:tcBorders>
              <w:bottom w:val="single" w:sz="8" w:color="0563C1"/>
            </w:tcBorders>
            <w:gridSpan w:val="18"/>
          </w:tcPr>
          <w:p>
            <w:pPr>
              <w:spacing w:after="0"/>
              <w:rPr>
                <w:sz w:val="20"/>
                <w:szCs w:val="20"/>
                <w:color w:val="auto"/>
              </w:rPr>
            </w:pPr>
            <w:r>
              <w:rPr>
                <w:rFonts w:ascii="Arial" w:cs="Arial" w:eastAsia="Arial" w:hAnsi="Arial"/>
                <w:sz w:val="18"/>
                <w:szCs w:val="18"/>
                <w:color w:val="0563C1"/>
                <w:w w:val="99"/>
              </w:rPr>
              <w:t>Condensed Consolidated Statements of Operations and Comprehensive (Loss) Income (Unaudited)</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60" w:type="dxa"/>
            <w:vAlign w:val="bottom"/>
            <w:tcBorders>
              <w:bottom w:val="single" w:sz="8" w:color="0563C1"/>
            </w:tcBorders>
            <w:gridSpan w:val="16"/>
          </w:tcPr>
          <w:p>
            <w:pPr>
              <w:spacing w:after="0"/>
              <w:rPr>
                <w:sz w:val="20"/>
                <w:szCs w:val="20"/>
                <w:color w:val="auto"/>
              </w:rPr>
            </w:pPr>
            <w:r>
              <w:rPr>
                <w:rFonts w:ascii="Arial" w:cs="Arial" w:eastAsia="Arial" w:hAnsi="Arial"/>
                <w:sz w:val="18"/>
                <w:szCs w:val="18"/>
                <w:color w:val="0563C1"/>
                <w:w w:val="99"/>
              </w:rPr>
              <w:t>Condensed Consolidated Statements of Stockholders’ Equity (Unaudited)</w:t>
            </w:r>
          </w:p>
        </w:tc>
        <w:tc>
          <w:tcPr>
            <w:tcW w:w="2100" w:type="dxa"/>
            <w:vAlign w:val="bottom"/>
            <w:gridSpan w:val="2"/>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60" w:type="dxa"/>
            <w:vAlign w:val="bottom"/>
            <w:gridSpan w:val="18"/>
          </w:tcPr>
          <w:p>
            <w:pPr>
              <w:spacing w:after="0"/>
              <w:rPr>
                <w:sz w:val="20"/>
                <w:szCs w:val="20"/>
                <w:color w:val="auto"/>
              </w:rPr>
            </w:pPr>
            <w:r>
              <w:rPr>
                <w:rFonts w:ascii="Arial" w:cs="Arial" w:eastAsia="Arial" w:hAnsi="Arial"/>
                <w:sz w:val="18"/>
                <w:szCs w:val="18"/>
                <w:color w:val="0563C1"/>
              </w:rPr>
              <w:t>Condensed Consolidated Statements of Cash Flows (Unaudited)</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21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60" w:type="dxa"/>
            <w:vAlign w:val="bottom"/>
            <w:gridSpan w:val="18"/>
          </w:tcPr>
          <w:p>
            <w:pPr>
              <w:spacing w:after="0"/>
              <w:rPr>
                <w:sz w:val="20"/>
                <w:szCs w:val="20"/>
                <w:color w:val="auto"/>
              </w:rPr>
            </w:pPr>
            <w:r>
              <w:rPr>
                <w:rFonts w:ascii="Arial" w:cs="Arial" w:eastAsia="Arial" w:hAnsi="Arial"/>
                <w:sz w:val="18"/>
                <w:szCs w:val="18"/>
                <w:color w:val="0563C1"/>
              </w:rPr>
              <w:t>Notes to Condensed Consolidated Financial Statements (Unaudited)</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21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563C1"/>
            </w:tcBorders>
            <w:gridSpan w:val="17"/>
          </w:tcPr>
          <w:p>
            <w:pPr>
              <w:spacing w:after="0"/>
              <w:rPr>
                <w:sz w:val="20"/>
                <w:szCs w:val="20"/>
                <w:color w:val="auto"/>
              </w:rPr>
            </w:pPr>
            <w:r>
              <w:rPr>
                <w:rFonts w:ascii="Arial" w:cs="Arial" w:eastAsia="Arial" w:hAnsi="Arial"/>
                <w:sz w:val="18"/>
                <w:szCs w:val="18"/>
                <w:color w:val="0563C1"/>
                <w:w w:val="99"/>
              </w:rPr>
              <w:t>Management’s Discussion and Analysis of Financial Condition and Results of Operations</w:t>
            </w:r>
          </w:p>
        </w:tc>
        <w:tc>
          <w:tcPr>
            <w:tcW w:w="8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563C1"/>
            </w:tcBorders>
            <w:gridSpan w:val="12"/>
          </w:tcPr>
          <w:p>
            <w:pPr>
              <w:spacing w:after="0"/>
              <w:rPr>
                <w:sz w:val="20"/>
                <w:szCs w:val="20"/>
                <w:color w:val="auto"/>
              </w:rPr>
            </w:pPr>
            <w:r>
              <w:rPr>
                <w:rFonts w:ascii="Arial" w:cs="Arial" w:eastAsia="Arial" w:hAnsi="Arial"/>
                <w:sz w:val="18"/>
                <w:szCs w:val="18"/>
                <w:color w:val="0563C1"/>
                <w:w w:val="99"/>
              </w:rPr>
              <w:t>Quantitative and Qualitative Disclosures About Market Risk</w:t>
            </w:r>
          </w:p>
        </w:tc>
        <w:tc>
          <w:tcPr>
            <w:tcW w:w="3240" w:type="dxa"/>
            <w:vAlign w:val="bottom"/>
            <w:gridSpan w:val="6"/>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9"/>
              </w:rPr>
              <w:t>Controls and Procedures</w:t>
            </w:r>
          </w:p>
        </w:tc>
        <w:tc>
          <w:tcPr>
            <w:tcW w:w="5960" w:type="dxa"/>
            <w:vAlign w:val="bottom"/>
            <w:gridSpan w:val="10"/>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b w:val="1"/>
                <w:bCs w:val="1"/>
                <w:color w:val="0563C1"/>
                <w:w w:val="98"/>
              </w:rPr>
              <w:t>OTHER INFORMATION</w:t>
            </w:r>
          </w:p>
        </w:tc>
        <w:tc>
          <w:tcPr>
            <w:tcW w:w="6020" w:type="dxa"/>
            <w:vAlign w:val="bottom"/>
            <w:gridSpan w:val="11"/>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99"/>
              </w:rPr>
              <w:t>Legal Proceedings</w:t>
            </w:r>
          </w:p>
        </w:tc>
        <w:tc>
          <w:tcPr>
            <w:tcW w:w="6460" w:type="dxa"/>
            <w:vAlign w:val="bottom"/>
            <w:gridSpan w:val="14"/>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97"/>
              </w:rPr>
              <w:t>Risk Factors</w:t>
            </w:r>
          </w:p>
        </w:tc>
        <w:tc>
          <w:tcPr>
            <w:tcW w:w="6960" w:type="dxa"/>
            <w:vAlign w:val="bottom"/>
            <w:gridSpan w:val="16"/>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563C1"/>
            </w:tcBorders>
            <w:gridSpan w:val="13"/>
          </w:tcPr>
          <w:p>
            <w:pPr>
              <w:spacing w:after="0"/>
              <w:rPr>
                <w:sz w:val="20"/>
                <w:szCs w:val="20"/>
                <w:color w:val="auto"/>
              </w:rPr>
            </w:pPr>
            <w:r>
              <w:rPr>
                <w:rFonts w:ascii="Arial" w:cs="Arial" w:eastAsia="Arial" w:hAnsi="Arial"/>
                <w:sz w:val="18"/>
                <w:szCs w:val="18"/>
                <w:color w:val="0563C1"/>
                <w:w w:val="99"/>
              </w:rPr>
              <w:t>Unregistered Sales of Equity Securities and Use of Proceeds</w:t>
            </w:r>
          </w:p>
        </w:tc>
        <w:tc>
          <w:tcPr>
            <w:tcW w:w="3100" w:type="dxa"/>
            <w:vAlign w:val="bottom"/>
            <w:gridSpan w:val="5"/>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563C1"/>
            </w:tcBorders>
            <w:gridSpan w:val="10"/>
          </w:tcPr>
          <w:p>
            <w:pPr>
              <w:spacing w:after="0"/>
              <w:rPr>
                <w:sz w:val="20"/>
                <w:szCs w:val="20"/>
                <w:color w:val="auto"/>
              </w:rPr>
            </w:pPr>
            <w:r>
              <w:rPr>
                <w:rFonts w:ascii="Arial" w:cs="Arial" w:eastAsia="Arial" w:hAnsi="Arial"/>
                <w:sz w:val="18"/>
                <w:szCs w:val="18"/>
                <w:color w:val="0563C1"/>
                <w:w w:val="99"/>
              </w:rPr>
              <w:t>Defaults Upon Senior Securities</w:t>
            </w:r>
          </w:p>
        </w:tc>
        <w:tc>
          <w:tcPr>
            <w:tcW w:w="5400" w:type="dxa"/>
            <w:vAlign w:val="bottom"/>
            <w:gridSpan w:val="8"/>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960" w:type="dxa"/>
            <w:vAlign w:val="bottom"/>
            <w:gridSpan w:val="18"/>
          </w:tcPr>
          <w:p>
            <w:pPr>
              <w:spacing w:after="0"/>
              <w:rPr>
                <w:sz w:val="20"/>
                <w:szCs w:val="20"/>
                <w:color w:val="auto"/>
              </w:rPr>
            </w:pPr>
            <w:r>
              <w:rPr>
                <w:rFonts w:ascii="Arial" w:cs="Arial" w:eastAsia="Arial" w:hAnsi="Arial"/>
                <w:sz w:val="18"/>
                <w:szCs w:val="18"/>
                <w:color w:val="0563C1"/>
              </w:rPr>
              <w:t>Mine Safety Disclosures</w:t>
            </w:r>
          </w:p>
        </w:tc>
        <w:tc>
          <w:tcPr>
            <w:tcW w:w="2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563C1"/>
              <w:bottom w:val="single" w:sz="8" w:color="0563C1"/>
            </w:tcBorders>
            <w:gridSpan w:val="3"/>
          </w:tcPr>
          <w:p>
            <w:pPr>
              <w:spacing w:after="0"/>
              <w:rPr>
                <w:sz w:val="20"/>
                <w:szCs w:val="20"/>
                <w:color w:val="auto"/>
              </w:rPr>
            </w:pPr>
            <w:r>
              <w:rPr>
                <w:rFonts w:ascii="Arial" w:cs="Arial" w:eastAsia="Arial" w:hAnsi="Arial"/>
                <w:sz w:val="18"/>
                <w:szCs w:val="18"/>
                <w:color w:val="0563C1"/>
                <w:w w:val="98"/>
              </w:rPr>
              <w:t>Other Information</w:t>
            </w:r>
          </w:p>
        </w:tc>
        <w:tc>
          <w:tcPr>
            <w:tcW w:w="520" w:type="dxa"/>
            <w:vAlign w:val="bottom"/>
            <w:tcBorders>
              <w:top w:val="single" w:sz="8" w:color="0563C1"/>
            </w:tcBorders>
            <w:gridSpan w:val="3"/>
          </w:tcPr>
          <w:p>
            <w:pPr>
              <w:spacing w:after="0"/>
              <w:rPr>
                <w:sz w:val="19"/>
                <w:szCs w:val="19"/>
                <w:color w:val="auto"/>
              </w:rPr>
            </w:pPr>
          </w:p>
        </w:tc>
        <w:tc>
          <w:tcPr>
            <w:tcW w:w="6040" w:type="dxa"/>
            <w:vAlign w:val="bottom"/>
            <w:gridSpan w:val="12"/>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7960" w:type="dxa"/>
            <w:vAlign w:val="bottom"/>
            <w:gridSpan w:val="18"/>
          </w:tcPr>
          <w:p>
            <w:pPr>
              <w:spacing w:after="0"/>
              <w:rPr>
                <w:sz w:val="20"/>
                <w:szCs w:val="20"/>
                <w:color w:val="auto"/>
              </w:rPr>
            </w:pPr>
            <w:r>
              <w:rPr>
                <w:rFonts w:ascii="Arial" w:cs="Arial" w:eastAsia="Arial" w:hAnsi="Arial"/>
                <w:sz w:val="18"/>
                <w:szCs w:val="18"/>
                <w:color w:val="0563C1"/>
              </w:rPr>
              <w:t>Exhibits</w:t>
            </w:r>
          </w:p>
        </w:tc>
        <w:tc>
          <w:tcPr>
            <w:tcW w:w="2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6"/>
        </w:trPr>
        <w:tc>
          <w:tcPr>
            <w:tcW w:w="20" w:type="dxa"/>
            <w:vAlign w:val="bottom"/>
          </w:tcPr>
          <w:p>
            <w:pPr>
              <w:spacing w:after="0"/>
              <w:rPr>
                <w:sz w:val="20"/>
                <w:szCs w:val="20"/>
                <w:color w:val="auto"/>
              </w:rPr>
            </w:pPr>
          </w:p>
        </w:tc>
        <w:tc>
          <w:tcPr>
            <w:tcW w:w="104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98"/>
              </w:rPr>
              <w:t>Exhibit Index</w:t>
            </w:r>
          </w:p>
        </w:tc>
        <w:tc>
          <w:tcPr>
            <w:tcW w:w="100" w:type="dxa"/>
            <w:vAlign w:val="bottom"/>
          </w:tcPr>
          <w:p>
            <w:pPr>
              <w:spacing w:after="0"/>
              <w:rPr>
                <w:sz w:val="20"/>
                <w:szCs w:val="20"/>
                <w:color w:val="auto"/>
              </w:rPr>
            </w:pPr>
          </w:p>
        </w:tc>
        <w:tc>
          <w:tcPr>
            <w:tcW w:w="620" w:type="dxa"/>
            <w:vAlign w:val="bottom"/>
            <w:tcBorders>
              <w:top w:val="single" w:sz="8" w:color="0563C1"/>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563C1"/>
              </w:rPr>
              <w:t>Signatures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939"/>
        </w:trPr>
        <w:tc>
          <w:tcPr>
            <w:tcW w:w="20" w:type="dxa"/>
            <w:vAlign w:val="bottom"/>
          </w:tcPr>
          <w:p>
            <w:pPr>
              <w:spacing w:after="0"/>
              <w:rPr>
                <w:sz w:val="24"/>
                <w:szCs w:val="24"/>
                <w:color w:val="auto"/>
              </w:rPr>
            </w:pPr>
          </w:p>
        </w:tc>
        <w:tc>
          <w:tcPr>
            <w:tcW w:w="86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2"/>
          </w:tcPr>
          <w:p>
            <w:pPr>
              <w:ind w:left="44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E74B5"/>
        </w:rPr>
        <w:t>CAUTIONARY STATEMENT REGARDING FORWARD-LOOKING STATEMENTS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Greenidge's Form 10-K for the year ended December 31, 2021 filed with the Securities and Exchange Commission ("SEC") on March 31, 2022 and in this Quarterly Report on Form 10-Q, as well as those described from time to time in our future reports filed with the SEC, which should be reviewed carefully. Please consider Greenidge's forward-looking statements in light of those risks.</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Greenidge Generation Holdings Inc.</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share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2022</w:t>
            </w: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(Unaudited)</w:t>
            </w: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82,599</w:t>
            </w: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Digital assets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5,524</w:t>
            </w: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9,694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9,146</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Emissions and carbon offset credits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10"/>
        </w:trPr>
        <w:tc>
          <w:tcPr>
            <w:tcW w:w="794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54,507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100,602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246,071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217,091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Right-of-use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3,537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3,062</w:t>
            </w: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15,058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3"/>
        </w:trPr>
        <w:tc>
          <w:tcPr>
            <w:tcW w:w="7940" w:type="dxa"/>
            <w:vAlign w:val="bottom"/>
          </w:tcPr>
          <w:p>
            <w:pPr>
              <w:ind w:left="4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307,347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341,267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5,923</w:t>
            </w: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Accrued emissions expense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10,375</w:t>
            </w: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2,481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current portion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Lease obligations, current portion</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98,365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41,726</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 and deferred financing fees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75,251</w:t>
            </w: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Lease obligations, net of current portion</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Environmental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217,790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128,844</w:t>
            </w:r>
          </w:p>
        </w:tc>
        <w:tc>
          <w:tcPr>
            <w:tcW w:w="0" w:type="dxa"/>
            <w:vAlign w:val="bottom"/>
          </w:tcPr>
          <w:p>
            <w:pPr>
              <w:spacing w:after="0"/>
              <w:rPr>
                <w:sz w:val="1"/>
                <w:szCs w:val="1"/>
                <w:color w:val="auto"/>
              </w:rPr>
            </w:pPr>
          </w:p>
        </w:tc>
      </w:tr>
      <w:tr>
        <w:trPr>
          <w:trHeight w:val="193"/>
        </w:trPr>
        <w:tc>
          <w:tcPr>
            <w:tcW w:w="794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Preferred stock, par value $0.0001, 20,000,000 shares authorized, none outstanding</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80"/>
              <w:spacing w:after="0" w:line="181" w:lineRule="exact"/>
              <w:rPr>
                <w:sz w:val="20"/>
                <w:szCs w:val="20"/>
                <w:color w:val="auto"/>
              </w:rPr>
            </w:pPr>
            <w:r>
              <w:rPr>
                <w:rFonts w:ascii="Arial" w:cs="Arial" w:eastAsia="Arial" w:hAnsi="Arial"/>
                <w:sz w:val="16"/>
                <w:szCs w:val="16"/>
                <w:color w:val="auto"/>
              </w:rPr>
              <w:t>Common stock, par value $0.0001, 3,000,000,000 shares authorized, 42,964,462 and 40,865,336 shares</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issued and outstanding as of September 30, 2022 and December 31, 2021, respectively</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290,576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281,815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(200,884)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(69,396)</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89,557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212,423</w:t>
            </w:r>
          </w:p>
        </w:tc>
        <w:tc>
          <w:tcPr>
            <w:tcW w:w="0" w:type="dxa"/>
            <w:vAlign w:val="bottom"/>
          </w:tcPr>
          <w:p>
            <w:pPr>
              <w:spacing w:after="0"/>
              <w:rPr>
                <w:sz w:val="1"/>
                <w:szCs w:val="1"/>
                <w:color w:val="auto"/>
              </w:rPr>
            </w:pPr>
          </w:p>
        </w:tc>
      </w:tr>
      <w:tr>
        <w:trPr>
          <w:trHeight w:val="213"/>
        </w:trPr>
        <w:tc>
          <w:tcPr>
            <w:tcW w:w="7940" w:type="dxa"/>
            <w:vAlign w:val="bottom"/>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307,347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341,267</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Greenidge Generation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8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Nine Months Ended September 30,</w:t>
            </w:r>
          </w:p>
        </w:tc>
      </w:tr>
      <w:tr>
        <w:trPr>
          <w:trHeight w:val="208"/>
        </w:trPr>
        <w:tc>
          <w:tcPr>
            <w:tcW w:w="5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Cryptocurrency datacenter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18,272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31,156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61,571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54,217</w:t>
            </w: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and capacity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w:t>
            </w:r>
          </w:p>
        </w:tc>
      </w:tr>
      <w:tr>
        <w:trPr>
          <w:trHeight w:val="23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Services and other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62,993</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2"/>
        </w:trPr>
        <w:tc>
          <w:tcPr>
            <w:tcW w:w="50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Cost of revenue - cryptocurrency datacenter (exclusive of</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w:t>
            </w:r>
          </w:p>
        </w:tc>
      </w:tr>
      <w:tr>
        <w:trPr>
          <w:trHeight w:val="202"/>
        </w:trPr>
        <w:tc>
          <w:tcPr>
            <w:tcW w:w="5020" w:type="dxa"/>
            <w:vAlign w:val="bottom"/>
          </w:tcPr>
          <w:p>
            <w:pPr>
              <w:ind w:left="240"/>
              <w:spacing w:after="0" w:line="201" w:lineRule="exact"/>
              <w:rPr>
                <w:sz w:val="20"/>
                <w:szCs w:val="20"/>
                <w:color w:val="auto"/>
              </w:rPr>
            </w:pPr>
            <w:r>
              <w:rPr>
                <w:rFonts w:ascii="Arial" w:cs="Arial" w:eastAsia="Arial" w:hAnsi="Arial"/>
                <w:sz w:val="18"/>
                <w:szCs w:val="18"/>
                <w:color w:val="auto"/>
              </w:rPr>
              <w:t>Cost of revenue - power and capacity (exclusive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5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6,688</w:t>
            </w:r>
          </w:p>
        </w:tc>
      </w:tr>
      <w:tr>
        <w:trPr>
          <w:trHeight w:val="202"/>
        </w:trPr>
        <w:tc>
          <w:tcPr>
            <w:tcW w:w="50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Cost of revenue - services and other (exclusive of</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12,017</w:t>
            </w:r>
          </w:p>
        </w:tc>
      </w:tr>
      <w:tr>
        <w:trPr>
          <w:trHeight w:val="229"/>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Merger and other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w:t>
            </w:r>
          </w:p>
        </w:tc>
      </w:tr>
      <w:tr>
        <w:trPr>
          <w:trHeight w:val="229"/>
        </w:trPr>
        <w:tc>
          <w:tcPr>
            <w:tcW w:w="5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5,531</w:t>
            </w:r>
          </w:p>
        </w:tc>
      </w:tr>
      <w:tr>
        <w:trPr>
          <w:trHeight w:val="230"/>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long-lived assets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tcPr>
          <w:p>
            <w:pPr>
              <w:ind w:left="240"/>
              <w:spacing w:after="0"/>
              <w:rPr>
                <w:sz w:val="20"/>
                <w:szCs w:val="20"/>
                <w:color w:val="auto"/>
              </w:rPr>
            </w:pPr>
            <w:r>
              <w:rPr>
                <w:rFonts w:ascii="Arial" w:cs="Arial" w:eastAsia="Arial" w:hAnsi="Arial"/>
                <w:sz w:val="18"/>
                <w:szCs w:val="18"/>
                <w:color w:val="auto"/>
              </w:rPr>
              <w:t>Remeasurement of environmental liability</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67,689</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(4,696)</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(1,377)</w:t>
            </w: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 related party</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Gain (loss) on sale of digital assets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 of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(loss), net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(5,959)</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(3,099)</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(131,627)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Greenidge Generation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member unit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4"/>
          </w:tcPr>
          <w:p>
            <w:pPr>
              <w:ind w:left="180"/>
              <w:spacing w:after="0"/>
              <w:rPr>
                <w:sz w:val="20"/>
                <w:szCs w:val="20"/>
                <w:color w:val="auto"/>
              </w:rPr>
            </w:pPr>
            <w:r>
              <w:rPr>
                <w:rFonts w:ascii="Arial" w:cs="Arial" w:eastAsia="Arial" w:hAnsi="Arial"/>
                <w:sz w:val="13"/>
                <w:szCs w:val="13"/>
                <w:b w:val="1"/>
                <w:bCs w:val="1"/>
                <w:color w:val="auto"/>
              </w:rPr>
              <w:t>Senior Priority</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60" w:type="dxa"/>
            <w:vAlign w:val="bottom"/>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5"/>
                <w:szCs w:val="15"/>
                <w:color w:val="auto"/>
              </w:rPr>
            </w:pPr>
          </w:p>
        </w:tc>
        <w:tc>
          <w:tcPr>
            <w:tcW w:w="110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94"/>
              </w:rPr>
              <w:t>Common Stock</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Additional</w:t>
            </w:r>
          </w:p>
        </w:tc>
        <w:tc>
          <w:tcPr>
            <w:tcW w:w="12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Common Units</w:t>
            </w:r>
          </w:p>
        </w:tc>
        <w:tc>
          <w:tcPr>
            <w:tcW w:w="80" w:type="dxa"/>
            <w:vAlign w:val="bottom"/>
          </w:tcPr>
          <w:p>
            <w:pPr>
              <w:spacing w:after="0"/>
              <w:rPr>
                <w:sz w:val="15"/>
                <w:szCs w:val="15"/>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Preferred Units</w:t>
            </w:r>
          </w:p>
        </w:tc>
        <w:tc>
          <w:tcPr>
            <w:tcW w:w="80" w:type="dxa"/>
            <w:vAlign w:val="bottom"/>
          </w:tcPr>
          <w:p>
            <w:pPr>
              <w:spacing w:after="0"/>
              <w:rPr>
                <w:sz w:val="15"/>
                <w:szCs w:val="15"/>
                <w:color w:val="auto"/>
              </w:rPr>
            </w:pPr>
          </w:p>
        </w:tc>
        <w:tc>
          <w:tcPr>
            <w:tcW w:w="124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Units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Cumulative</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Number</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Members'</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Number</w:t>
            </w: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Members'</w:t>
            </w: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Number</w:t>
            </w: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Members'</w:t>
            </w: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4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4"/>
              </w:rPr>
              <w:t>Paid - In</w:t>
            </w:r>
          </w:p>
        </w:tc>
        <w:tc>
          <w:tcPr>
            <w:tcW w:w="58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3"/>
                <w:szCs w:val="13"/>
                <w:b w:val="1"/>
                <w:bCs w:val="1"/>
                <w:color w:val="auto"/>
              </w:rPr>
              <w:t>Members'</w:t>
            </w:r>
          </w:p>
        </w:tc>
        <w:tc>
          <w:tcPr>
            <w:tcW w:w="800" w:type="dxa"/>
            <w:vAlign w:val="bottom"/>
            <w:gridSpan w:val="3"/>
          </w:tcPr>
          <w:p>
            <w:pPr>
              <w:ind w:left="20"/>
              <w:spacing w:after="0" w:line="130" w:lineRule="exact"/>
              <w:rPr>
                <w:sz w:val="20"/>
                <w:szCs w:val="20"/>
                <w:color w:val="auto"/>
              </w:rPr>
            </w:pPr>
            <w:r>
              <w:rPr>
                <w:rFonts w:ascii="Arial" w:cs="Arial" w:eastAsia="Arial" w:hAnsi="Arial"/>
                <w:sz w:val="13"/>
                <w:szCs w:val="13"/>
                <w:b w:val="1"/>
                <w:bCs w:val="1"/>
                <w:color w:val="auto"/>
              </w:rPr>
              <w:t>Translation</w:t>
            </w:r>
          </w:p>
        </w:tc>
        <w:tc>
          <w:tcPr>
            <w:tcW w:w="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Capital</w:t>
            </w: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of Units</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of Units</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of Units</w:t>
            </w:r>
          </w:p>
        </w:tc>
        <w:tc>
          <w:tcPr>
            <w:tcW w:w="74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w:t>
            </w:r>
          </w:p>
        </w:tc>
        <w:tc>
          <w:tcPr>
            <w:tcW w:w="1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960" w:type="dxa"/>
            <w:vAlign w:val="bottom"/>
            <w:tcBorders>
              <w:top w:val="single" w:sz="8" w:color="CCEEFF"/>
            </w:tcBorders>
            <w:shd w:val="clear" w:color="auto" w:fill="CCEEFF"/>
          </w:tcPr>
          <w:p>
            <w:pPr>
              <w:ind w:left="20"/>
              <w:spacing w:after="0" w:line="110" w:lineRule="exact"/>
              <w:rPr>
                <w:sz w:val="20"/>
                <w:szCs w:val="20"/>
                <w:color w:val="auto"/>
              </w:rPr>
            </w:pPr>
            <w:r>
              <w:rPr>
                <w:rFonts w:ascii="Arial" w:cs="Arial" w:eastAsia="Arial" w:hAnsi="Arial"/>
                <w:sz w:val="12"/>
                <w:szCs w:val="12"/>
                <w:b w:val="1"/>
                <w:bCs w:val="1"/>
                <w:color w:val="auto"/>
              </w:rPr>
              <w:t>Balance at</w:t>
            </w: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20"/>
              <w:spacing w:after="0" w:line="130" w:lineRule="exact"/>
              <w:rPr>
                <w:sz w:val="20"/>
                <w:szCs w:val="20"/>
                <w:color w:val="auto"/>
              </w:rPr>
            </w:pPr>
            <w:r>
              <w:rPr>
                <w:rFonts w:ascii="Arial" w:cs="Arial" w:eastAsia="Arial" w:hAnsi="Arial"/>
                <w:sz w:val="13"/>
                <w:szCs w:val="13"/>
                <w:b w:val="1"/>
                <w:bCs w:val="1"/>
                <w:color w:val="auto"/>
              </w:rPr>
              <w:t>January 1,</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40,865,336</w:t>
            </w: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$ 281,815</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(69,396)</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212,423</w:t>
            </w:r>
          </w:p>
        </w:tc>
        <w:tc>
          <w:tcPr>
            <w:tcW w:w="0" w:type="dxa"/>
            <w:vAlign w:val="bottom"/>
          </w:tcPr>
          <w:p>
            <w:pPr>
              <w:spacing w:after="0"/>
              <w:rPr>
                <w:sz w:val="1"/>
                <w:szCs w:val="1"/>
                <w:color w:val="auto"/>
              </w:rPr>
            </w:pPr>
          </w:p>
        </w:tc>
      </w:tr>
      <w:tr>
        <w:trPr>
          <w:trHeight w:val="176"/>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2022</w:t>
            </w:r>
          </w:p>
        </w:tc>
        <w:tc>
          <w:tcPr>
            <w:tcW w:w="56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Arial" w:cs="Arial" w:eastAsia="Arial" w:hAnsi="Arial"/>
                <w:sz w:val="13"/>
                <w:szCs w:val="13"/>
                <w:color w:val="auto"/>
              </w:rPr>
              <w:t>Stock-based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compensation</w:t>
            </w: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362</w:t>
            </w:r>
          </w:p>
        </w:tc>
        <w:tc>
          <w:tcPr>
            <w:tcW w:w="8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Arial" w:cs="Arial" w:eastAsia="Arial" w:hAnsi="Arial"/>
                <w:sz w:val="13"/>
                <w:szCs w:val="13"/>
                <w:color w:val="auto"/>
              </w:rPr>
              <w:t>expense</w:t>
            </w: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shares, net of</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415,000</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3,791</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w:t>
            </w:r>
          </w:p>
        </w:tc>
        <w:tc>
          <w:tcPr>
            <w:tcW w:w="5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Arial" w:cs="Arial" w:eastAsia="Arial" w:hAnsi="Arial"/>
                <w:sz w:val="13"/>
                <w:szCs w:val="13"/>
                <w:color w:val="auto"/>
              </w:rPr>
              <w:t>Restricted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shares award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issuance, net of</w:t>
            </w: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82,601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Arial" w:cs="Arial" w:eastAsia="Arial" w:hAnsi="Arial"/>
                <w:sz w:val="13"/>
                <w:szCs w:val="13"/>
                <w:color w:val="auto"/>
              </w:rPr>
              <w:t>withholdings</w:t>
            </w: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stock options</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5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Arial" w:cs="Arial" w:eastAsia="Arial" w:hAnsi="Arial"/>
                <w:sz w:val="13"/>
                <w:szCs w:val="13"/>
                <w:color w:val="auto"/>
              </w:rPr>
              <w:t>Foreign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currency</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translation</w:t>
            </w: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76"/>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07"/>
        </w:trPr>
        <w:tc>
          <w:tcPr>
            <w:tcW w:w="960" w:type="dxa"/>
            <w:vAlign w:val="bottom"/>
          </w:tcPr>
          <w:p>
            <w:pPr>
              <w:ind w:left="20"/>
              <w:spacing w:after="0" w:line="107" w:lineRule="exact"/>
              <w:rPr>
                <w:sz w:val="20"/>
                <w:szCs w:val="20"/>
                <w:color w:val="auto"/>
              </w:rPr>
            </w:pPr>
            <w:r>
              <w:rPr>
                <w:rFonts w:ascii="Arial" w:cs="Arial" w:eastAsia="Arial" w:hAnsi="Arial"/>
                <w:sz w:val="12"/>
                <w:szCs w:val="12"/>
                <w:b w:val="1"/>
                <w:bCs w:val="1"/>
                <w:color w:val="auto"/>
              </w:rPr>
              <w:t>Balance at</w:t>
            </w: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41,363,271</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285,905</w:t>
            </w:r>
          </w:p>
        </w:tc>
        <w:tc>
          <w:tcPr>
            <w:tcW w:w="80" w:type="dxa"/>
            <w:vAlign w:val="bottom"/>
          </w:tcPr>
          <w:p>
            <w:pPr>
              <w:spacing w:after="0"/>
              <w:rPr>
                <w:sz w:val="9"/>
                <w:szCs w:val="9"/>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(69,825)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7"/>
              </w:rPr>
              <w:t>216,052</w:t>
            </w:r>
          </w:p>
        </w:tc>
        <w:tc>
          <w:tcPr>
            <w:tcW w:w="0" w:type="dxa"/>
            <w:vAlign w:val="bottom"/>
          </w:tcPr>
          <w:p>
            <w:pPr>
              <w:spacing w:after="0"/>
              <w:rPr>
                <w:sz w:val="1"/>
                <w:szCs w:val="1"/>
                <w:color w:val="auto"/>
              </w:rPr>
            </w:pPr>
          </w:p>
        </w:tc>
      </w:tr>
      <w:tr>
        <w:trPr>
          <w:trHeight w:val="157"/>
        </w:trPr>
        <w:tc>
          <w:tcPr>
            <w:tcW w:w="960" w:type="dxa"/>
            <w:vAlign w:val="bottom"/>
          </w:tcPr>
          <w:p>
            <w:pPr>
              <w:ind w:left="20"/>
              <w:spacing w:after="0"/>
              <w:rPr>
                <w:sz w:val="20"/>
                <w:szCs w:val="20"/>
                <w:color w:val="auto"/>
              </w:rPr>
            </w:pPr>
            <w:r>
              <w:rPr>
                <w:rFonts w:ascii="Arial" w:cs="Arial" w:eastAsia="Arial" w:hAnsi="Arial"/>
                <w:sz w:val="13"/>
                <w:szCs w:val="13"/>
                <w:b w:val="1"/>
                <w:bCs w:val="1"/>
                <w:color w:val="auto"/>
                <w:w w:val="99"/>
              </w:rPr>
              <w:t>March 31, 2022</w:t>
            </w: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Stock-based</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compensation</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5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Arial" w:cs="Arial" w:eastAsia="Arial" w:hAnsi="Arial"/>
                <w:sz w:val="13"/>
                <w:szCs w:val="13"/>
                <w:color w:val="auto"/>
              </w:rPr>
              <w:t>Issuance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shares, net of</w:t>
            </w: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553,587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2,078</w:t>
            </w:r>
          </w:p>
        </w:tc>
        <w:tc>
          <w:tcPr>
            <w:tcW w:w="8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2,078</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stock options</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1,962</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5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Arial" w:cs="Arial" w:eastAsia="Arial" w:hAnsi="Arial"/>
                <w:sz w:val="13"/>
                <w:szCs w:val="13"/>
                <w:color w:val="auto"/>
              </w:rPr>
              <w:t>Foreign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currency</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translation</w:t>
            </w: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76"/>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(107,882)</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(107,882)</w:t>
            </w:r>
          </w:p>
        </w:tc>
        <w:tc>
          <w:tcPr>
            <w:tcW w:w="0" w:type="dxa"/>
            <w:vAlign w:val="bottom"/>
          </w:tcPr>
          <w:p>
            <w:pPr>
              <w:spacing w:after="0"/>
              <w:rPr>
                <w:sz w:val="1"/>
                <w:szCs w:val="1"/>
                <w:color w:val="auto"/>
              </w:rPr>
            </w:pPr>
          </w:p>
        </w:tc>
      </w:tr>
      <w:tr>
        <w:trPr>
          <w:trHeight w:val="107"/>
        </w:trPr>
        <w:tc>
          <w:tcPr>
            <w:tcW w:w="960" w:type="dxa"/>
            <w:vAlign w:val="bottom"/>
          </w:tcPr>
          <w:p>
            <w:pPr>
              <w:ind w:left="20"/>
              <w:spacing w:after="0" w:line="107" w:lineRule="exact"/>
              <w:rPr>
                <w:sz w:val="20"/>
                <w:szCs w:val="20"/>
                <w:color w:val="auto"/>
              </w:rPr>
            </w:pPr>
            <w:r>
              <w:rPr>
                <w:rFonts w:ascii="Arial" w:cs="Arial" w:eastAsia="Arial" w:hAnsi="Arial"/>
                <w:sz w:val="12"/>
                <w:szCs w:val="12"/>
                <w:b w:val="1"/>
                <w:bCs w:val="1"/>
                <w:color w:val="auto"/>
              </w:rPr>
              <w:t>Balance at</w:t>
            </w: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41,918,820</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288,301</w:t>
            </w:r>
          </w:p>
        </w:tc>
        <w:tc>
          <w:tcPr>
            <w:tcW w:w="80" w:type="dxa"/>
            <w:vAlign w:val="bottom"/>
          </w:tcPr>
          <w:p>
            <w:pPr>
              <w:spacing w:after="0"/>
              <w:rPr>
                <w:sz w:val="9"/>
                <w:szCs w:val="9"/>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(177,707)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7"/>
              </w:rPr>
              <w:t>110,432</w:t>
            </w:r>
          </w:p>
        </w:tc>
        <w:tc>
          <w:tcPr>
            <w:tcW w:w="0" w:type="dxa"/>
            <w:vAlign w:val="bottom"/>
          </w:tcPr>
          <w:p>
            <w:pPr>
              <w:spacing w:after="0"/>
              <w:rPr>
                <w:sz w:val="1"/>
                <w:szCs w:val="1"/>
                <w:color w:val="auto"/>
              </w:rPr>
            </w:pPr>
          </w:p>
        </w:tc>
      </w:tr>
      <w:tr>
        <w:trPr>
          <w:trHeight w:val="157"/>
        </w:trPr>
        <w:tc>
          <w:tcPr>
            <w:tcW w:w="960" w:type="dxa"/>
            <w:vAlign w:val="bottom"/>
          </w:tcPr>
          <w:p>
            <w:pPr>
              <w:ind w:left="20"/>
              <w:spacing w:after="0"/>
              <w:rPr>
                <w:sz w:val="20"/>
                <w:szCs w:val="20"/>
                <w:color w:val="auto"/>
              </w:rPr>
            </w:pPr>
            <w:r>
              <w:rPr>
                <w:rFonts w:ascii="Arial" w:cs="Arial" w:eastAsia="Arial" w:hAnsi="Arial"/>
                <w:sz w:val="13"/>
                <w:szCs w:val="13"/>
                <w:b w:val="1"/>
                <w:bCs w:val="1"/>
                <w:color w:val="auto"/>
              </w:rPr>
              <w:t>June 30, 2022</w:t>
            </w: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Stock-based</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compensation</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5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line="143" w:lineRule="exact"/>
              <w:rPr>
                <w:sz w:val="20"/>
                <w:szCs w:val="20"/>
                <w:color w:val="auto"/>
              </w:rPr>
            </w:pPr>
            <w:r>
              <w:rPr>
                <w:rFonts w:ascii="Arial" w:cs="Arial" w:eastAsia="Arial" w:hAnsi="Arial"/>
                <w:sz w:val="13"/>
                <w:szCs w:val="13"/>
                <w:color w:val="auto"/>
              </w:rPr>
              <w:t>Issuance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shares, net of</w:t>
            </w: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1,045,642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1,914</w:t>
            </w:r>
          </w:p>
        </w:tc>
        <w:tc>
          <w:tcPr>
            <w:tcW w:w="8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1,914</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currency</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translation</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76"/>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w:t>
            </w:r>
          </w:p>
        </w:tc>
        <w:tc>
          <w:tcPr>
            <w:tcW w:w="5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rPr>
                <w:sz w:val="20"/>
                <w:szCs w:val="20"/>
                <w:color w:val="auto"/>
              </w:rPr>
            </w:pPr>
            <w:r>
              <w:rPr>
                <w:rFonts w:ascii="Arial" w:cs="Arial" w:eastAsia="Arial" w:hAnsi="Arial"/>
                <w:sz w:val="13"/>
                <w:szCs w:val="13"/>
                <w:color w:val="auto"/>
              </w:rPr>
              <w:t>Net loss</w:t>
            </w:r>
          </w:p>
        </w:tc>
        <w:tc>
          <w:tcPr>
            <w:tcW w:w="5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(23,177)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(23,177)</w:t>
            </w:r>
          </w:p>
        </w:tc>
        <w:tc>
          <w:tcPr>
            <w:tcW w:w="0" w:type="dxa"/>
            <w:vAlign w:val="bottom"/>
          </w:tcPr>
          <w:p>
            <w:pPr>
              <w:spacing w:after="0"/>
              <w:rPr>
                <w:sz w:val="1"/>
                <w:szCs w:val="1"/>
                <w:color w:val="auto"/>
              </w:rPr>
            </w:pPr>
          </w:p>
        </w:tc>
      </w:tr>
      <w:tr>
        <w:trPr>
          <w:trHeight w:val="113"/>
        </w:trPr>
        <w:tc>
          <w:tcPr>
            <w:tcW w:w="96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3"/>
                <w:szCs w:val="13"/>
                <w:b w:val="1"/>
                <w:bCs w:val="1"/>
                <w:color w:val="auto"/>
              </w:rPr>
              <w:t>Balance at</w:t>
            </w: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20"/>
              <w:spacing w:after="0" w:line="130" w:lineRule="exact"/>
              <w:rPr>
                <w:sz w:val="20"/>
                <w:szCs w:val="20"/>
                <w:color w:val="auto"/>
              </w:rPr>
            </w:pPr>
            <w:r>
              <w:rPr>
                <w:rFonts w:ascii="Arial" w:cs="Arial" w:eastAsia="Arial" w:hAnsi="Arial"/>
                <w:sz w:val="13"/>
                <w:szCs w:val="13"/>
                <w:b w:val="1"/>
                <w:bCs w:val="1"/>
                <w:color w:val="auto"/>
              </w:rPr>
              <w:t>September 30,</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42,964,462</w:t>
            </w: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$ 290,576</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(200,884)</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89,557</w:t>
            </w: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2022</w:t>
            </w:r>
          </w:p>
        </w:tc>
        <w:tc>
          <w:tcPr>
            <w:tcW w:w="5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42"/>
        </w:trPr>
        <w:tc>
          <w:tcPr>
            <w:tcW w:w="1300" w:type="dxa"/>
            <w:vAlign w:val="bottom"/>
          </w:tcPr>
          <w:p>
            <w:pPr>
              <w:spacing w:after="0"/>
              <w:rPr>
                <w:sz w:val="12"/>
                <w:szCs w:val="12"/>
                <w:color w:val="auto"/>
              </w:rPr>
            </w:pPr>
          </w:p>
        </w:tc>
        <w:tc>
          <w:tcPr>
            <w:tcW w:w="1020" w:type="dxa"/>
            <w:vAlign w:val="bottom"/>
            <w:gridSpan w:val="3"/>
          </w:tcPr>
          <w:p>
            <w:pPr>
              <w:ind w:left="200"/>
              <w:spacing w:after="0"/>
              <w:rPr>
                <w:sz w:val="20"/>
                <w:szCs w:val="20"/>
                <w:color w:val="auto"/>
              </w:rPr>
            </w:pPr>
            <w:r>
              <w:rPr>
                <w:rFonts w:ascii="Arial" w:cs="Arial" w:eastAsia="Arial" w:hAnsi="Arial"/>
                <w:sz w:val="11"/>
                <w:szCs w:val="11"/>
                <w:b w:val="1"/>
                <w:bCs w:val="1"/>
                <w:color w:val="auto"/>
                <w:w w:val="97"/>
              </w:rPr>
              <w:t>Preferred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ind w:left="220"/>
              <w:spacing w:after="0"/>
              <w:rPr>
                <w:sz w:val="20"/>
                <w:szCs w:val="20"/>
                <w:color w:val="auto"/>
              </w:rPr>
            </w:pPr>
            <w:r>
              <w:rPr>
                <w:rFonts w:ascii="Arial" w:cs="Arial" w:eastAsia="Arial" w:hAnsi="Arial"/>
                <w:sz w:val="11"/>
                <w:szCs w:val="11"/>
                <w:b w:val="1"/>
                <w:bCs w:val="1"/>
                <w:color w:val="auto"/>
                <w:w w:val="99"/>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1220" w:type="dxa"/>
            <w:vAlign w:val="bottom"/>
            <w:gridSpan w:val="4"/>
          </w:tcPr>
          <w:p>
            <w:pPr>
              <w:ind w:left="180"/>
              <w:spacing w:after="0"/>
              <w:rPr>
                <w:sz w:val="20"/>
                <w:szCs w:val="20"/>
                <w:color w:val="auto"/>
              </w:rPr>
            </w:pPr>
            <w:r>
              <w:rPr>
                <w:rFonts w:ascii="Arial" w:cs="Arial" w:eastAsia="Arial" w:hAnsi="Arial"/>
                <w:sz w:val="11"/>
                <w:szCs w:val="11"/>
                <w:b w:val="1"/>
                <w:bCs w:val="1"/>
                <w:color w:val="auto"/>
              </w:rPr>
              <w:t>Common Units</w:t>
            </w:r>
          </w:p>
        </w:tc>
        <w:tc>
          <w:tcPr>
            <w:tcW w:w="1260" w:type="dxa"/>
            <w:vAlign w:val="bottom"/>
            <w:gridSpan w:val="4"/>
          </w:tcPr>
          <w:p>
            <w:pPr>
              <w:ind w:left="200"/>
              <w:spacing w:after="0"/>
              <w:rPr>
                <w:sz w:val="20"/>
                <w:szCs w:val="20"/>
                <w:color w:val="auto"/>
              </w:rPr>
            </w:pPr>
            <w:r>
              <w:rPr>
                <w:rFonts w:ascii="Arial" w:cs="Arial" w:eastAsia="Arial" w:hAnsi="Arial"/>
                <w:sz w:val="11"/>
                <w:szCs w:val="11"/>
                <w:b w:val="1"/>
                <w:bCs w:val="1"/>
                <w:color w:val="auto"/>
              </w:rPr>
              <w:t>Preferred Units</w:t>
            </w:r>
          </w:p>
        </w:tc>
        <w:tc>
          <w:tcPr>
            <w:tcW w:w="1280" w:type="dxa"/>
            <w:vAlign w:val="bottom"/>
            <w:gridSpan w:val="4"/>
          </w:tcPr>
          <w:p>
            <w:pPr>
              <w:ind w:left="80"/>
              <w:spacing w:after="0"/>
              <w:rPr>
                <w:sz w:val="20"/>
                <w:szCs w:val="20"/>
                <w:color w:val="auto"/>
              </w:rPr>
            </w:pPr>
            <w:r>
              <w:rPr>
                <w:rFonts w:ascii="Arial" w:cs="Arial" w:eastAsia="Arial" w:hAnsi="Arial"/>
                <w:sz w:val="11"/>
                <w:szCs w:val="11"/>
                <w:b w:val="1"/>
                <w:bCs w:val="1"/>
                <w:color w:val="auto"/>
              </w:rPr>
              <w:t>Senior Priority Units</w:t>
            </w:r>
          </w:p>
        </w:tc>
        <w:tc>
          <w:tcPr>
            <w:tcW w:w="100" w:type="dxa"/>
            <w:vAlign w:val="bottom"/>
          </w:tcPr>
          <w:p>
            <w:pPr>
              <w:spacing w:after="0"/>
              <w:rPr>
                <w:sz w:val="12"/>
                <w:szCs w:val="12"/>
                <w:color w:val="auto"/>
              </w:rPr>
            </w:pP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Cumulative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Number</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98"/>
              </w:rPr>
              <w:t>Members'</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Number</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Members'</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Number</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Members'</w:t>
            </w:r>
          </w:p>
        </w:tc>
        <w:tc>
          <w:tcPr>
            <w:tcW w:w="10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300" w:type="dxa"/>
            <w:vAlign w:val="bottom"/>
          </w:tcPr>
          <w:p>
            <w:pPr>
              <w:spacing w:after="0"/>
              <w:rPr>
                <w:sz w:val="9"/>
                <w:szCs w:val="9"/>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Paid - In</w:t>
            </w:r>
          </w:p>
        </w:tc>
        <w:tc>
          <w:tcPr>
            <w:tcW w:w="56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80" w:type="dxa"/>
            <w:vAlign w:val="bottom"/>
            <w:gridSpan w:val="3"/>
          </w:tcPr>
          <w:p>
            <w:pPr>
              <w:ind w:left="40"/>
              <w:spacing w:after="0" w:line="108" w:lineRule="exact"/>
              <w:rPr>
                <w:sz w:val="20"/>
                <w:szCs w:val="20"/>
                <w:color w:val="auto"/>
              </w:rPr>
            </w:pPr>
            <w:r>
              <w:rPr>
                <w:rFonts w:ascii="Arial" w:cs="Arial" w:eastAsia="Arial" w:hAnsi="Arial"/>
                <w:sz w:val="11"/>
                <w:szCs w:val="11"/>
                <w:b w:val="1"/>
                <w:bCs w:val="1"/>
                <w:color w:val="auto"/>
              </w:rPr>
              <w:t>Members'</w:t>
            </w:r>
          </w:p>
        </w:tc>
        <w:tc>
          <w:tcPr>
            <w:tcW w:w="70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Translation</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Units</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Capital</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Units</w:t>
            </w:r>
          </w:p>
        </w:tc>
        <w:tc>
          <w:tcPr>
            <w:tcW w:w="6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8"/>
              </w:rPr>
              <w:t>Capital</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Units</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Adjustment</w:t>
            </w:r>
          </w:p>
        </w:tc>
        <w:tc>
          <w:tcPr>
            <w:tcW w:w="14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300" w:type="dxa"/>
            <w:vAlign w:val="bottom"/>
            <w:shd w:val="clear" w:color="auto" w:fill="CCEEFF"/>
          </w:tcPr>
          <w:p>
            <w:pPr>
              <w:ind w:left="20"/>
              <w:spacing w:after="0" w:line="102" w:lineRule="exact"/>
              <w:rPr>
                <w:sz w:val="20"/>
                <w:szCs w:val="20"/>
                <w:color w:val="auto"/>
              </w:rPr>
            </w:pPr>
            <w:r>
              <w:rPr>
                <w:rFonts w:ascii="Arial" w:cs="Arial" w:eastAsia="Arial" w:hAnsi="Arial"/>
                <w:sz w:val="10"/>
                <w:szCs w:val="10"/>
                <w:b w:val="1"/>
                <w:bCs w:val="1"/>
                <w:color w:val="auto"/>
              </w:rPr>
              <w:t>Balance at January</w:t>
            </w: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1, 2021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39,228</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39,074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69,276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44,360</w:t>
            </w:r>
          </w:p>
        </w:tc>
        <w:tc>
          <w:tcPr>
            <w:tcW w:w="0" w:type="dxa"/>
            <w:vAlign w:val="bottom"/>
          </w:tcPr>
          <w:p>
            <w:pPr>
              <w:spacing w:after="0"/>
              <w:rPr>
                <w:sz w:val="1"/>
                <w:szCs w:val="1"/>
                <w:color w:val="auto"/>
              </w:rPr>
            </w:pPr>
          </w:p>
        </w:tc>
      </w:tr>
      <w:tr>
        <w:trPr>
          <w:trHeight w:val="129"/>
        </w:trPr>
        <w:tc>
          <w:tcPr>
            <w:tcW w:w="1300" w:type="dxa"/>
            <w:vAlign w:val="bottom"/>
          </w:tcPr>
          <w:p>
            <w:pPr>
              <w:ind w:left="20"/>
              <w:spacing w:after="0" w:line="129" w:lineRule="exact"/>
              <w:rPr>
                <w:sz w:val="20"/>
                <w:szCs w:val="20"/>
                <w:color w:val="auto"/>
              </w:rPr>
            </w:pPr>
            <w:r>
              <w:rPr>
                <w:rFonts w:ascii="Arial" w:cs="Arial" w:eastAsia="Arial" w:hAnsi="Arial"/>
                <w:sz w:val="13"/>
                <w:szCs w:val="13"/>
                <w:color w:val="auto"/>
              </w:rPr>
              <w:t>Contribution of GGH</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Preferred Units, GGH</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Senior Priority Units,</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and notes payable to</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w w:val="98"/>
              </w:rPr>
              <w:t>related party for GGHI</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30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5"/>
              </w:rPr>
              <w:t>26,800,300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72,888</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4"/>
              </w:rPr>
              <w:t>(39,228)</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(39,074)</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(10,000)</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(30,202)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0"/>
              </w:rPr>
              <w:t>(69,276)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3,615</w:t>
            </w:r>
          </w:p>
        </w:tc>
        <w:tc>
          <w:tcPr>
            <w:tcW w:w="0" w:type="dxa"/>
            <w:vAlign w:val="bottom"/>
          </w:tcPr>
          <w:p>
            <w:pPr>
              <w:spacing w:after="0"/>
              <w:rPr>
                <w:sz w:val="1"/>
                <w:szCs w:val="1"/>
                <w:color w:val="auto"/>
              </w:rPr>
            </w:pPr>
          </w:p>
        </w:tc>
      </w:tr>
      <w:tr>
        <w:trPr>
          <w:trHeight w:val="137"/>
        </w:trPr>
        <w:tc>
          <w:tcPr>
            <w:tcW w:w="13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Contribution of GGH</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Common Units for</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GGHI Common Stock</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1,199,700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300" w:type="dxa"/>
            <w:vAlign w:val="bottom"/>
          </w:tcPr>
          <w:p>
            <w:pPr>
              <w:ind w:left="20"/>
              <w:spacing w:after="0" w:line="129" w:lineRule="exact"/>
              <w:rPr>
                <w:sz w:val="20"/>
                <w:szCs w:val="20"/>
                <w:color w:val="auto"/>
              </w:rPr>
            </w:pPr>
            <w:r>
              <w:rPr>
                <w:rFonts w:ascii="Arial" w:cs="Arial" w:eastAsia="Arial" w:hAnsi="Arial"/>
                <w:sz w:val="13"/>
                <w:szCs w:val="13"/>
                <w:color w:val="auto"/>
                <w:w w:val="99"/>
              </w:rPr>
              <w:t>Proceeds from sale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w w:val="99"/>
              </w:rPr>
              <w:t>preferred stock, net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stock issuance costs</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1,620,000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37,112</w:t>
            </w:r>
          </w:p>
        </w:tc>
        <w:tc>
          <w:tcPr>
            <w:tcW w:w="8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4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37,113</w:t>
            </w:r>
          </w:p>
        </w:tc>
        <w:tc>
          <w:tcPr>
            <w:tcW w:w="0" w:type="dxa"/>
            <w:vAlign w:val="bottom"/>
          </w:tcPr>
          <w:p>
            <w:pPr>
              <w:spacing w:after="0"/>
              <w:rPr>
                <w:sz w:val="1"/>
                <w:szCs w:val="1"/>
                <w:color w:val="auto"/>
              </w:rPr>
            </w:pPr>
          </w:p>
        </w:tc>
      </w:tr>
      <w:tr>
        <w:trPr>
          <w:trHeight w:val="160"/>
        </w:trPr>
        <w:tc>
          <w:tcPr>
            <w:tcW w:w="1300" w:type="dxa"/>
            <w:vAlign w:val="bottom"/>
          </w:tcPr>
          <w:p>
            <w:pPr>
              <w:ind w:left="20"/>
              <w:spacing w:after="0"/>
              <w:rPr>
                <w:sz w:val="20"/>
                <w:szCs w:val="20"/>
                <w:color w:val="auto"/>
              </w:rPr>
            </w:pPr>
            <w:r>
              <w:rPr>
                <w:rFonts w:ascii="Arial" w:cs="Arial" w:eastAsia="Arial" w:hAnsi="Arial"/>
                <w:sz w:val="13"/>
                <w:szCs w:val="13"/>
                <w:color w:val="auto"/>
              </w:rPr>
              <w:t>of $3,387</w:t>
            </w: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Stock-based</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compensation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0" w:type="dxa"/>
            <w:vAlign w:val="bottom"/>
          </w:tcPr>
          <w:p>
            <w:pPr>
              <w:spacing w:after="0"/>
              <w:rPr>
                <w:sz w:val="1"/>
                <w:szCs w:val="1"/>
                <w:color w:val="auto"/>
              </w:rPr>
            </w:pPr>
          </w:p>
        </w:tc>
      </w:tr>
      <w:tr>
        <w:trPr>
          <w:trHeight w:val="129"/>
        </w:trPr>
        <w:tc>
          <w:tcPr>
            <w:tcW w:w="1300" w:type="dxa"/>
            <w:vAlign w:val="bottom"/>
          </w:tcPr>
          <w:p>
            <w:pPr>
              <w:ind w:left="20"/>
              <w:spacing w:after="0" w:line="129" w:lineRule="exact"/>
              <w:rPr>
                <w:sz w:val="20"/>
                <w:szCs w:val="20"/>
                <w:color w:val="auto"/>
              </w:rPr>
            </w:pPr>
            <w:r>
              <w:rPr>
                <w:rFonts w:ascii="Arial" w:cs="Arial" w:eastAsia="Arial" w:hAnsi="Arial"/>
                <w:sz w:val="13"/>
                <w:szCs w:val="13"/>
                <w:color w:val="auto"/>
              </w:rPr>
              <w:t>Proceeds from stock</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300" w:type="dxa"/>
            <w:vAlign w:val="bottom"/>
          </w:tcPr>
          <w:p>
            <w:pPr>
              <w:ind w:left="20"/>
              <w:spacing w:after="0"/>
              <w:rPr>
                <w:sz w:val="20"/>
                <w:szCs w:val="20"/>
                <w:color w:val="auto"/>
              </w:rPr>
            </w:pPr>
            <w:r>
              <w:rPr>
                <w:rFonts w:ascii="Arial" w:cs="Arial" w:eastAsia="Arial" w:hAnsi="Arial"/>
                <w:sz w:val="13"/>
                <w:szCs w:val="13"/>
                <w:color w:val="auto"/>
              </w:rPr>
              <w:t>options exercised</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7"/>
        </w:trPr>
        <w:tc>
          <w:tcPr>
            <w:tcW w:w="13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Stock issued to</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miners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169"/>
        </w:trPr>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4,797</w:t>
            </w:r>
          </w:p>
        </w:tc>
        <w:tc>
          <w:tcPr>
            <w:tcW w:w="0" w:type="dxa"/>
            <w:vAlign w:val="bottom"/>
          </w:tcPr>
          <w:p>
            <w:pPr>
              <w:spacing w:after="0"/>
              <w:rPr>
                <w:sz w:val="1"/>
                <w:szCs w:val="1"/>
                <w:color w:val="auto"/>
              </w:rPr>
            </w:pPr>
          </w:p>
        </w:tc>
      </w:tr>
      <w:tr>
        <w:trPr>
          <w:trHeight w:val="108"/>
        </w:trPr>
        <w:tc>
          <w:tcPr>
            <w:tcW w:w="130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at June 30,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1,620,000</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28,320,000</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113,054</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(20,119)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92,939</w:t>
            </w:r>
          </w:p>
        </w:tc>
        <w:tc>
          <w:tcPr>
            <w:tcW w:w="0" w:type="dxa"/>
            <w:vAlign w:val="bottom"/>
          </w:tcPr>
          <w:p>
            <w:pPr>
              <w:spacing w:after="0"/>
              <w:rPr>
                <w:sz w:val="1"/>
                <w:szCs w:val="1"/>
                <w:color w:val="auto"/>
              </w:rPr>
            </w:pPr>
          </w:p>
        </w:tc>
      </w:tr>
      <w:tr>
        <w:trPr>
          <w:trHeight w:val="182"/>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2021</w:t>
            </w: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CCEEFF"/>
            </w:tcBorders>
            <w:vMerge w:val="restart"/>
          </w:tcPr>
          <w:p>
            <w:pPr>
              <w:ind w:left="20"/>
              <w:spacing w:after="0" w:line="116" w:lineRule="exact"/>
              <w:rPr>
                <w:sz w:val="20"/>
                <w:szCs w:val="20"/>
                <w:color w:val="auto"/>
              </w:rPr>
            </w:pPr>
            <w:r>
              <w:rPr>
                <w:rFonts w:ascii="Arial" w:cs="Arial" w:eastAsia="Arial" w:hAnsi="Arial"/>
                <w:sz w:val="13"/>
                <w:szCs w:val="13"/>
                <w:color w:val="auto"/>
              </w:rPr>
              <w:t>Shares issued to</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3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Support.com</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shareholders upon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Merger, net of</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issuance costs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300" w:type="dxa"/>
            <w:vAlign w:val="bottom"/>
          </w:tcPr>
          <w:p>
            <w:pPr>
              <w:ind w:left="20"/>
              <w:spacing w:after="0"/>
              <w:rPr>
                <w:sz w:val="20"/>
                <w:szCs w:val="20"/>
                <w:color w:val="auto"/>
              </w:rPr>
            </w:pPr>
            <w:r>
              <w:rPr>
                <w:rFonts w:ascii="Arial" w:cs="Arial" w:eastAsia="Arial" w:hAnsi="Arial"/>
                <w:sz w:val="13"/>
                <w:szCs w:val="13"/>
                <w:color w:val="auto"/>
              </w:rPr>
              <w:t>$2,296</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2,960,731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91,588</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91,588</w:t>
            </w:r>
          </w:p>
        </w:tc>
        <w:tc>
          <w:tcPr>
            <w:tcW w:w="0" w:type="dxa"/>
            <w:vAlign w:val="bottom"/>
          </w:tcPr>
          <w:p>
            <w:pPr>
              <w:spacing w:after="0"/>
              <w:rPr>
                <w:sz w:val="1"/>
                <w:szCs w:val="1"/>
                <w:color w:val="auto"/>
              </w:rPr>
            </w:pPr>
          </w:p>
        </w:tc>
      </w:tr>
      <w:tr>
        <w:trPr>
          <w:trHeight w:val="137"/>
        </w:trPr>
        <w:tc>
          <w:tcPr>
            <w:tcW w:w="13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8"/>
              </w:rPr>
              <w:t>Issuance of shares for</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investor fee</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associated with</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9"/>
              </w:rPr>
              <w:t>successful completion</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Merger</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562,174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17,826</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17,826</w:t>
            </w:r>
          </w:p>
        </w:tc>
        <w:tc>
          <w:tcPr>
            <w:tcW w:w="0" w:type="dxa"/>
            <w:vAlign w:val="bottom"/>
          </w:tcPr>
          <w:p>
            <w:pPr>
              <w:spacing w:after="0"/>
              <w:rPr>
                <w:sz w:val="1"/>
                <w:szCs w:val="1"/>
                <w:color w:val="auto"/>
              </w:rPr>
            </w:pPr>
          </w:p>
        </w:tc>
      </w:tr>
      <w:tr>
        <w:trPr>
          <w:trHeight w:val="129"/>
        </w:trPr>
        <w:tc>
          <w:tcPr>
            <w:tcW w:w="1300" w:type="dxa"/>
            <w:vAlign w:val="bottom"/>
          </w:tcPr>
          <w:p>
            <w:pPr>
              <w:ind w:left="20"/>
              <w:spacing w:after="0" w:line="129" w:lineRule="exact"/>
              <w:rPr>
                <w:sz w:val="20"/>
                <w:szCs w:val="20"/>
                <w:color w:val="auto"/>
              </w:rPr>
            </w:pPr>
            <w:r>
              <w:rPr>
                <w:rFonts w:ascii="Arial" w:cs="Arial" w:eastAsia="Arial" w:hAnsi="Arial"/>
                <w:sz w:val="13"/>
                <w:szCs w:val="13"/>
                <w:color w:val="auto"/>
              </w:rPr>
              <w:t>Issuance of warrants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to advisor in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connection with</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8,779</w:t>
            </w:r>
          </w:p>
        </w:tc>
        <w:tc>
          <w:tcPr>
            <w:tcW w:w="8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4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8,779</w:t>
            </w:r>
          </w:p>
        </w:tc>
        <w:tc>
          <w:tcPr>
            <w:tcW w:w="0" w:type="dxa"/>
            <w:vAlign w:val="bottom"/>
          </w:tcPr>
          <w:p>
            <w:pPr>
              <w:spacing w:after="0"/>
              <w:rPr>
                <w:sz w:val="1"/>
                <w:szCs w:val="1"/>
                <w:color w:val="auto"/>
              </w:rPr>
            </w:pPr>
          </w:p>
        </w:tc>
      </w:tr>
      <w:tr>
        <w:trPr>
          <w:trHeight w:val="160"/>
        </w:trPr>
        <w:tc>
          <w:tcPr>
            <w:tcW w:w="1300" w:type="dxa"/>
            <w:vAlign w:val="bottom"/>
          </w:tcPr>
          <w:p>
            <w:pPr>
              <w:ind w:left="20"/>
              <w:spacing w:after="0"/>
              <w:rPr>
                <w:sz w:val="20"/>
                <w:szCs w:val="20"/>
                <w:color w:val="auto"/>
              </w:rPr>
            </w:pPr>
            <w:r>
              <w:rPr>
                <w:rFonts w:ascii="Arial" w:cs="Arial" w:eastAsia="Arial" w:hAnsi="Arial"/>
                <w:sz w:val="13"/>
                <w:szCs w:val="13"/>
                <w:color w:val="auto"/>
              </w:rPr>
              <w:t>completion of Merger</w:t>
            </w:r>
          </w:p>
        </w:tc>
        <w:tc>
          <w:tcPr>
            <w:tcW w:w="7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Conversion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(1,620,000)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300" w:type="dxa"/>
            <w:vAlign w:val="bottom"/>
          </w:tcPr>
          <w:p>
            <w:pPr>
              <w:ind w:left="20"/>
              <w:spacing w:after="0" w:line="129" w:lineRule="exact"/>
              <w:rPr>
                <w:sz w:val="20"/>
                <w:szCs w:val="20"/>
                <w:color w:val="auto"/>
              </w:rPr>
            </w:pPr>
            <w:r>
              <w:rPr>
                <w:rFonts w:ascii="Arial" w:cs="Arial" w:eastAsia="Arial" w:hAnsi="Arial"/>
                <w:sz w:val="13"/>
                <w:szCs w:val="13"/>
                <w:color w:val="auto"/>
              </w:rPr>
              <w:t>Shares issued upon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300" w:type="dxa"/>
            <w:vAlign w:val="bottom"/>
          </w:tcPr>
          <w:p>
            <w:pPr>
              <w:ind w:left="20"/>
              <w:spacing w:after="0"/>
              <w:rPr>
                <w:sz w:val="20"/>
                <w:szCs w:val="20"/>
                <w:color w:val="auto"/>
              </w:rPr>
            </w:pPr>
            <w:r>
              <w:rPr>
                <w:rFonts w:ascii="Arial" w:cs="Arial" w:eastAsia="Arial" w:hAnsi="Arial"/>
                <w:sz w:val="13"/>
                <w:szCs w:val="13"/>
                <w:color w:val="auto"/>
              </w:rPr>
              <w:t>exercise of warrants</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344,800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2,155</w:t>
            </w: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2,155</w:t>
            </w:r>
          </w:p>
        </w:tc>
        <w:tc>
          <w:tcPr>
            <w:tcW w:w="0" w:type="dxa"/>
            <w:vAlign w:val="bottom"/>
          </w:tcPr>
          <w:p>
            <w:pPr>
              <w:spacing w:after="0"/>
              <w:rPr>
                <w:sz w:val="1"/>
                <w:szCs w:val="1"/>
                <w:color w:val="auto"/>
              </w:rPr>
            </w:pPr>
          </w:p>
        </w:tc>
      </w:tr>
      <w:tr>
        <w:trPr>
          <w:trHeight w:val="137"/>
        </w:trPr>
        <w:tc>
          <w:tcPr>
            <w:tcW w:w="13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Stock-based</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compensation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69"/>
        </w:trPr>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(7,896)</w:t>
            </w:r>
          </w:p>
        </w:tc>
        <w:tc>
          <w:tcPr>
            <w:tcW w:w="0" w:type="dxa"/>
            <w:vAlign w:val="bottom"/>
          </w:tcPr>
          <w:p>
            <w:pPr>
              <w:spacing w:after="0"/>
              <w:rPr>
                <w:sz w:val="1"/>
                <w:szCs w:val="1"/>
                <w:color w:val="auto"/>
              </w:rPr>
            </w:pPr>
          </w:p>
        </w:tc>
      </w:tr>
      <w:tr>
        <w:trPr>
          <w:trHeight w:val="108"/>
        </w:trPr>
        <w:tc>
          <w:tcPr>
            <w:tcW w:w="130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38,667,705</w:t>
            </w:r>
          </w:p>
        </w:tc>
        <w:tc>
          <w:tcPr>
            <w:tcW w:w="8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233,813</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4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(28,015)</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205,802</w:t>
            </w:r>
          </w:p>
        </w:tc>
        <w:tc>
          <w:tcPr>
            <w:tcW w:w="0" w:type="dxa"/>
            <w:vAlign w:val="bottom"/>
          </w:tcPr>
          <w:p>
            <w:pPr>
              <w:spacing w:after="0"/>
              <w:rPr>
                <w:sz w:val="1"/>
                <w:szCs w:val="1"/>
                <w:color w:val="auto"/>
              </w:rPr>
            </w:pPr>
          </w:p>
        </w:tc>
      </w:tr>
      <w:tr>
        <w:trPr>
          <w:trHeight w:val="182"/>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September 30, 2021</w:t>
            </w:r>
          </w:p>
        </w:tc>
        <w:tc>
          <w:tcPr>
            <w:tcW w:w="76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Greenidge Generation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Nine Months Ended September 30,</w:t>
            </w:r>
          </w:p>
        </w:tc>
      </w:tr>
      <w:tr>
        <w:trPr>
          <w:trHeight w:val="208"/>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(131,488)</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(3,099)</w:t>
            </w:r>
          </w:p>
        </w:tc>
      </w:tr>
      <w:tr>
        <w:trPr>
          <w:trHeight w:val="229"/>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flow from operating activities: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22,680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5,531</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71,500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Impairment of digital assets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assets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Remeasurement of environmental liability</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Investor fee paid in common stock</w:t>
            </w:r>
          </w:p>
        </w:tc>
        <w:tc>
          <w:tcPr>
            <w:tcW w:w="2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17,826</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Advisor fee paid in warrants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8100" w:type="dxa"/>
            <w:vAlign w:val="bottom"/>
          </w:tcPr>
          <w:p>
            <w:pPr>
              <w:ind w:left="520"/>
              <w:spacing w:after="0"/>
              <w:rPr>
                <w:sz w:val="20"/>
                <w:szCs w:val="20"/>
                <w:color w:val="auto"/>
              </w:rPr>
            </w:pPr>
            <w:r>
              <w:rPr>
                <w:rFonts w:ascii="Arial" w:cs="Arial" w:eastAsia="Arial" w:hAnsi="Arial"/>
                <w:sz w:val="18"/>
                <w:szCs w:val="18"/>
                <w:color w:val="auto"/>
              </w:rPr>
              <w:t>Emissions and carbon offset credits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Prepaids and other assets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r>
      <w:tr>
        <w:trPr>
          <w:trHeight w:val="229"/>
        </w:trPr>
        <w:tc>
          <w:tcPr>
            <w:tcW w:w="810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emissions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810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5,315</w:t>
            </w:r>
          </w:p>
        </w:tc>
      </w:tr>
      <w:tr>
        <w:trPr>
          <w:trHeight w:val="230"/>
        </w:trPr>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flow used for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26,666</w:t>
            </w:r>
          </w:p>
        </w:tc>
      </w:tr>
      <w:tr>
        <w:trPr>
          <w:trHeight w:val="209"/>
        </w:trPr>
        <w:tc>
          <w:tcPr>
            <w:tcW w:w="8100" w:type="dxa"/>
            <w:vAlign w:val="bottom"/>
          </w:tcPr>
          <w:p>
            <w:pPr>
              <w:ind w:left="20"/>
              <w:spacing w:after="0"/>
              <w:rPr>
                <w:sz w:val="20"/>
                <w:szCs w:val="20"/>
                <w:color w:val="auto"/>
              </w:rPr>
            </w:pPr>
            <w:r>
              <w:rPr>
                <w:rFonts w:ascii="Arial" w:cs="Arial" w:eastAsia="Arial" w:hAnsi="Arial"/>
                <w:sz w:val="18"/>
                <w:szCs w:val="18"/>
                <w:color w:val="auto"/>
              </w:rPr>
              <w:t>CASH FLOW FROM INVESTING ACTIVITIES: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and deposits for property and equipment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(65,757)</w:t>
            </w: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marketable securities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240"/>
              <w:spacing w:after="0"/>
              <w:rPr>
                <w:sz w:val="20"/>
                <w:szCs w:val="20"/>
                <w:color w:val="auto"/>
              </w:rPr>
            </w:pPr>
            <w:r>
              <w:rPr>
                <w:rFonts w:ascii="Arial" w:cs="Arial" w:eastAsia="Arial" w:hAnsi="Arial"/>
                <w:sz w:val="18"/>
                <w:szCs w:val="18"/>
                <w:color w:val="auto"/>
              </w:rPr>
              <w:t>Cash received in merger</w:t>
            </w:r>
          </w:p>
        </w:tc>
        <w:tc>
          <w:tcPr>
            <w:tcW w:w="240" w:type="dxa"/>
            <w:vAlign w:val="bottom"/>
          </w:tcPr>
          <w:p>
            <w:pPr>
              <w:spacing w:after="0"/>
              <w:rPr>
                <w:sz w:val="19"/>
                <w:szCs w:val="19"/>
                <w:color w:val="auto"/>
              </w:rPr>
            </w:pP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27,113</w:t>
            </w:r>
          </w:p>
        </w:tc>
      </w:tr>
      <w:tr>
        <w:trPr>
          <w:trHeight w:val="223"/>
        </w:trPr>
        <w:tc>
          <w:tcPr>
            <w:tcW w:w="81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flow used for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(122,076)</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(38,644)</w:t>
            </w:r>
          </w:p>
        </w:tc>
      </w:tr>
      <w:tr>
        <w:trPr>
          <w:trHeight w:val="210"/>
        </w:trPr>
        <w:tc>
          <w:tcPr>
            <w:tcW w:w="8100" w:type="dxa"/>
            <w:vAlign w:val="bottom"/>
          </w:tcPr>
          <w:p>
            <w:pPr>
              <w:ind w:left="20"/>
              <w:spacing w:after="0"/>
              <w:rPr>
                <w:sz w:val="20"/>
                <w:szCs w:val="20"/>
                <w:color w:val="auto"/>
              </w:rPr>
            </w:pPr>
            <w:r>
              <w:rPr>
                <w:rFonts w:ascii="Arial" w:cs="Arial" w:eastAsia="Arial" w:hAnsi="Arial"/>
                <w:sz w:val="18"/>
                <w:szCs w:val="18"/>
                <w:color w:val="auto"/>
              </w:rPr>
              <w:t>CASH FLOW FROM FINANCING ACTIVITIES: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preferred stock, net of issuance costs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37,113</w:t>
            </w: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options exercised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warrants exercised</w:t>
            </w:r>
          </w:p>
        </w:tc>
        <w:tc>
          <w:tcPr>
            <w:tcW w:w="2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 associated with shares issued for Support acquisition</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Restricted stock unit awards settled in cash for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debt, net of issuance costs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25,112</w:t>
            </w: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Principal payments on debt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(35,258)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3"/>
        </w:trPr>
        <w:tc>
          <w:tcPr>
            <w:tcW w:w="81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flow provided by financing activities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58,075</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 AND RESTRICTED CASH</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46,097</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 beginning of year</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82,599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4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Greenidge Generation Holdings Inc. (“Greenidge”) and its subsidiaries (collectively, the “Company”) own and operate a vertically integrated cryptocurrency datacenter and power generation company. The Company owns and operates facilities at two locations: the Town of Torrey, New York and Spartanburg, South Carolina. The Company’s cryptocurrency datacenter operations generate revenue in the form of bitcoin by earning bitcoin as rewards and transaction fees for supporting the global bitcoin network with application-specific integrated circuit computers (“ASICs” or “miners”) owned by the Company. The earned bitcoin is then exchanged for U.S. dollars. The Company owns and operates a</w:t>
      </w:r>
    </w:p>
    <w:p>
      <w:pPr>
        <w:spacing w:after="0" w:line="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106 megawatt ("MW") power facility that is connected to the New York Independent System Operator (“NYISO”) power grid. The Company sells electricity to the NYISO at all times when its power plant is running and increases or decreases the amount of electricity sold based on prevailing prices in the wholesale electricity market and demand for electricity.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Support.com, Inc.</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September 14, 2021, GGH Merger Sub, Inc. (“Merger Sub”), a wholly owned subsidiary of Greenidge, merged with and into Support.com, Inc. (“Support.com”), with Support.com continuing as the surviving corporation (the “Merger”) and a wholly owned subsidiary of Greenidge, pursuant to the Agreement and Plan of Merger, dated March 19, 2021 (the “Merger Agreement”), among Greenidge, Support.com and Merger Sub.</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Merger combined the respective businesses of Greenidge and Support.com through an all-stock transaction and has been accounted for using the acquisition method of accounting in accordance with the provisions of Financial Accounting Standards Board (“FASB”)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Greenidge being deemed the acquiring company for accounting purposes (see Note 3). Prior to the Merger, Greenidge's class A common stock ("class A common stock") was registered pursuant to the Securities Exchange Act of 1934, as amended (the “Exchange Act”) and, upon completion of the Merger on September 15, 2021, began trading on The Nasdaq Global Select Market ("Nasdaq") under the ticker symbol “GREE”. Concurrently, Support.com deregistered its shares pursuant to the Exchange Act.</w:t>
      </w:r>
    </w:p>
    <w:p>
      <w:pPr>
        <w:spacing w:after="0" w:line="20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Support.com provides solutions and technical programs to customers delivered by home-based employees. Support.com’s homesourcing model, which enables outsourced work to be delivered by people working from home, has been specifically designed for remote work, with attention to security, recruiting, training, delivery, and employee engagement. Since the consummation of the Merger, the Support.com business operates as a wholly-owned subsidiary and a segment of Greenidge.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Condensed Consolidated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and comprehensive (loss) income are not necessarily indicative of results to be expected for the year ending December 31, 2022 or for any future interim period. The unaudited condensed interim consolidated financial statements do not include all of the information and notes required by United States Generally Accepted Accounting Principles ("GAAP") for complete financial statements.</w:t>
      </w:r>
    </w:p>
    <w:p>
      <w:pPr>
        <w:spacing w:after="0" w:line="20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accompanying condensed consolidated financial statements should be read in conjunction with the notes to the consolidated financial statements of the Company in Greenidge's 2021 Annual Report on Form 10-K. There have been no material changes to the Company’s significant accounting policies during 2022.</w:t>
      </w:r>
    </w:p>
    <w:p>
      <w:pPr>
        <w:spacing w:after="0" w:line="18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In accordance with the FASB Accounting Standards Update (“ASU”)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the Company’s management evaluated whether there are conditions or events that pose risk associated with the Company's ability to continue as a going concern within one year after the date these financial statements have been issued. The Company’s condensed financial statements have been prepared assuming that it will continue as a going concern.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9" w:name="page10"/>
    <w:bookmarkEnd w:id="9"/>
    <w:p>
      <w:pPr>
        <w:ind w:right="100"/>
        <w:spacing w:after="0" w:line="265" w:lineRule="auto"/>
        <w:rPr>
          <w:sz w:val="20"/>
          <w:szCs w:val="20"/>
          <w:color w:val="auto"/>
        </w:rPr>
      </w:pPr>
      <w:r>
        <w:rPr>
          <w:rFonts w:ascii="Arial" w:cs="Arial" w:eastAsia="Arial" w:hAnsi="Arial"/>
          <w:sz w:val="17"/>
          <w:szCs w:val="17"/>
          <w:color w:val="auto"/>
        </w:rPr>
        <w:t>During the second quarter of 2022, the price of bitcoin decreased approximately 57% and the price of natural gas increased approximately 53% and these economic conditions did not improve during the third quarter. The Company’s profit and cash flows are impacted significantly by volatility in the prices of bitcoin and natural gas, and the volatility in these commodity prices significantly impacted the Company's results during 2022. At September 30, 2022, the Company had $38.5 million of cash and cash equivalents, including restricted cash, and</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$0.6 million of bitcoin holdings at fair value, while having $24.9 million of accounts payable and accrued expenses, as well as $88.6 million of principal and interest payments on debt due within the next 12 months.</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ability to continue as a going concern is dependent upon the Company generating profitable operations in the future and/or obtaining the necessary financing to meet its obligations and repay its liabilities arising from normal business operations when they come due. Management has evaluated different options to improve its liquidity to fund the Company’s expenses and to support the Company’s debt servicing requirements. These options include, but are not limited to:</w:t>
      </w:r>
    </w:p>
    <w:p>
      <w:pPr>
        <w:spacing w:after="0" w:line="96" w:lineRule="exact"/>
        <w:rPr>
          <w:sz w:val="20"/>
          <w:szCs w:val="20"/>
          <w:color w:val="auto"/>
        </w:rPr>
      </w:pPr>
    </w:p>
    <w:p>
      <w:pPr>
        <w:ind w:left="980" w:right="200" w:hanging="648"/>
        <w:spacing w:after="0" w:line="261" w:lineRule="auto"/>
        <w:tabs>
          <w:tab w:leader="none" w:pos="948"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selling or monetizing certain assets, including but not limited to sales of additional miners, sales of surplus mining infrastructure equipment, or sales of unannounced and undeveloped locations the Company was evaluating for expansion;</w:t>
      </w:r>
    </w:p>
    <w:p>
      <w:pPr>
        <w:spacing w:after="0" w:line="89" w:lineRule="exact"/>
        <w:rPr>
          <w:rFonts w:ascii="Arial" w:cs="Arial" w:eastAsia="Arial" w:hAnsi="Arial"/>
          <w:sz w:val="18"/>
          <w:szCs w:val="18"/>
          <w:color w:val="auto"/>
        </w:rPr>
      </w:pPr>
    </w:p>
    <w:p>
      <w:pPr>
        <w:ind w:left="980" w:right="980" w:hanging="648"/>
        <w:spacing w:after="0" w:line="261" w:lineRule="auto"/>
        <w:tabs>
          <w:tab w:leader="none" w:pos="948"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issuances of equity, including but not limited to issuances under the 2022 Purchase Agreement (as defined in Note 9, Stockholders' Equity) and the ATM Agreement (as defined in Note 9, Stockholders' Equity);</w:t>
      </w:r>
    </w:p>
    <w:p>
      <w:pPr>
        <w:spacing w:after="0" w:line="89" w:lineRule="exact"/>
        <w:rPr>
          <w:rFonts w:ascii="Arial" w:cs="Arial" w:eastAsia="Arial" w:hAnsi="Arial"/>
          <w:sz w:val="18"/>
          <w:szCs w:val="18"/>
          <w:color w:val="auto"/>
        </w:rPr>
      </w:pP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migrating certain of its equipment to lower cost locations; and</w:t>
      </w:r>
    </w:p>
    <w:p>
      <w:pPr>
        <w:spacing w:after="0" w:line="117" w:lineRule="exact"/>
        <w:rPr>
          <w:rFonts w:ascii="Arial" w:cs="Arial" w:eastAsia="Arial" w:hAnsi="Arial"/>
          <w:sz w:val="18"/>
          <w:szCs w:val="18"/>
          <w:color w:val="auto"/>
        </w:rPr>
      </w:pPr>
    </w:p>
    <w:p>
      <w:pPr>
        <w:ind w:left="980" w:right="40" w:hanging="648"/>
        <w:spacing w:after="0" w:line="256" w:lineRule="auto"/>
        <w:tabs>
          <w:tab w:leader="none" w:pos="948"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negotiating with lenders to modify the terms of certain of the Company’s existing financings, which could result in various modifications, including but not limited to, the modification of interest rates and/or debt amortization, assignment of collateral and changes to the Company's business model.</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18, 2022, Greenidge issued a secured promissory note, as borrower, in favor of B. Riley Commercial Capital, LLC, as noteholder (the "Noteholder"), evidencing a $26.5 million aggregate principal amount loan by the Noteholder to Greenidge (the "Secured Promissory Note"). In the Company's efforts to further improve liquidity, Greenidge and the Noteholder amended the Secured Promissory Note on August 10, 2022. The amendment extended the maturity to June 2023, reduced scheduled monthly amortization payments and reduced mandatory prepayments.</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has received proceeds of $59.8 million since October 2021 from sales of common stock under the 2021 Purchase Agreement (as defined in Note 9, Stockholders' Equity) and the 2022 Purchase Agreement (as defined in Note 9, Stockholders' Equity), of which $2.5 million of proceeds, net of discounts, was received during the three months ended September 30, 2022. In September 2022, Greenidge entered into an ATM Agreement (as defined in Note 9, Stockholders' Equity), and since September 30, 2022 through November 11, 2022, the Company received proceeds of $1.6 million from sales of common stock under the ATM Agreement.</w:t>
      </w:r>
    </w:p>
    <w:p>
      <w:pPr>
        <w:spacing w:after="0" w:line="20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Company sold assets, including certain miners and other assets during the nine months ended September 30, 2022 for proceeds of $4.8 million; however, demand for miners has continued to decline during the third quarter of 2022.</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Company anticipates that existing cash resources will be depleted by the end of the first quarter of 2023. Depending on its assumptions regarding the timing and ability to achieve more normalized levels of operating revenue, the estimated amount of required liquidity will vary significantly. Similarly, management cannot predict when or if bitcoin prices will recover to prior levels, or when energy costs may decrease. While the Company continues to work to implement the options to improve liquidity, there can be no assurance that these efforts will be successful.</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 xml:space="preserve">Management's ability to successfully implement these options could be negatively impacted by items outside of its control, in particular, significant decreases in the price of bitcoin, regulatory changes concerning cryptocurrency, increases in energy costs or other macroeconomic conditions and other matters identified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Annual Report on Form 10-K for the year ended December 31, 2021 and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Quarterly Report on Form 10-Q. Given the lack of improvement in the above mentioned factors in the third quarter of 2022, there is uncertainty regarding the Company’s financial condition and substantial doubt about its ability to continue as a going concern for a reasonable period of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agreed to certain restrictions on $10.5 million of cash received associated with certain financings made during the three months ended September 30, 2022</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agreed to certain restrictions associated with this cash which is classified as restricted as of September 30, 2022.</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period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As an emerging growth company, the Company has elected to adopt this pronouncement following the effective date for private companies beginning with periods beginning after December 15, 2021. The Company adopted this standard on January 1, 2022, and the adoption did not materially impact the Company's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WITH SUPPORT.COM</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As described in Note 1, on September 14, 2021, Greenidge and Support.com combined their respective businesses through an all-stock merger transaction where Support.com became a wholly owned subsidiary of Greenidge. The Merger has been accounted for as a business combination using the acquisition method of accounting in accordance with the provisions of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Greenidge was determined to be the acquiring company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Support.com Operations Since the Merger</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the three months ended September 30, 2022, the acquired Support.com business contributed $7.5 million in revenue and $1.0 million of operating income, which includes approximately $0.2 million of amortization expenses of acquired intangible assets. For the nine months ended September 30, 2022, the acquired Support.com business contributed $24.4 million in revenue and $4.3 million of operating income, which includes approximately $0.7 million of amortization expenses of acquired intangible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Pro Forma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805, the following supplemental unaudited pro forma information gives effect to the Merger as if it had occurred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2021. The unaudited pro forma financial information reflects certain adjustments related to the acquisition, such as:</w:t>
      </w:r>
    </w:p>
    <w:p>
      <w:pPr>
        <w:spacing w:after="0" w:line="117" w:lineRule="exact"/>
        <w:rPr>
          <w:sz w:val="20"/>
          <w:szCs w:val="20"/>
          <w:color w:val="auto"/>
        </w:rPr>
      </w:pPr>
    </w:p>
    <w:p>
      <w:pPr>
        <w:ind w:left="940" w:hanging="608"/>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Conforming the accounting policies of Support.com to those applied by Greenidge;</w:t>
      </w:r>
    </w:p>
    <w:p>
      <w:pPr>
        <w:spacing w:after="0" w:line="117" w:lineRule="exact"/>
        <w:rPr>
          <w:rFonts w:ascii="Arial" w:cs="Arial" w:eastAsia="Arial" w:hAnsi="Arial"/>
          <w:sz w:val="18"/>
          <w:szCs w:val="18"/>
          <w:color w:val="auto"/>
        </w:rPr>
      </w:pPr>
    </w:p>
    <w:p>
      <w:pPr>
        <w:ind w:left="980" w:right="540" w:hanging="648"/>
        <w:spacing w:after="0" w:line="261"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Recording certain incremental expenses resulting from purchase accounting adjustments, such as amortization expense in connection with fair value adjustments to intangible assets; and</w:t>
      </w:r>
    </w:p>
    <w:p>
      <w:pPr>
        <w:spacing w:after="0" w:line="89" w:lineRule="exact"/>
        <w:rPr>
          <w:rFonts w:ascii="Arial" w:cs="Arial" w:eastAsia="Arial" w:hAnsi="Arial"/>
          <w:sz w:val="18"/>
          <w:szCs w:val="18"/>
          <w:color w:val="auto"/>
        </w:rPr>
      </w:pPr>
    </w:p>
    <w:p>
      <w:pPr>
        <w:ind w:left="940" w:hanging="608"/>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Recording the related tax effects of pro forma adjustments.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7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87,830</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(11,783)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(12,602)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pro forma results for three and nine months ended September 30, 2021 include $ 30.0 million and $32.4 million, respectively, of transaction costs for both Greenidge and Support.com $24.5 million and $26.9 million after tax, respectively), such as advisor fees, legal and accounting expenses. These costs will not affect the combined company’s statement of operations beyond 12 months after the closing date, September 14, 2021.</w:t>
      </w:r>
    </w:p>
    <w:p>
      <w:pPr>
        <w:spacing w:after="0" w:line="20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unaudited pro forma financial information should not be relied upon as being indicative of the historical results that would have been obtained if the Merger had actually occurred on that date, nor the results of operations of the Company in the future.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SEGMENT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Effective September 14, 2021, following the completion of the Merger (see Notes 1 and 3), Support.com began operating within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as a separate operating and reporting segment; therefore, Greenidge has two operating and reporting segments since the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Cryptocurrency Datacenter and Power Generation and (ii) Support Services.</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Cryptocurrency Datacenter and Power Generation segment generates revenue primarily by earning bitcoin, with miners that are owned by the Company, as rewards and transaction fees for supporting the global bitcoin network. The Cryptocurrency Datacenter and Power Generation segment also sells surplus electricity generated by its power plant, and not consumed in cryptocurrency datacenter operations, to the NYISO power grid at prices set on a daily basis through the NYISO wholesale market. In addition, the Company receives revenues from the sale of its capacity and ancillary services in the NYISO wholesale market. The Cryptocurrency Datacenter and Power Generation segment operates in the United States.</w:t>
      </w:r>
    </w:p>
    <w:p>
      <w:pPr>
        <w:spacing w:after="0" w:line="20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Support Services segment provides solutions and technical programs to 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 through direct customer downloads and sales via partners. The Support Services segment operates primarily in the United States, but also has employees located in Philippines, India, Mexico, Colombia and Canada, including those staff providing support services.</w:t>
      </w:r>
    </w:p>
    <w:p>
      <w:pPr>
        <w:spacing w:after="0" w:line="205"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 Company’s measure of profit or loss for segment reporting is income (loss) before income taxes, interest and depreciation and amortization and adjusted for share based compensation and excluding items not indicative of ongoing business trends (referred to as “Segment Adjusted EBITDA”). This is the measure used by the Company's Chief Operating Decision Maker to assess performance and allocate resources.</w:t>
      </w:r>
    </w:p>
    <w:p>
      <w:pPr>
        <w:spacing w:after="0" w:line="20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table below presents information about reportable segments for the three and nine months ended September 30, 2022 and 2021, respectively: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8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 September 30,</w:t>
            </w:r>
          </w:p>
        </w:tc>
      </w:tr>
      <w:tr>
        <w:trPr>
          <w:trHeight w:val="20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1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Cryptocurrency Datacenter and Power Generation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34,233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73,966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61,472</w:t>
            </w: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Support Services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62,993</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Adjusted EBITDA (loss)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Cryptocurrency Datacenter and Power Generation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33,464</w:t>
            </w:r>
          </w:p>
        </w:tc>
      </w:tr>
      <w:tr>
        <w:trPr>
          <w:trHeight w:val="229"/>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Support Services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Segments Adjusted EBITDA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69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 w:name="page13"/>
    <w:bookmarkEnd w:id="12"/>
    <w:p>
      <w:pPr>
        <w:ind w:right="160"/>
        <w:spacing w:after="0" w:line="261" w:lineRule="auto"/>
        <w:rPr>
          <w:sz w:val="20"/>
          <w:szCs w:val="20"/>
          <w:color w:val="auto"/>
        </w:rPr>
      </w:pPr>
      <w:r>
        <w:rPr>
          <w:rFonts w:ascii="Arial" w:cs="Arial" w:eastAsia="Arial" w:hAnsi="Arial"/>
          <w:sz w:val="18"/>
          <w:szCs w:val="18"/>
          <w:color w:val="auto"/>
        </w:rPr>
        <w:t>In addition, the table below provides a reconciliation of the total of the Segments Adjusted EBITDA to the consolidated (loss) income before income taxes: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8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 September 30,</w:t>
            </w:r>
          </w:p>
        </w:tc>
      </w:tr>
      <w:tr>
        <w:trPr>
          <w:trHeight w:val="20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5E6F7"/>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Segments Adjusted EBITDA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00" w:type="dxa"/>
            <w:vAlign w:val="bottom"/>
            <w:shd w:val="clear" w:color="auto" w:fill="D5E6F7"/>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33,668</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(5,531)</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D5E6F7"/>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Merger and other costs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(31,095)</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Expansion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D5E6F7"/>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D5E6F7"/>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22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shd w:val="clear" w:color="auto" w:fill="D5E6F7"/>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Consolidated loss before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(116,288)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(5,959)</w:t>
            </w:r>
          </w:p>
        </w:tc>
      </w:tr>
      <w:tr>
        <w:trPr>
          <w:trHeight w:val="20"/>
        </w:trPr>
        <w:tc>
          <w:tcPr>
            <w:tcW w:w="5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at September 30, 2022 and December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3080" w:type="dxa"/>
            <w:vAlign w:val="bottom"/>
            <w:shd w:val="clear" w:color="auto" w:fill="CCEEFF"/>
          </w:tcPr>
          <w:p>
            <w:pPr>
              <w:jc w:val="center"/>
              <w:ind w:left="753"/>
              <w:spacing w:after="0"/>
              <w:rPr>
                <w:sz w:val="20"/>
                <w:szCs w:val="20"/>
                <w:color w:val="auto"/>
              </w:rPr>
            </w:pPr>
            <w:r>
              <w:rPr>
                <w:rFonts w:ascii="Arial" w:cs="Arial" w:eastAsia="Arial" w:hAnsi="Arial"/>
                <w:sz w:val="14"/>
                <w:szCs w:val="14"/>
                <w:b w:val="1"/>
                <w:bCs w:val="1"/>
                <w:color w:val="auto"/>
              </w:rPr>
              <w:t>Estimated Useful</w:t>
            </w:r>
          </w:p>
        </w:tc>
        <w:tc>
          <w:tcPr>
            <w:tcW w:w="24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9"/>
        </w:trPr>
        <w:tc>
          <w:tcPr>
            <w:tcW w:w="3940" w:type="dxa"/>
            <w:vAlign w:val="bottom"/>
            <w:vMerge w:val="continue"/>
            <w:shd w:val="clear" w:color="auto" w:fill="CCEEFF"/>
          </w:tcPr>
          <w:p>
            <w:pPr>
              <w:spacing w:after="0"/>
              <w:rPr>
                <w:sz w:val="16"/>
                <w:szCs w:val="16"/>
                <w:color w:val="auto"/>
              </w:rPr>
            </w:pPr>
          </w:p>
        </w:tc>
        <w:tc>
          <w:tcPr>
            <w:tcW w:w="3080" w:type="dxa"/>
            <w:vAlign w:val="bottom"/>
            <w:shd w:val="clear" w:color="auto" w:fill="CCEEFF"/>
          </w:tcPr>
          <w:p>
            <w:pPr>
              <w:jc w:val="center"/>
              <w:ind w:left="753"/>
              <w:spacing w:after="0"/>
              <w:rPr>
                <w:sz w:val="20"/>
                <w:szCs w:val="20"/>
                <w:color w:val="auto"/>
              </w:rPr>
            </w:pPr>
            <w:r>
              <w:rPr>
                <w:rFonts w:ascii="Arial" w:cs="Arial" w:eastAsia="Arial" w:hAnsi="Arial"/>
                <w:sz w:val="14"/>
                <w:szCs w:val="14"/>
                <w:b w:val="1"/>
                <w:bCs w:val="1"/>
                <w:color w:val="auto"/>
              </w:rPr>
              <w:t>Lives</w:t>
            </w:r>
          </w:p>
        </w:tc>
        <w:tc>
          <w:tcPr>
            <w:tcW w:w="240" w:type="dxa"/>
            <w:vAlign w:val="bottom"/>
            <w:shd w:val="clear" w:color="auto" w:fill="CCEEFF"/>
          </w:tcPr>
          <w:p>
            <w:pPr>
              <w:spacing w:after="0"/>
              <w:rPr>
                <w:sz w:val="16"/>
                <w:szCs w:val="16"/>
                <w:color w:val="auto"/>
              </w:rPr>
            </w:pPr>
          </w:p>
        </w:tc>
        <w:tc>
          <w:tcPr>
            <w:tcW w:w="19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Plant infrastructure</w:t>
            </w:r>
          </w:p>
        </w:tc>
        <w:tc>
          <w:tcPr>
            <w:tcW w:w="3080" w:type="dxa"/>
            <w:vAlign w:val="bottom"/>
          </w:tcPr>
          <w:p>
            <w:pPr>
              <w:jc w:val="center"/>
              <w:ind w:left="753"/>
              <w:spacing w:after="0"/>
              <w:rPr>
                <w:sz w:val="20"/>
                <w:szCs w:val="20"/>
                <w:color w:val="auto"/>
              </w:rPr>
            </w:pPr>
            <w:r>
              <w:rPr>
                <w:rFonts w:ascii="Arial" w:cs="Arial" w:eastAsia="Arial" w:hAnsi="Arial"/>
                <w:sz w:val="18"/>
                <w:szCs w:val="18"/>
                <w:color w:val="auto"/>
                <w:w w:val="98"/>
              </w:rPr>
              <w:t>10 years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34,725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Miners</w:t>
            </w:r>
          </w:p>
        </w:tc>
        <w:tc>
          <w:tcPr>
            <w:tcW w:w="308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rPr>
              <w:t>3 years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48,121</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Miner facility infrastructure</w:t>
            </w:r>
          </w:p>
        </w:tc>
        <w:tc>
          <w:tcPr>
            <w:tcW w:w="3080" w:type="dxa"/>
            <w:vAlign w:val="bottom"/>
          </w:tcPr>
          <w:p>
            <w:pPr>
              <w:jc w:val="center"/>
              <w:ind w:left="753"/>
              <w:spacing w:after="0"/>
              <w:rPr>
                <w:sz w:val="20"/>
                <w:szCs w:val="20"/>
                <w:color w:val="auto"/>
              </w:rPr>
            </w:pPr>
            <w:r>
              <w:rPr>
                <w:rFonts w:ascii="Arial" w:cs="Arial" w:eastAsia="Arial" w:hAnsi="Arial"/>
                <w:sz w:val="18"/>
                <w:szCs w:val="18"/>
                <w:color w:val="auto"/>
                <w:w w:val="98"/>
              </w:rPr>
              <w:t>10 years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32,368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8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Equipment</w:t>
            </w:r>
          </w:p>
        </w:tc>
        <w:tc>
          <w:tcPr>
            <w:tcW w:w="3080" w:type="dxa"/>
            <w:vAlign w:val="bottom"/>
          </w:tcPr>
          <w:p>
            <w:pPr>
              <w:jc w:val="center"/>
              <w:ind w:left="753"/>
              <w:spacing w:after="0"/>
              <w:rPr>
                <w:sz w:val="20"/>
                <w:szCs w:val="20"/>
                <w:color w:val="auto"/>
              </w:rPr>
            </w:pPr>
            <w:r>
              <w:rPr>
                <w:rFonts w:ascii="Arial" w:cs="Arial" w:eastAsia="Arial" w:hAnsi="Arial"/>
                <w:sz w:val="18"/>
                <w:szCs w:val="18"/>
                <w:color w:val="auto"/>
              </w:rPr>
              <w:t>5 years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08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rPr>
              <w:t>3 years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Coal ash impoundment</w:t>
            </w:r>
          </w:p>
        </w:tc>
        <w:tc>
          <w:tcPr>
            <w:tcW w:w="3080" w:type="dxa"/>
            <w:vAlign w:val="bottom"/>
          </w:tcPr>
          <w:p>
            <w:pPr>
              <w:jc w:val="center"/>
              <w:ind w:left="753"/>
              <w:spacing w:after="0"/>
              <w:rPr>
                <w:sz w:val="20"/>
                <w:szCs w:val="20"/>
                <w:color w:val="auto"/>
              </w:rPr>
            </w:pPr>
            <w:r>
              <w:rPr>
                <w:rFonts w:ascii="Arial" w:cs="Arial" w:eastAsia="Arial" w:hAnsi="Arial"/>
                <w:sz w:val="18"/>
                <w:szCs w:val="18"/>
                <w:color w:val="auto"/>
              </w:rPr>
              <w:t>4 years</w:t>
            </w:r>
          </w:p>
        </w:tc>
        <w:tc>
          <w:tcPr>
            <w:tcW w:w="2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308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25,856</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Miner deposits</w:t>
            </w:r>
          </w:p>
        </w:tc>
        <w:tc>
          <w:tcPr>
            <w:tcW w:w="3080" w:type="dxa"/>
            <w:vAlign w:val="bottom"/>
            <w:tcBorders>
              <w:bottom w:val="single" w:sz="8" w:color="CCEEFF"/>
            </w:tcBorders>
          </w:tcPr>
          <w:p>
            <w:pPr>
              <w:jc w:val="center"/>
              <w:ind w:left="773"/>
              <w:spacing w:after="0"/>
              <w:rPr>
                <w:sz w:val="20"/>
                <w:szCs w:val="20"/>
                <w:color w:val="auto"/>
              </w:rPr>
            </w:pPr>
            <w:r>
              <w:rPr>
                <w:rFonts w:ascii="Arial" w:cs="Arial" w:eastAsia="Arial" w:hAnsi="Arial"/>
                <w:sz w:val="18"/>
                <w:szCs w:val="18"/>
                <w:color w:val="auto"/>
                <w:w w:val="99"/>
              </w:rPr>
              <w:t>N/A</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98,110</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(18,030)</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reevaluated the useful lives of the assets and adjusted the lives of the miners from 5 years to 3 years and the lives of plant infrastructure from 15 - 39 years to 10 years effective July 1, 2022. Total depreciation expense was $13.6 million and $2.7 million for the three months ended September 30, 2022 and 2021, respectively, and $22.0 million and $5.5 million for the nine months ended September 30, 2022 and 2021, respectively.</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spacing w:after="0" w:line="20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result of the significant reduction in the price of bitcoin and increased energy prices during the nine months ended September 30, 2022, the Company recognized a noncash impairment charge of $71.5 million for the assets associated with the Cryptocurrency Datacenter and Power Generation segment to reduce the net book value of the long-lived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3" w:name="page14"/>
    <w:bookmarkEnd w:id="13"/>
    <w:p>
      <w:pPr>
        <w:ind w:right="620"/>
        <w:spacing w:after="0" w:line="261" w:lineRule="auto"/>
        <w:rPr>
          <w:sz w:val="20"/>
          <w:szCs w:val="20"/>
          <w:color w:val="auto"/>
        </w:rPr>
      </w:pPr>
      <w:r>
        <w:rPr>
          <w:rFonts w:ascii="Arial" w:cs="Arial" w:eastAsia="Arial" w:hAnsi="Arial"/>
          <w:sz w:val="18"/>
          <w:szCs w:val="18"/>
          <w:color w:val="auto"/>
        </w:rPr>
        <w:t>to fair value. Fair value was determined utilizing the market approach. The excess of the book value over the estimated fair value was allocated to the long-lived assets of the Cryptocurrency and Power Generation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described in Notes 1 and 3, on September 14, 2021, Greenidge and Support.com combined their respective businesses through an all-stock merger transaction that was accounted for as a business combination in accordance with ASC 805. Prior to the Merger, Greenidge did not have any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finite-lived intangible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220" w:type="dxa"/>
            <w:vAlign w:val="bottom"/>
          </w:tcPr>
          <w:p>
            <w:pPr>
              <w:spacing w:after="0"/>
              <w:rPr>
                <w:sz w:val="13"/>
                <w:szCs w:val="13"/>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Intangible Assets</w:t>
            </w:r>
          </w:p>
        </w:tc>
        <w:tc>
          <w:tcPr>
            <w:tcW w:w="300" w:type="dxa"/>
            <w:vAlign w:val="bottom"/>
          </w:tcPr>
          <w:p>
            <w:pPr>
              <w:spacing w:after="0"/>
              <w:rPr>
                <w:sz w:val="13"/>
                <w:szCs w:val="13"/>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6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Intangible Assets, Net</w:t>
            </w:r>
          </w:p>
        </w:tc>
        <w:tc>
          <w:tcPr>
            <w:tcW w:w="0" w:type="dxa"/>
            <w:vAlign w:val="bottom"/>
          </w:tcPr>
          <w:p>
            <w:pPr>
              <w:spacing w:after="0"/>
              <w:rPr>
                <w:sz w:val="1"/>
                <w:szCs w:val="1"/>
                <w:color w:val="auto"/>
              </w:rPr>
            </w:pPr>
          </w:p>
        </w:tc>
      </w:tr>
      <w:tr>
        <w:trPr>
          <w:trHeight w:val="189"/>
        </w:trPr>
        <w:tc>
          <w:tcPr>
            <w:tcW w:w="5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Pr>
          <w:p>
            <w:pPr>
              <w:spacing w:after="0"/>
              <w:rPr>
                <w:sz w:val="24"/>
                <w:szCs w:val="24"/>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Intangible Assets</w:t>
            </w:r>
          </w:p>
        </w:tc>
        <w:tc>
          <w:tcPr>
            <w:tcW w:w="300" w:type="dxa"/>
            <w:vAlign w:val="bottom"/>
          </w:tcPr>
          <w:p>
            <w:pPr>
              <w:spacing w:after="0"/>
              <w:rPr>
                <w:sz w:val="24"/>
                <w:szCs w:val="24"/>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6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Intangible Assets, Net</w:t>
            </w:r>
          </w:p>
        </w:tc>
        <w:tc>
          <w:tcPr>
            <w:tcW w:w="0" w:type="dxa"/>
            <w:vAlign w:val="bottom"/>
          </w:tcPr>
          <w:p>
            <w:pPr>
              <w:spacing w:after="0"/>
              <w:rPr>
                <w:sz w:val="1"/>
                <w:szCs w:val="1"/>
                <w:color w:val="auto"/>
              </w:rPr>
            </w:pPr>
          </w:p>
        </w:tc>
      </w:tr>
      <w:tr>
        <w:trPr>
          <w:trHeight w:val="189"/>
        </w:trPr>
        <w:tc>
          <w:tcPr>
            <w:tcW w:w="5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Amortization expense was $0.2 million and $0.7 million for the three and nine months ended September 30, 2022, respectively. There was less than $0.1 million of amortization expense for both the three and nine months ended September 30,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Future amortization expense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58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(for the remainder of)</w:t>
            </w:r>
          </w:p>
        </w:tc>
        <w:tc>
          <w:tcPr>
            <w:tcW w:w="6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2023</w:t>
            </w:r>
          </w:p>
        </w:tc>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2025</w:t>
            </w:r>
          </w:p>
        </w:tc>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8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3860" w:type="dxa"/>
            <w:vAlign w:val="bottom"/>
          </w:tcPr>
          <w:p>
            <w:pPr>
              <w:ind w:left="100"/>
              <w:spacing w:after="0"/>
              <w:rPr>
                <w:sz w:val="20"/>
                <w:szCs w:val="20"/>
                <w:color w:val="auto"/>
              </w:rPr>
            </w:pPr>
            <w:r>
              <w:rPr>
                <w:rFonts w:ascii="Arial" w:cs="Arial" w:eastAsia="Arial" w:hAnsi="Arial"/>
                <w:sz w:val="18"/>
                <w:szCs w:val="18"/>
                <w:color w:val="auto"/>
              </w:rPr>
              <w:t>Total</w:t>
            </w:r>
          </w:p>
        </w:tc>
        <w:tc>
          <w:tcPr>
            <w:tcW w:w="6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880" w:type="dxa"/>
            <w:vAlign w:val="bottom"/>
            <w:vMerge w:val="restart"/>
          </w:tcPr>
          <w:p>
            <w:pPr>
              <w:jc w:val="right"/>
              <w:ind w:right="393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5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DEBT</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has entered into equipment finance agreements that are secured by the purchased miner equipment. These agreements generally require monthly payments of principal, interest and a risk premium fee. The following table provides information on the equipment financing agreements: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Note</w:t>
            </w:r>
          </w:p>
        </w:tc>
        <w:tc>
          <w:tcPr>
            <w:tcW w:w="100" w:type="dxa"/>
            <w:vAlign w:val="bottom"/>
            <w:vMerge w:val="restart"/>
          </w:tcPr>
          <w:p>
            <w:pPr>
              <w:spacing w:after="0"/>
              <w:rPr>
                <w:sz w:val="12"/>
                <w:szCs w:val="12"/>
                <w:color w:val="auto"/>
              </w:rPr>
            </w:pPr>
          </w:p>
        </w:tc>
        <w:tc>
          <w:tcPr>
            <w:tcW w:w="16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Loan Date</w:t>
            </w:r>
          </w:p>
        </w:tc>
        <w:tc>
          <w:tcPr>
            <w:tcW w:w="100" w:type="dxa"/>
            <w:vAlign w:val="bottom"/>
            <w:vMerge w:val="restart"/>
          </w:tcPr>
          <w:p>
            <w:pPr>
              <w:spacing w:after="0"/>
              <w:rPr>
                <w:sz w:val="12"/>
                <w:szCs w:val="12"/>
                <w:color w:val="auto"/>
              </w:rPr>
            </w:pPr>
          </w:p>
        </w:tc>
        <w:tc>
          <w:tcPr>
            <w:tcW w:w="16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vMerge w:val="restart"/>
          </w:tcPr>
          <w:p>
            <w:pPr>
              <w:spacing w:after="0"/>
              <w:rPr>
                <w:sz w:val="12"/>
                <w:szCs w:val="12"/>
                <w:color w:val="auto"/>
              </w:rPr>
            </w:pPr>
          </w:p>
        </w:tc>
        <w:tc>
          <w:tcPr>
            <w:tcW w:w="148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Interest</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 Financed</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1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Rate</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 Financings: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December 2020</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June 2022</w:t>
            </w:r>
          </w:p>
        </w:tc>
        <w:tc>
          <w:tcPr>
            <w:tcW w:w="1400" w:type="dxa"/>
            <w:vAlign w:val="bottom"/>
          </w:tcPr>
          <w:p>
            <w:pPr>
              <w:jc w:val="right"/>
              <w:spacing w:after="0"/>
              <w:rPr>
                <w:sz w:val="20"/>
                <w:szCs w:val="20"/>
                <w:color w:val="auto"/>
              </w:rPr>
            </w:pPr>
            <w:r>
              <w:rPr>
                <w:rFonts w:ascii="Arial" w:cs="Arial" w:eastAsia="Arial" w:hAnsi="Arial"/>
                <w:sz w:val="18"/>
                <w:szCs w:val="18"/>
                <w:color w:val="auto"/>
              </w:rPr>
              <w:t>17.0 %</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4,482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2020</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March 2021</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November 2022</w:t>
            </w:r>
          </w:p>
        </w:tc>
        <w:tc>
          <w:tcPr>
            <w:tcW w:w="1400" w:type="dxa"/>
            <w:vAlign w:val="bottom"/>
          </w:tcPr>
          <w:p>
            <w:pPr>
              <w:jc w:val="right"/>
              <w:spacing w:after="0"/>
              <w:rPr>
                <w:sz w:val="20"/>
                <w:szCs w:val="20"/>
                <w:color w:val="auto"/>
              </w:rPr>
            </w:pPr>
            <w:r>
              <w:rPr>
                <w:rFonts w:ascii="Arial" w:cs="Arial" w:eastAsia="Arial" w:hAnsi="Arial"/>
                <w:sz w:val="18"/>
                <w:szCs w:val="18"/>
                <w:color w:val="auto"/>
              </w:rPr>
              <w:t>17.0 %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2021</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30"/>
        </w:trPr>
        <w:tc>
          <w:tcPr>
            <w:tcW w:w="2400" w:type="dxa"/>
            <w:vAlign w:val="bottom"/>
            <w:gridSpan w:val="2"/>
          </w:tcPr>
          <w:p>
            <w:pPr>
              <w:ind w:left="140"/>
              <w:spacing w:after="0"/>
              <w:rPr>
                <w:sz w:val="20"/>
                <w:szCs w:val="20"/>
                <w:color w:val="auto"/>
              </w:rPr>
            </w:pPr>
            <w:r>
              <w:rPr>
                <w:rFonts w:ascii="Arial" w:cs="Arial" w:eastAsia="Arial" w:hAnsi="Arial"/>
                <w:sz w:val="18"/>
                <w:szCs w:val="18"/>
                <w:color w:val="auto"/>
              </w:rPr>
              <w:t>E - H</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May 2021</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October 2023</w:t>
            </w:r>
          </w:p>
        </w:tc>
        <w:tc>
          <w:tcPr>
            <w:tcW w:w="1400" w:type="dxa"/>
            <w:vAlign w:val="bottom"/>
          </w:tcPr>
          <w:p>
            <w:pPr>
              <w:jc w:val="right"/>
              <w:spacing w:after="0"/>
              <w:rPr>
                <w:sz w:val="20"/>
                <w:szCs w:val="20"/>
                <w:color w:val="auto"/>
              </w:rPr>
            </w:pPr>
            <w:r>
              <w:rPr>
                <w:rFonts w:ascii="Arial" w:cs="Arial" w:eastAsia="Arial" w:hAnsi="Arial"/>
                <w:sz w:val="18"/>
                <w:szCs w:val="18"/>
                <w:color w:val="auto"/>
              </w:rPr>
              <w:t>15.0 %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15,513</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2021</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2023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40"/>
              <w:spacing w:after="0"/>
              <w:rPr>
                <w:sz w:val="20"/>
                <w:szCs w:val="20"/>
                <w:color w:val="auto"/>
              </w:rPr>
            </w:pPr>
            <w:r>
              <w:rPr>
                <w:rFonts w:ascii="Arial" w:cs="Arial" w:eastAsia="Arial" w:hAnsi="Arial"/>
                <w:sz w:val="18"/>
                <w:szCs w:val="18"/>
                <w:color w:val="auto"/>
              </w:rPr>
              <w:t>J</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July 2021</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March 2023</w:t>
            </w:r>
          </w:p>
        </w:tc>
        <w:tc>
          <w:tcPr>
            <w:tcW w:w="1400" w:type="dxa"/>
            <w:vAlign w:val="bottom"/>
          </w:tcPr>
          <w:p>
            <w:pPr>
              <w:jc w:val="right"/>
              <w:spacing w:after="0"/>
              <w:rPr>
                <w:sz w:val="20"/>
                <w:szCs w:val="20"/>
                <w:color w:val="auto"/>
              </w:rPr>
            </w:pPr>
            <w:r>
              <w:rPr>
                <w:rFonts w:ascii="Arial" w:cs="Arial" w:eastAsia="Arial" w:hAnsi="Arial"/>
                <w:sz w:val="18"/>
                <w:szCs w:val="18"/>
                <w:color w:val="auto"/>
              </w:rPr>
              <w:t>17.0 %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K</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2021</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40"/>
              <w:spacing w:after="0"/>
              <w:rPr>
                <w:sz w:val="20"/>
                <w:szCs w:val="20"/>
                <w:color w:val="auto"/>
              </w:rPr>
            </w:pPr>
            <w:r>
              <w:rPr>
                <w:rFonts w:ascii="Arial" w:cs="Arial" w:eastAsia="Arial" w:hAnsi="Arial"/>
                <w:sz w:val="18"/>
                <w:szCs w:val="18"/>
                <w:color w:val="auto"/>
              </w:rPr>
              <w:t>L</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March 2022</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April 2024</w:t>
            </w:r>
          </w:p>
        </w:tc>
        <w:tc>
          <w:tcPr>
            <w:tcW w:w="1400" w:type="dxa"/>
            <w:vAlign w:val="bottom"/>
          </w:tcPr>
          <w:p>
            <w:pPr>
              <w:jc w:val="right"/>
              <w:spacing w:after="0"/>
              <w:rPr>
                <w:sz w:val="20"/>
                <w:szCs w:val="20"/>
                <w:color w:val="auto"/>
              </w:rPr>
            </w:pPr>
            <w:r>
              <w:rPr>
                <w:rFonts w:ascii="Arial" w:cs="Arial" w:eastAsia="Arial" w:hAnsi="Arial"/>
                <w:sz w:val="18"/>
                <w:szCs w:val="18"/>
                <w:color w:val="auto"/>
              </w:rPr>
              <w:t>13.0 %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October</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Bonds Payable</w:t>
            </w:r>
          </w:p>
        </w:tc>
        <w:tc>
          <w:tcPr>
            <w:tcW w:w="1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2021/December</w:t>
            </w:r>
          </w:p>
        </w:tc>
        <w:tc>
          <w:tcPr>
            <w:tcW w:w="17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October 2026</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8.5 %</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72,200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72,200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72,200</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Secured Promissory Note</w:t>
            </w:r>
          </w:p>
        </w:tc>
        <w:tc>
          <w:tcPr>
            <w:tcW w:w="1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March 2022</w:t>
            </w: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June 2023</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7.5 %</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26,500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100,495</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gridSpan w:val="4"/>
          </w:tcPr>
          <w:p>
            <w:pPr>
              <w:ind w:left="240"/>
              <w:spacing w:after="0"/>
              <w:rPr>
                <w:sz w:val="20"/>
                <w:szCs w:val="20"/>
                <w:color w:val="auto"/>
              </w:rPr>
            </w:pPr>
            <w:r>
              <w:rPr>
                <w:rFonts w:ascii="Arial" w:cs="Arial" w:eastAsia="Arial" w:hAnsi="Arial"/>
                <w:sz w:val="18"/>
                <w:szCs w:val="18"/>
                <w:color w:val="auto"/>
              </w:rPr>
              <w:t>Less: Debt discount and issuance costs</w:t>
            </w: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2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 at book value</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94,828</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Current portion</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(19,577)</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and deferred financing fees</w:t>
            </w: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incurred interest expense of $5.4 million and $1.0 million during the three months ended September 30, 2022 and 2021, respectively, and $15.7 million and $1.4 million during the nine months ended September 30, 2022 and 2021, respectively, under the terms of these financings.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principal payments on debt as of September 30, 2022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Remainder of 2022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20,404</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66,479</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17,075</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72,200</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176,158</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Equipment Financing Agreement</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On March 21, 2022, Greenidge, as guarantor, together with its wholly-owned subsidiaries GTX Gen 1 Collateral LLC, GNY Collateral LLC and GSC Collateral LLC (collectively, the “Borrowers”), entered into a Master Equipment Finance Agreement (the “NYDIG Financing Agreement”) with NYDIG ABL LLC ("NYDIG"), as lender, whereby NYDIG agreed to lend to the Borrowers approximately $81 million under loan schedules that were partially funded for approximately $54 million in March 2022, with additional funding of $17 million through September 30, 2022, to finance the acquisition of certain miners and related equipment (the “Financed Equipment”). The Borrowers' obligations under the NYDIG Financing</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5" w:name="page16"/>
    <w:bookmarkEnd w:id="15"/>
    <w:p>
      <w:pPr>
        <w:spacing w:after="0" w:line="251" w:lineRule="auto"/>
        <w:rPr>
          <w:sz w:val="20"/>
          <w:szCs w:val="20"/>
          <w:color w:val="auto"/>
        </w:rPr>
      </w:pPr>
      <w:r>
        <w:rPr>
          <w:rFonts w:ascii="Arial" w:cs="Arial" w:eastAsia="Arial" w:hAnsi="Arial"/>
          <w:sz w:val="18"/>
          <w:szCs w:val="18"/>
          <w:color w:val="auto"/>
        </w:rPr>
        <w:t>Agreement are fully and unconditionally guaranteed by Greenidge. Outstanding borrowings under the NYDIG Financing Agreement are secured by all assets of the Borrowers, including without limitation, the Financed Equipment and proceeds thereof (including bitcoin). The partially funded loan schedules bear interest at a rate of 13% per annum and have terms of twenty-five months. Certain loan schedules are interest-only for a specified period and otherwise payments on loan schedules include both an interest and principal payment. Pursuant to the terms of the NYDIG Financing Agreement, the Borrowers and with certain exceptions, the Company, will be subject to certain covenants and restrictive provisions which will, among other things: limit the Borrowers’ ability to incur additional indebtedness for borrowed money; limit additional liens on the collateral or the equity interests of any of the Borrowers; limit consolidations or mergers including the Borrowers or the Company unless such would not constitute a Change in Control (as defined therein); limit disposing of the collateral or any portion of the collateral with certain exceptions; limit the Borrowers’ ability to make certain restricted payments and investments; and limit the ability to create certain direct obligations of the Borrowers or the Company unless the NYDIG Financing Agreement is at least pari passu in right of payment; each of which are subject to customary and usual exceptions and baskets. The loans under the NYDIG Financing Agreement cannot be voluntarily partially prepaid, but may be prepaid in whole subject to a make-whole calculation. The NYDIG Financing Agreement is denoted in the table above as "Equipment Financings: 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Promissory Note</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As disclosed in Note 2, on March 18, 2022, Greenidge issued the Secured Promissory Note in favor of the Noteholder. The Secured Promissory Note is guaranteed by certain of Greenidge’s wholly-owned subsidiaries: Greenidge South Carolina LLC, GSC RE LLC and 300 Jones Road LLC. The loan outstanding under the Secured Promissory Note originally bore interest at a rate of 6% per annum and originally matured on July 20, 2022, subject to up to five 30-day extensions, through December 2022, that may be elected by Greenidge provided no Event of Default (as defined therein) has occurred and is continuing and Greenidge pays an Exit Fee (as defined therein) to the Noteholder. Pursuant to the terms of the Secured Promissory Note, Greenidge and its subsidiaries will be subject to certain covenants and restrictive provisions which will, among other things, limit their ability to incur additional indebtedness for borrowed money or additional liens other than debt and liens permitted pursuant to the Secured Promissory Note; consolidate or merge unless Greenidge survives; or transfer all or substantially all of their assets; make certain restricted payments or investments; have a Change of Control (as defined therein); modify certain material agreements; and engage in certain types of transactions with affiliates; each of which are subject to customary and usual exceptions and baskets. The Secured Promissory Note is secured by a first priority mortgage lien on certain real property together with related improvements, fixtures and personal property located at Greenidge's South Carolina Facility. Greenidge’s obligations under the Secured Promissory Note may be prepaid in whole or in part without penalties or fees.</w:t>
      </w:r>
    </w:p>
    <w:p>
      <w:pPr>
        <w:spacing w:after="0" w:line="21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August 10, 2022, Greenidge and the Noteholder agreed to amend the terms of the Secured Promissory Note, by extending the maturity to June 2023, reducing scheduled monthly amortization payments and revising the interest rate to 7.5%. The Exit Fees (as defined therein) associated with the four 30-day extensions subsequent to August 10, 2022, were accelerated and added to the principal balance as of that date. The principal balance following the amendment was $16.4 million as of August 10, 2022. Additionally mandatory repayments of the Secured Promissory Note were revised, such that 65% of the net cash proceeds received from sales of stock under the 2022 Purchase Agreement shall be paid to Noteholder to repay the Secured Promissory Note.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notional value and estimated fair value of the Company's debt totaled $176.2 million and $139.2 million, respectively, at September 30, 2022. The notional value does not include unamortized discounts and debt issuance costs of $6.4 million at September 30, 2022. The estimated fair value of the Bonds Payable, representing the fair value of our 8.50% senior secured notes due 2026, was measured using quoted market prices at the reporting date. Such instruments were valued using Level 1 inputs. For the Equipment Financings and Secured Promissory Note, the Company believes the notional values approximate their fair values.</w:t>
      </w:r>
    </w:p>
    <w:p>
      <w:pPr>
        <w:spacing w:after="0" w:line="183" w:lineRule="exact"/>
        <w:rPr>
          <w:sz w:val="20"/>
          <w:szCs w:val="20"/>
          <w:color w:val="auto"/>
        </w:rPr>
      </w:pPr>
    </w:p>
    <w:p>
      <w:pPr>
        <w:ind w:right="8040" w:firstLine="8"/>
        <w:spacing w:after="0" w:line="513"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Letters of Credit</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Company's controlling stockholder, Atlas Holdings LLC ("Atlas"), obtained a letter of credit from a financial institution in the amount of $5.0 million at September 30, 2022, payable to the New York State Department of Environmental</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Conservation ("NYSDEC"). This letter of credit guarantees the current value of the Company’s landfill environmental liability (see Note 13).</w:t>
      </w:r>
    </w:p>
    <w:p>
      <w:pPr>
        <w:spacing w:after="0" w:line="225"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Atlas also obtained a letter of credit from a financial institution in the amount of $3.6 million at September 30, 2022, payable to Empire Pipeline Incorporated (“Empire”) in the event the Company should not make contracted payments for costs related to a pipeline interconnection project the Company has entered into with Empire (see Note 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An affiliate of Atlas has guaranteed the payment obligation of Greenidge in favor of Emera Energy Services, Inc. ("Emera") under an Energy Management Agreement and an ISDA Master Agreement under which Greenidge may enter into various transactions involving the purchase and sale of natural gas, electricity and other commodities with Emera. This guaranty is limited to $1.0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Affiliates of Atlas from time to time incur certain expansion costs for the benefit of Greenidge, which are fully reimbursed by Greenidge. The amount of costs reimbursed by Greenidge during the nine months ended September 30, 2022 was less than $0.1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Purchase Agreement with B. Riley Principal Capital, LLC</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September 15, 2021, Greenidge entered into a common stock purchase agreement (the “2021 Purchase Agreement”) with B. Riley Principal Capital, LLC (the “Investor”) pursuant to which Greenidge has the right to “put” or sell to the Investor up to $500 million of shares of class A common stock, subject to certain limitations and conditions set forth in the 2021 Purchase Agreement, from time to time during the term of the 2021 Purchase Agreement. The per share purchase price for the shares of class A common stock that Greenidge elected to sell to the Investor pursuant to the 2021 Purchase Agreement were determined by reference to the volume weighted average price of class A common stock during the applicable purchase date on which Greenidge had timely delivered written notice to the Investor directing it to purchase shares under the 2021 Purchase Agreement, less a fixed 5% discount, which was to be increased to a fixed 6% discount at such time that the Company received aggregate cash proceeds of $200 million as payment for all shares of class A common stock purchased by the Investor in all prior sales of class A common stock made under the 2021 Purchase Agreement. The Investor had no obligation to purchase shares pursuant to the 2021 Purchase Agreement to the extent that such purchase would have caused the Investor to own more than 4.99% of the Company’s issued and outstanding shares of class A common stock.</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Greenidge and the Investor entered into a mutual termination agreement on April 6, 2022 (the "Mutual Termination"), which became effective immediately upon signing. Prior to the termination, the Company had sold an aggregate of 2,547,500 shares of class A common stock pursuant to the 2021 Purchase Agreement representing proceeds of $54.9 million, net of discounts, under the 2021 Purchase Agreement. The Company did not incur any early termination penalties as a result of the Mutual Termination.</w:t>
      </w:r>
    </w:p>
    <w:p>
      <w:pPr>
        <w:spacing w:after="0" w:line="2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April 7, 2022, Greenidge entered into a new common stock purchase agreement, as amended by Amendment No. 1 to Common Stock Purchase Agreement, dated as of April 13, 2022 (as amended, the “2022 Purchase Agreement”) with the Investor. Pursuant to the 2022 Purchase Agreement, Greenidge has the right to sell to the Investor up to $500 million in shares of its class A common stock, subject to certain limitations and the satisfaction of specified conditions in the 2022 Purchase Agreement, from time to time over the 24-month period commencing on April 28, 2022.</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per share purchase price for the shares of class A common stock that Greenidge elects to sell to the Investor pursuant to the 2022 Purchase Agreement will be determined by reference to the volume weighted average price of the class A common stock (“VWAP”) during the full primary (or “regular”) trading session on Nasdaq on the applicable purchase date, calculated in accordance with the 2022 Purchase Agreement, or, if the total aggregate number (or “volume”) of class A common stock traded on Nasdaq reaches a certain threshold amount (calculated in accordance with the 2022 Purchase Agreement) prior to the official close of the regular trading session on Nasdaq on such purchase date, then the VWAP will be calculated only for the period beginning at the official open (or “commencement”) of the regular trading session and ending at the time the volume of class A common stock traded on Nasdaq reaches such threshold amount</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5" w:right="379" w:bottom="1440" w:gutter="0" w:footer="0" w:header="0"/>
        </w:sectPr>
      </w:pPr>
    </w:p>
    <w:bookmarkStart w:id="17" w:name="page18"/>
    <w:bookmarkEnd w:id="17"/>
    <w:p>
      <w:pPr>
        <w:ind w:right="180"/>
        <w:spacing w:after="0" w:line="256" w:lineRule="auto"/>
        <w:rPr>
          <w:sz w:val="20"/>
          <w:szCs w:val="20"/>
          <w:color w:val="auto"/>
        </w:rPr>
      </w:pPr>
      <w:r>
        <w:rPr>
          <w:rFonts w:ascii="Arial" w:cs="Arial" w:eastAsia="Arial" w:hAnsi="Arial"/>
          <w:sz w:val="18"/>
          <w:szCs w:val="18"/>
          <w:color w:val="auto"/>
        </w:rPr>
        <w:t>(such period for each purchase, the “Purchase Valuation Period”), less a fixed 5% discount to the VWAP for the Purchase Valuation Period, which shall be increased to 6% at such time that Greenidge has received aggregate cash proceeds of $200 million from all prior sales of class A common stock to the Investor under the 2021 Purchase Agreement and the 2022 Purchase Agreement.</w:t>
      </w:r>
    </w:p>
    <w:p>
      <w:pPr>
        <w:spacing w:after="0" w:line="20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per share purchase price for the shares of class A common stock that Greenidge elects to sell to the Investor in an intraday purchase pursuant to the 2022 Purchase Agreement will be calculated in the same manner as in the case of a regular purchase, provided that the VWAP for such intraday purchase will be measured during the portion of the normal trading hours on Nasdaq on the applicable purchase date that will begin 30 minutes after the latest of (i) the time that the applicable intraday purchase notice is timely received by the Investor, (ii) the time that the Purchase Valuation Period for any prior regular purchase effected on the same purchase date (if any) has ended and (iii) the time that the Intraday Purchase Valuation Period (defined below) for the most recent prior intraday purchase effected on the same purchase date (if any) has ended, and ending at the earlier of (x) the official close of the regular trading session on Nasdaq on such purchase date and</w:t>
      </w:r>
    </w:p>
    <w:p>
      <w:pPr>
        <w:spacing w:after="0" w:line="1" w:lineRule="exact"/>
        <w:rPr>
          <w:sz w:val="20"/>
          <w:szCs w:val="20"/>
          <w:color w:val="auto"/>
        </w:rPr>
      </w:pPr>
    </w:p>
    <w:p>
      <w:pPr>
        <w:ind w:right="160" w:firstLine="8"/>
        <w:spacing w:after="0" w:line="253"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 the volume of shares of class A common stock traded on Nasdaq reaches a certain threshold amount calculated in accordance with the 2022 Purchase Agreement (such period for each intraday purchase, the “Intraday Purchase Valuation Period”), less a fixed 5% discount to the VWAP for the Intraday Purchase Valuation Period, which shall be increased to 6% at such time that Greenidge has received aggregate cash proceeds of $200 million from all prior sales of class A common stock to the Investor under the 2021 Purchase Agreement and the 2022 Purchase Agreement.</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on April 13, 2022, Greenidge entered into Amendment No. 1 to the 2022 Purchase Agreement (the “Amendment”) with the Investor. The Amendment provides for an additional feature that would cause the period used to determine the applicable purchase price to be paid by the Investor for shares elected to be sold by Greenidge to terminate on the applicable purchase date if the trading price of the class A common stock falls below a minimum price threshold. The Amendment also modifies the maximum amount of shares of Greenidge’s class A common stock that Greenidge can elect to sell to the Investor in any single purchase effected by Greenidge.</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applicable Nasdaq rules, unless stockholder approval is obtained, Greenidge may not sell more than 19.99% of the total number of shares of its class A common stock and class B common stock issued and outstanding immediately prior to the execution of the 2022 Purchase Agreement, which number of shares shall be reduced on a share-for-share basis by the number of shares of class A common stock that may be aggregated with the transactions contemplated by the 2022 Purchase Agreement under the applicable Nasdaq rules. Sales of common stock pursuant to the 2022 Purchase Agreement, and the timing of any sales, are solely at the option of the Company, and the Company is under no obligation to sell any securities to the Investor under the 2022 Purchase Agreement.</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2022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2022 Purchase Agreement. The registration statement became effective on April 28, 2022 (the "Effective Date"), relating to the resale of 5,720,951 shares of Greenidge’s class A common stock in connection with the 2022 Purchase Agreement.</w:t>
      </w:r>
    </w:p>
    <w:p>
      <w:pPr>
        <w:spacing w:after="0" w:line="20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From the Effective Date to September 30, 2022, Greenidge issued 1,599,229 shares of class A common stock to the Investor pursuant to the 2022 Purchase Agreement for aggregate proceeds of $5.0 million, net of discounts.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Market Issuance Sales Agreement with B. Riley Securities</w:t>
      </w:r>
    </w:p>
    <w:p>
      <w:pPr>
        <w:spacing w:after="0" w:line="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September 19, 2022, as amended on October 3, 2022, Greenidge entered into an at market issuance sales agreement (the "ATM Agreement") with B. Riley Securities, Inc. ("B. Riley") and Northland Securities, Inc. ("Northland"),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will pay B. Riley commissions for its services in acting as sales agent, in an amount equal to up to 5.0%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8" w:name="page19"/>
    <w:bookmarkEnd w:id="18"/>
    <w:p>
      <w:pPr>
        <w:ind w:right="100"/>
        <w:spacing w:after="0" w:line="261" w:lineRule="auto"/>
        <w:rPr>
          <w:sz w:val="20"/>
          <w:szCs w:val="20"/>
          <w:color w:val="auto"/>
        </w:rPr>
      </w:pPr>
      <w:r>
        <w:rPr>
          <w:rFonts w:ascii="Arial" w:cs="Arial" w:eastAsia="Arial" w:hAnsi="Arial"/>
          <w:sz w:val="18"/>
          <w:szCs w:val="18"/>
          <w:color w:val="auto"/>
        </w:rPr>
        <w:t>From October 1, 2022 through November 11, 2022, Greenidge issued 1,634,964 shares, which B. Riley sold for $1.6 million of net proceeds to Greenidge.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BASED COMPENSATION</w:t>
      </w:r>
    </w:p>
    <w:p>
      <w:pPr>
        <w:spacing w:after="0" w:line="24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February 2021, Greenidge adopted an equity incentive plan and reserved 3,831,112 shares of class A common stock for issuance under the plan (the “2021 Equity Plan”), applicable to employees and non-employee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 Unit Awards</w:t>
      </w:r>
    </w:p>
    <w:p>
      <w:pPr>
        <w:spacing w:after="0" w:line="24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nine months ended September 30, 2022, the Company awarded 55,870 restricted common stock units (“RSUs”) under the 2021 Equity Plan to employees, which are generally eligible to vest over a three-year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RSU awards activity for the nine months ended September 30, 2022 is summarized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14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81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55,870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Unvested at September 30, 2022</w:t>
            </w:r>
          </w:p>
        </w:tc>
        <w:tc>
          <w:tcPr>
            <w:tcW w:w="1480" w:type="dxa"/>
            <w:vAlign w:val="bottom"/>
          </w:tcPr>
          <w:p>
            <w:pPr>
              <w:jc w:val="right"/>
              <w:spacing w:after="0"/>
              <w:rPr>
                <w:sz w:val="20"/>
                <w:szCs w:val="20"/>
                <w:color w:val="auto"/>
              </w:rPr>
            </w:pPr>
            <w:r>
              <w:rPr>
                <w:rFonts w:ascii="Arial" w:cs="Arial" w:eastAsia="Arial" w:hAnsi="Arial"/>
                <w:sz w:val="18"/>
                <w:szCs w:val="18"/>
                <w:color w:val="auto"/>
              </w:rPr>
              <w:t>482,153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value of RSU grants is measured based on their fair market value on the date of grant and amortized over their requisite service periods. During the nine months ended September 30, 2022, the fair market value of the awards granted totaled $0.3 million, and as of September 30, 2022, there was approximately $2.0 million of total unrecognized compensation cost related to unvested restricted stock rights, which is expected to be recognized over a remaining weighted-average vesting period of approximately 1.02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options activity for the nine months ended September 30, 2022 is summarized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240" w:type="dxa"/>
            <w:vAlign w:val="bottom"/>
          </w:tcPr>
          <w:p>
            <w:pPr>
              <w:spacing w:after="0"/>
              <w:rPr>
                <w:sz w:val="14"/>
                <w:szCs w:val="14"/>
                <w:color w:val="auto"/>
              </w:rPr>
            </w:pPr>
          </w:p>
        </w:tc>
        <w:tc>
          <w:tcPr>
            <w:tcW w:w="12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Exercise Price</w:t>
            </w: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Life</w:t>
            </w:r>
          </w:p>
        </w:tc>
        <w:tc>
          <w:tcPr>
            <w:tcW w:w="240" w:type="dxa"/>
            <w:vAlign w:val="bottom"/>
          </w:tcPr>
          <w:p>
            <w:pPr>
              <w:spacing w:after="0"/>
              <w:rPr>
                <w:sz w:val="11"/>
                <w:szCs w:val="11"/>
                <w:color w:val="auto"/>
              </w:rPr>
            </w:pPr>
          </w:p>
        </w:tc>
        <w:tc>
          <w:tcPr>
            <w:tcW w:w="124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(2,296)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Exercisable as of September 30, 2022</w:t>
            </w:r>
          </w:p>
        </w:tc>
        <w:tc>
          <w:tcPr>
            <w:tcW w:w="1480" w:type="dxa"/>
            <w:vAlign w:val="bottom"/>
          </w:tcPr>
          <w:p>
            <w:pPr>
              <w:jc w:val="right"/>
              <w:spacing w:after="0"/>
              <w:rPr>
                <w:sz w:val="20"/>
                <w:szCs w:val="20"/>
                <w:color w:val="auto"/>
              </w:rPr>
            </w:pPr>
            <w:r>
              <w:rPr>
                <w:rFonts w:ascii="Arial" w:cs="Arial" w:eastAsia="Arial" w:hAnsi="Arial"/>
                <w:sz w:val="18"/>
                <w:szCs w:val="18"/>
                <w:color w:val="auto"/>
              </w:rPr>
              <w:t>447,930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value of common stock option grants is measured based on their fair market value on the date of grant and amortized over their requisite service periods. As of September 30, 2022, there was approximately $0.2 million of total unrecognized compensation cost related to unvested common stock options, which is expected to be recognized over a remaining weighted-average vesting period of approximately 1.49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recognized stock-based compensation expense of $0.4 million and $0.4 million during the three months ended September 30, 2022 and 2021, respectively, and $1.0 million and $1.5 million during the nine months ended September 30, 2022 and 2021, respectively. Stock-based compensation expense is included in selling, general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 w:name="page20"/>
    <w:bookmarkEnd w:id="19"/>
    <w:p>
      <w:pPr>
        <w:ind w:right="640"/>
        <w:spacing w:after="0" w:line="261" w:lineRule="auto"/>
        <w:rPr>
          <w:sz w:val="20"/>
          <w:szCs w:val="20"/>
          <w:color w:val="auto"/>
        </w:rPr>
      </w:pPr>
      <w:r>
        <w:rPr>
          <w:rFonts w:ascii="Arial" w:cs="Arial" w:eastAsia="Arial" w:hAnsi="Arial"/>
          <w:sz w:val="18"/>
          <w:szCs w:val="18"/>
          <w:color w:val="auto"/>
        </w:rPr>
        <w:t>administrative expenses in the accompanying unaudited condensed consolidated statements of operations and comprehensive (loss)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was (0.3)% and (13.1)% for the three and nine months ended September 30, 2022, respectively.</w:t>
      </w:r>
    </w:p>
    <w:p>
      <w:pPr>
        <w:spacing w:after="0" w:line="225"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The Company continued to evaluate the realizability of deferred tax assets and due to continued reduced profitability as a result of the declines in bitcoin prices ,concluded that a valuation allowance should continue to be recognized for any deferred tax assets generated during the quarter. As a result there was no net income tax benefit for pretax losses of the U.S. operations in the three months ended September 30, 2022.</w:t>
      </w:r>
    </w:p>
    <w:p>
      <w:pPr>
        <w:spacing w:after="0" w:line="20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effective tax rate for the nine months ended September 30, 2022 was different from the U.S. federal statutory rate of 21% primarily due to a charge of $15.0 million for the recognition of a valuation allowance during the second quarter of 2022 for deferred tax assets. Deferred tax assets primarily relate to historical net operating loss carryforwards of the Support.com business that was acquired in 2021.</w:t>
      </w:r>
    </w:p>
    <w:p>
      <w:pPr>
        <w:spacing w:after="0" w:line="2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Company's effective tax rate was 38.7% and 48.0% for the three and nine months ended September 30, 2021, respectively. The effective tax rates for the three and nine months ended September 30, 2021 include the recognition of a deferred tax liability caused by the reorganization from a limited liability company to a corporation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w:t>
      </w:r>
    </w:p>
    <w:p>
      <w:pPr>
        <w:spacing w:after="0" w:line="20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sets forth a reconciliation of the numerator and denominator used to compute basic earnings and diluted per share of common stock.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8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1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(23,177)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(131,488)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(3,099)</w:t>
            </w:r>
          </w:p>
        </w:tc>
      </w:tr>
      <w:tr>
        <w:trPr>
          <w:trHeight w:val="188"/>
        </w:trPr>
        <w:tc>
          <w:tcPr>
            <w:tcW w:w="502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Less: Net income attributable to the member units before</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0"/>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 reorganization</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Net loss attributable to Greenidge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(23,177)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(131,488)</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(3,747)</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28,949</w:t>
            </w:r>
          </w:p>
        </w:tc>
      </w:tr>
      <w:tr>
        <w:trPr>
          <w:trHeight w:val="229"/>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(Loss) earnings per share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29"/>
        </w:trPr>
        <w:tc>
          <w:tcPr>
            <w:tcW w:w="50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904"/>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9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0" w:name="page21"/>
    <w:bookmarkEnd w:id="20"/>
    <w:p>
      <w:pPr>
        <w:ind w:right="80"/>
        <w:spacing w:after="0" w:line="252" w:lineRule="auto"/>
        <w:rPr>
          <w:sz w:val="20"/>
          <w:szCs w:val="20"/>
          <w:color w:val="auto"/>
        </w:rPr>
      </w:pPr>
      <w:r>
        <w:rPr>
          <w:rFonts w:ascii="Arial" w:cs="Arial" w:eastAsia="Arial" w:hAnsi="Arial"/>
          <w:sz w:val="18"/>
          <w:szCs w:val="18"/>
          <w:color w:val="auto"/>
        </w:rPr>
        <w:t>For the nine months ended September 30, 2021, basic (loss) earnings per share is applicable only for the period from January 29, 2021 through September 30, 2021, which is the period following the reorganization of Greenidge Generation Holdings LLC (" GGH") into Greenidge and presents the period that the Company had outstanding common stock. Prior to the reorganization, there were no shares of common stock outstanding, and the limited liability structure of GGH consisted of member units. The Company analyzed the calculation of earnings per unit for periods prior to the reorganization and determined that it resulted in values that would not be meaningful to the users of these condensed consolidated financial statements.</w:t>
      </w:r>
    </w:p>
    <w:p>
      <w:pPr>
        <w:spacing w:after="0" w:line="20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three and nine months ended September 30, 2022, there was no impact of dilution from any of the outstanding 482,153 RSUs or 570,563 common stock options due to the net loss, since inclusion of any impact from these awards would be anti-dilutive. For the three and nine months ended September 30, 2021, there were no shares excluded from the calculation of diluted earnings per share due to the net loss, since inclusion of any impact from these awards would be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4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is currently not aware of any such legal proceedings or claims that it believes will have a material adverse effect on its business, financial condition or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Liabilities</w:t>
      </w:r>
    </w:p>
    <w:p>
      <w:pPr>
        <w:spacing w:after="0" w:line="24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The Company owns and operates a fully permitted landfill that also acts as a leachate treatment facility. In accordance with ASC 410-30, </w:t>
      </w:r>
      <w:r>
        <w:rPr>
          <w:rFonts w:ascii="Arial" w:cs="Arial" w:eastAsia="Arial" w:hAnsi="Arial"/>
          <w:sz w:val="18"/>
          <w:szCs w:val="18"/>
          <w:i w:val="1"/>
          <w:iCs w:val="1"/>
          <w:color w:val="auto"/>
        </w:rPr>
        <w:t>Environmental Obligations ("ASC 410-30")</w:t>
      </w:r>
      <w:r>
        <w:rPr>
          <w:rFonts w:ascii="Arial" w:cs="Arial" w:eastAsia="Arial" w:hAnsi="Arial"/>
          <w:sz w:val="18"/>
          <w:szCs w:val="18"/>
          <w:color w:val="auto"/>
        </w:rPr>
        <w:t>, the Company has recorded an environmental liability of $8.6 million as of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December 31, 2021.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w:t>
      </w:r>
    </w:p>
    <w:p>
      <w:pPr>
        <w:spacing w:after="0" w:line="2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has coal combustion residual ("CCR") liabilities associated with the closure of a coal ash pond located on the Company's property in the Town of Torrey, New York. In accordance with ASC 410-30, the Company has a liability of $13.8 million as of September 30, 2022, which includes a charge of $11.1 million during the nine-months ended September 30, 2022 as a result of an update to the cost estimates as part of the ongoing evaluation of the site. CCRs are subject to federal and state requirements.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43"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Support.com has received and may in the future receive additional requests for information, including subpoenas, from other governmental agencies relating to the subject matter of a Consent Order and Civil Investigative Demands. The Company intends to cooperate with these information requests and is not aware of any other legal proceedings against the Company by governmental authorities at this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entered into a contract with Empire in September 2020 that provides for the transportation to its pipeline of 15,000 dekatherms of natural gas per day, approximately $0.2 million per month. The contract ends in September 2030 and may be terminated by either party with 12 months' notice after the initial 10-year period.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CONCENTRATIONS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power customer, NYISO, that accounted for 12% and 9% of consolidated revenue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respectively. NYISO accounted for 13% and 12% of consolidated revenue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respectively.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cryptocurrency datacenter operations, Greenidge considers its mining pool operators to be its customers. Greenidge has historically used a limited number of pool operators that have operated under contracts with a one-day term, which allows Greenidge the option to change pool operators on a daily basis. Revenue from one of the Company’s pool operator customers accounted for approximately 60% and 62% of total revenue for the three months ended September 30, 2022 and 2021, respectively, and 56% and 37% for the nine months ended September 30, 2022 and 2021, respectively.</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Support Services segment's largest customer accounted for approximately 19% and 18% of the Company's consolidated revenue during the three and nine months ended September 30, 2022, respectively, and also accounted for approximately 69% and 67% of the Company's consolidated accounts receivable balance at September 30, 2022 and December 31, 2021, respectively. The contract with the Support Services segment's largest customer expires on December 31, 2022 and has not been renewed.</w:t>
      </w:r>
    </w:p>
    <w:p>
      <w:pPr>
        <w:spacing w:after="0" w:line="20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Company has one natural gas vendor that accounted for approximately 67% and 60% of the aggregate cost of revenue- cryptocurrency data center and cost of revenue- power and capacity for the three months ended September 30, 2022 and 2021, respectively and 64% and 59% of cost of revenue for the nine months ended September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CASH FLOW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Greenidge had the following noncash investing and financing activities: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100" w:type="dxa"/>
            <w:vAlign w:val="bottom"/>
            <w:gridSpan w:val="5"/>
          </w:tcPr>
          <w:p>
            <w:pPr>
              <w:jc w:val="right"/>
              <w:ind w:right="273"/>
              <w:spacing w:after="0"/>
              <w:rPr>
                <w:sz w:val="20"/>
                <w:szCs w:val="20"/>
                <w:color w:val="auto"/>
              </w:rPr>
            </w:pPr>
            <w:r>
              <w:rPr>
                <w:rFonts w:ascii="Arial" w:cs="Arial" w:eastAsia="Arial" w:hAnsi="Arial"/>
                <w:sz w:val="14"/>
                <w:szCs w:val="14"/>
                <w:b w:val="1"/>
                <w:bCs w:val="1"/>
                <w:color w:val="auto"/>
              </w:rPr>
              <w:t>Nine Months Ended September 30,</w:t>
            </w:r>
          </w:p>
        </w:tc>
      </w:tr>
      <w:tr>
        <w:trPr>
          <w:trHeight w:val="20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to Support.com shareholders upon Merger</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93,885</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Property and equipment purchases financed with common stock</w:t>
            </w:r>
          </w:p>
        </w:tc>
        <w:tc>
          <w:tcPr>
            <w:tcW w:w="1080" w:type="dxa"/>
            <w:vAlign w:val="bottom"/>
          </w:tcPr>
          <w:p>
            <w:pPr>
              <w:jc w:val="right"/>
              <w:ind w:right="875"/>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188"/>
        </w:trPr>
        <w:tc>
          <w:tcPr>
            <w:tcW w:w="8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Contribution of Preferred Units, Senior Priority Units, and notes payable to related</w:t>
            </w: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party for Greenidge class B common stock</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72,891</w:t>
            </w:r>
          </w:p>
        </w:tc>
      </w:tr>
      <w:tr>
        <w:trPr>
          <w:trHeight w:val="188"/>
        </w:trPr>
        <w:tc>
          <w:tcPr>
            <w:tcW w:w="8140" w:type="dxa"/>
            <w:vAlign w:val="bottom"/>
          </w:tcPr>
          <w:p>
            <w:pPr>
              <w:ind w:left="20"/>
              <w:spacing w:after="0" w:line="189" w:lineRule="exact"/>
              <w:rPr>
                <w:sz w:val="20"/>
                <w:szCs w:val="20"/>
                <w:color w:val="auto"/>
              </w:rPr>
            </w:pPr>
            <w:r>
              <w:rPr>
                <w:rFonts w:ascii="Arial" w:cs="Arial" w:eastAsia="Arial" w:hAnsi="Arial"/>
                <w:sz w:val="18"/>
                <w:szCs w:val="18"/>
                <w:color w:val="auto"/>
              </w:rPr>
              <w:t>Issuance of shares for investor fee associated with successful completion</w:t>
            </w: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of Merger</w:t>
            </w:r>
          </w:p>
        </w:tc>
        <w:tc>
          <w:tcPr>
            <w:tcW w:w="1080" w:type="dxa"/>
            <w:vAlign w:val="bottom"/>
          </w:tcPr>
          <w:p>
            <w:pPr>
              <w:jc w:val="right"/>
              <w:ind w:right="875"/>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17,826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warrants to advisor in connection with completion of Merger</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4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Subsequent events have been evaluated through November 14, 2022, the date at which the condensed consolidated financial statements were available to be issued, and the Company has concluded that no such events or transactions took place that would require disclosure herein except as stated directly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Transition</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Effective October 8, 2022, The Board of Directors appointed David Anderson to the position of Chief Executive Officer and Scott MacKenzie to the position of Chief Strategy Officer. Upon assuming the role, Mr. Anderson joined Greenidge's Board of Directors. As an inducement for Messrs. Anderson and MacKenzie to enter into employment with Greenidge, Greenidge's Compensation Committee approved grants of stock options ("Options") to each of Messrs. Anderson and MacKenzie. The Options granted to Mr. Anderson are exercisable for 1,852,812 shares of Greenidge's class A common stock ("Shares") and the Options granted to Mr. MacKenzie are exercisable for 1,224,030 Shares. The options were granted on October 10, 2022 and have an exercise price equal to the closing price of a Share on the grant date. The Options vest in equal annual installments on each of the first, second and third anniversaries of the grant date, subject to Messrs. Anderson's and MacKenzie's continued service through the applicable vesting dates,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2" w:name="page23"/>
    <w:bookmarkEnd w:id="22"/>
    <w:p>
      <w:pPr>
        <w:ind w:right="100"/>
        <w:spacing w:after="0" w:line="252" w:lineRule="auto"/>
        <w:rPr>
          <w:sz w:val="20"/>
          <w:szCs w:val="20"/>
          <w:color w:val="auto"/>
        </w:rPr>
      </w:pPr>
      <w:r>
        <w:rPr>
          <w:rFonts w:ascii="Arial" w:cs="Arial" w:eastAsia="Arial" w:hAnsi="Arial"/>
          <w:sz w:val="18"/>
          <w:szCs w:val="18"/>
          <w:color w:val="auto"/>
        </w:rPr>
        <w:t>Greenidge also announced the mutual agreement between Greenidge and Jeffrey Kirt that Mr. Kirt would resign from his roles as CEO and Director, effective as of October 7, 2022 and transition to providing consulting services to Greenidge. Mr. Kirt’s consulting services to Greenidge are scheduled to continue through October 10, 2023. Under the terms of the letter agreement that describe the terms of Mr. Kirt’s separation of employment from Greenidge and the terms of his consulting services to Greenidge, Mr. Kirt will receive his base salary of $750,000 during the consulting period, immediate vesting of 229,868 RSUs, and a one-time grant under the Company’s 2021 Equity Incentive Plan of 280,000 restricted stock units that were fully vested at grant on October 10, 2022 and settle in twelve weekly installments beginning on October 14,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Agreement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19, 2022, as amended on October 3, 2022, Greenidge entered into the ATM Agreement with B. Riley and Northland. Pursuant to the ATM Agreement, Greenidge may offer and sell shares of its class A common stock having an aggregate offering price of $22,800,000. See Note 9,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Support Services Customer Contract</w:t>
      </w:r>
    </w:p>
    <w:p>
      <w:pPr>
        <w:spacing w:after="0" w:line="135"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In October 2022, the Company was informed that the contract associated with the Support Services segment's largest customer, which expires on December 31, 2022, will not be renewed beyond that date. This customer accounted for approximately 19% and 18% of the Company's consolidated revenue during the three and nine months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The following discussion should be read together with the audited financial statements and the related notes thereto of Greenidge Generation Holdings Inc. (“Greenidge”), together with its consolidated subsidiaries (the “Company”) for the years ended December 31, 2021 and 2020 included in our Annual Report on Form 10-K and the unaudited interim financial statements and related notes thereto of the Company for the three and nine months ended September 30, 2022 and 2021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Greenidge's Annual Report on Form 10-K for the year ended December 31, 2021 and “Cautionary Statement Regarding Forward-Looking Statements” sections of this Quarterly Report on Form 10-Q. Actual results may differ materially from those contained in any forward-looking statements. For purposes of this section, “the Company,” “we,” “us” and “our” refer to Greenidge Generation Holdings Inc. together with its consolidated subsidiaries. You should carefully read “Cautionary Statement Regarding Forward-Looking Statements” in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Datacenter and Power Generation Segment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own cryptocurrency datacenter operations in the Town of Torrey, New York (the "New York Facility") and in Spartanburg, South Carolina (the “South Carolina Facility” and, together with the New York Facility, the “facilities”). The New York Facility is a vertically integrated cryptocurrency datacenter and power generation facility with an approximately 106 megawatt (“MW”) natural gas power generation facility. We generate all the power we require for our cryptocurrency datacenter operations in the New York Facility, where we enjoy relatively lower market prices for natural gas due to our access to the Millennium Gas Pipeline price hub. At the South Carolina Facility, we purchase power from a supplier of approximately 60% zero-carbon sourced energy, which results in relatively stable energy cost environment. We believe our competitive advantages include relatively low fixed costs, an efficient mining fleet and in-house operational expertise. We are currently mining bitcoin and contributing to the security and transactability of the bitcoin ecosystem while concurrently supplying power to assist in meeting the power needs of homes and businesses in the region served by our New York Facility.</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of September 30, 2022, we powered approximately 76 MW of mining capacity capable of producing an estimated aggregate hash rate of 2.4 EH/s at our facilities, substantially all of which is dedicated to bitcoin mining. Our Cryptocurrency Datacenter and Power Generation segment generates revenue i) through the exchange of bitcoins earned by application-specific integrated circuit computers ("ASICs" or "miners") as rewards and transaction fees for U.S. dollars and, to a much lesser extent in 2021 through revenue earned from third parties for hosting ASICs owned by third parties and providing operations, maintenance and other blockchain related services to third parties and ii) through the sale of electricity generated by our power plant, and not consumed in cryptocurrency datacenter operations, to New York State’s power grid at prices set on a daily basis through the New York Independent System Operator ("NYISO") wholesale market. We opportunistically increase or decrease the total amount of electricity sold by the power plant based on prevailing prices in the wholesale electricity market.</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believe that, over the long-term, behind-the-meter power generation capability provides a stable, cost-effective source of power for cryptocurrency datacenter activities. Our behind-the-meter power generation capability provides us with stable delivery due to the absence of any contract negotiation risk with third-party power suppliers, the absence of transmission and distribution cost risk and the firm delivery of natural gas for our New York Facility via our captive pipeline. Furthermore, our New York Facility has operated with minimal downtime for maintenance and repairs over recent years. Notwithstanding the structural stability of our behind-the-meter capabilities, we do however procure natural gas at our New York Facility through a third -party energy manager which schedules delivery of our natural gas needs from the wholesale market which is subject to price volatility. We procure the majority of our natural gas at spot prices and enter into fixed price forward contracts from time to time for the purchase of a portion of anticipated natural gas purchases based on prevailing market conditions to partially mitigate the financial impacts of natural gas price volatility and to manage commodity risk. These forward contracts qualify for the normal purchases and sales exception under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it is probable that these contracts will result in physical delivery.</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4" w:name="page25"/>
    <w:bookmarkEnd w:id="24"/>
    <w:p>
      <w:pPr>
        <w:spacing w:after="0" w:line="251" w:lineRule="auto"/>
        <w:rPr>
          <w:sz w:val="20"/>
          <w:szCs w:val="20"/>
          <w:color w:val="auto"/>
        </w:rPr>
      </w:pPr>
      <w:r>
        <w:rPr>
          <w:rFonts w:ascii="Arial" w:cs="Arial" w:eastAsia="Arial" w:hAnsi="Arial"/>
          <w:sz w:val="18"/>
          <w:szCs w:val="18"/>
          <w:color w:val="auto"/>
        </w:rPr>
        <w:t>Volatility in the natural gas market has impacted and will continue to impact our results of operations and financial performance. Natural gas prices have been on an upward trajectory since June of 2021 and are expected to continue at elevated levels during 2022. During 2022, the volatility in the cost of natural gas resulted in an approximate 121% increase in the weighted average cost of natural gas during the nine months ended September 30, 2022, as compared to the same period in the prior year. This is currently affecting, and has affected, the performance of our business. Volatility in the natural gas market may be caused by disruption in the delivery of fuel, including disruptions as a result of the outbreak or escalation of military hostilities, weather, transportation difficulties, global demand and supply dynamics, labor relations, environmental regulations or the financial viability of fuel suppliers. See “</w:t>
      </w:r>
      <w:r>
        <w:rPr>
          <w:rFonts w:ascii="Arial" w:cs="Arial" w:eastAsia="Arial" w:hAnsi="Arial"/>
          <w:sz w:val="18"/>
          <w:szCs w:val="18"/>
          <w:i w:val="1"/>
          <w:iCs w:val="1"/>
          <w:color w:val="auto"/>
        </w:rPr>
        <w:t>Risk Factors—Risks Related to Our Business—Risks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Power Generation Operations</w:t>
      </w:r>
      <w:r>
        <w:rPr>
          <w:rFonts w:ascii="Arial" w:cs="Arial" w:eastAsia="Arial" w:hAnsi="Arial"/>
          <w:sz w:val="18"/>
          <w:szCs w:val="18"/>
          <w:color w:val="auto"/>
        </w:rPr>
        <w:t>” in Part I, Item 1A of our Annual Report on Form 10-K for the year ended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in this Quarterly Report on Form 10-Q.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Services Segment</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Effective September 14, 2021, following the completion of the Merger (see Notes 1 and 3 in this Quarterly Report on Form 10-Q), Support.com began operating within the Company as a separate operating and reporting segment. Our Support Services segment provides solutions and technical programs to 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 through direct customer downloads and sale via partners. The Support Services segment operates primarily in the United States, but also has employees located in Philippines, India, Mexico, Columbia and Canada, including staff providing support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Plan Update</w:t>
      </w:r>
    </w:p>
    <w:p>
      <w:pPr>
        <w:spacing w:after="0" w:line="24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Company had mining capacity of approximately 2.4 EH/s from approximately 24,500 active miners at September 30, 2022. The Company is reevaluating its development plan as it works through its plans to improve liquidity.</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Beginning in the second quarter of 2022, the Company began to reduce its inventory of older, less efficient mining equipment in order to free up mining capacity for newer more, efficient miners in its order book. The Company expects this trend to continue through the end of 2022, and the Company may also consider other assets sales, including but not limited to sales of surplus mining infrastructure equipment, to further enhance its liquidity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V Air Permit</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late June 2022, the New York State Department of Environmental Conservation (“NYSDEC”), announced its denial of the Title V air permit renewal for our New York Facility. The Company filed a notice with the NYSDEC on July 28, 2022 requesting a hearing on NYSDEC’s decision. Having timely completed its application to renew its Title V air permit, the Company is permitted to operate uninterrupted under a State Administrative Procedures Act extension, in full compliance with its existing Title V Air Permit, until four months after final resolution of the adjudicatory hearing process. While no adjudicatory proceedings have been scheduled to date, the Company expects that the appeals process may take a number of years to fully resolve.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Permit</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New York Facility is subject to SPDES and Water Withdrawal permits issued by NYSDEC for five-year terms, which include state and federal requirements applicable to the cooling water intake structure and discharges from the facility to the Keuka Lake Outlet and Seneca Lake. These permits were renewed by NYSDEC prior to the September 30, 2022 expiration date. As part of this renewal the Company was granted an extension on installing the best technology available for cooling water intake structures until January 2023. The Company is in the process of installing these structures and expects to meet the January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Results of Operations - Three Months Ended September 30,</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should be read in conjunction with our condensed consolidated financial statements and related notes. All comparisons below refer to the third quarter 2022 versus the third quarter 2021, unless otherwise specified.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1680" w:type="dxa"/>
            <w:vAlign w:val="bottom"/>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35,754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88"/>
        </w:trPr>
        <w:tc>
          <w:tcPr>
            <w:tcW w:w="4680" w:type="dxa"/>
            <w:vAlign w:val="bottom"/>
          </w:tcPr>
          <w:p>
            <w:pPr>
              <w:ind w:left="20"/>
              <w:spacing w:after="0" w:line="189" w:lineRule="exact"/>
              <w:rPr>
                <w:sz w:val="20"/>
                <w:szCs w:val="20"/>
                <w:color w:val="auto"/>
              </w:rPr>
            </w:pPr>
            <w:r>
              <w:rPr>
                <w:rFonts w:ascii="Arial" w:cs="Arial" w:eastAsia="Arial" w:hAnsi="Arial"/>
                <w:sz w:val="18"/>
                <w:szCs w:val="18"/>
                <w:color w:val="auto"/>
              </w:rPr>
              <w:t>Cost of revenue (exclusive of depreciation and</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amortization shown below)</w:t>
            </w:r>
          </w:p>
        </w:tc>
        <w:tc>
          <w:tcPr>
            <w:tcW w:w="280" w:type="dxa"/>
            <w:vAlign w:val="bottom"/>
          </w:tcPr>
          <w:p>
            <w:pPr>
              <w:spacing w:after="0"/>
              <w:rPr>
                <w:sz w:val="20"/>
                <w:szCs w:val="20"/>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22,095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9,659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12,436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5,446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Merger and other costs</w:t>
            </w:r>
          </w:p>
        </w:tc>
        <w:tc>
          <w:tcPr>
            <w:tcW w:w="280" w:type="dxa"/>
            <w:vAlign w:val="bottom"/>
          </w:tcPr>
          <w:p>
            <w:pPr>
              <w:spacing w:after="0"/>
              <w:rPr>
                <w:sz w:val="19"/>
                <w:szCs w:val="19"/>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29,847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13,835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2,667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(17,053)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(11,865)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(438 %)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digital assets</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Loss on sale of assets</w:t>
            </w:r>
          </w:p>
        </w:tc>
        <w:tc>
          <w:tcPr>
            <w:tcW w:w="2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(loss), net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(1,020)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(493 %)</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(23,098)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(12,885)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(4,989)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(23,177)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(7,896)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Adjusted Amounts (a)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(loss) income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18,110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Adjusted operating margin</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net (loss)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12,166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Financial Data (a)</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EBITDA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(9,209)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i w:val="1"/>
                <w:iCs w:val="1"/>
                <w:color w:val="auto"/>
              </w:rPr>
              <w:t>as a percent of revenues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(13.1 %)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EBITDA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21,177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5"/>
        </w:trPr>
        <w:tc>
          <w:tcPr>
            <w:tcW w:w="4680" w:type="dxa"/>
            <w:vAlign w:val="bottom"/>
          </w:tcPr>
          <w:p>
            <w:pPr>
              <w:ind w:left="240"/>
              <w:spacing w:after="0"/>
              <w:rPr>
                <w:sz w:val="20"/>
                <w:szCs w:val="20"/>
                <w:color w:val="auto"/>
              </w:rPr>
            </w:pPr>
            <w:r>
              <w:rPr>
                <w:rFonts w:ascii="Arial" w:cs="Arial" w:eastAsia="Arial" w:hAnsi="Arial"/>
                <w:sz w:val="18"/>
                <w:szCs w:val="18"/>
                <w:i w:val="1"/>
                <w:iCs w:val="1"/>
                <w:color w:val="auto"/>
              </w:rPr>
              <w:t>as a percent of revenues</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(7.8)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59.2 %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40" w:right="340" w:hanging="332"/>
        <w:spacing w:after="0" w:line="256" w:lineRule="auto"/>
        <w:tabs>
          <w:tab w:leader="none" w:pos="357"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Amounts and Other Financial Data are non-GAAP performance measures. A reconciliation of reported amounts to adjusted amounts can be found in the "Non-GAAP Measures and Reconciliations" section of this Management's Discussion and Analysis ("MD&amp;A").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68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Cryptocurrency datacenter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9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components of revenue, expressed as a percentage of total revenue were:</w:t>
      </w:r>
    </w:p>
    <w:p>
      <w:pPr>
        <w:spacing w:after="0" w:line="25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32"/>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Cryptocurrency datacenter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Power and capacity</w:t>
            </w:r>
          </w:p>
        </w:tc>
        <w:tc>
          <w:tcPr>
            <w:tcW w:w="60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3"/>
        </w:trPr>
        <w:tc>
          <w:tcPr>
            <w:tcW w:w="894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Total revenue decreased $ 6.4 million, or 18%, to $29.4 million during the three months ended September 30, 2022 as compared to the prior year period. The decrease in revenue was due to the following:</w:t>
      </w:r>
    </w:p>
    <w:p>
      <w:pPr>
        <w:spacing w:after="0" w:line="90" w:lineRule="exact"/>
        <w:rPr>
          <w:sz w:val="20"/>
          <w:szCs w:val="20"/>
          <w:color w:val="auto"/>
        </w:rPr>
      </w:pPr>
    </w:p>
    <w:p>
      <w:pPr>
        <w:ind w:left="660" w:right="80" w:hanging="328"/>
        <w:spacing w:after="0" w:line="254"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revenue from our cryptocurrency datacenter operations decreased $12.9 million, or 41%, to $18.3 million primarily due to bitcoin prices decreasing by 49% compared to prior year and, to a lesser extent, increased difficulty rates. The price decreases were partially offset by a 19% higher volume of bitcoin mined as a result of our expanded fleet which resulted in a 115% increase in hash rate from the prior year comparative period.</w:t>
      </w:r>
    </w:p>
    <w:p>
      <w:pPr>
        <w:spacing w:after="0" w:line="95" w:lineRule="exact"/>
        <w:rPr>
          <w:rFonts w:ascii="Arial" w:cs="Arial" w:eastAsia="Arial" w:hAnsi="Arial"/>
          <w:sz w:val="18"/>
          <w:szCs w:val="18"/>
          <w:color w:val="auto"/>
        </w:rPr>
      </w:pPr>
    </w:p>
    <w:p>
      <w:pPr>
        <w:ind w:left="660" w:right="400" w:hanging="328"/>
        <w:spacing w:after="0" w:line="261"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Power and capacity revenue increased $0.5 million, or 17%, to $3.6 million due to an increase in selling price per megawatt hour ("MWh") of 58% offset by a decline in MWh capacity sold to the power grid of 26%.</w:t>
      </w:r>
    </w:p>
    <w:p>
      <w:pPr>
        <w:spacing w:after="0" w:line="89" w:lineRule="exact"/>
        <w:rPr>
          <w:rFonts w:ascii="Arial" w:cs="Arial" w:eastAsia="Arial" w:hAnsi="Arial"/>
          <w:sz w:val="18"/>
          <w:szCs w:val="18"/>
          <w:color w:val="auto"/>
        </w:rPr>
      </w:pPr>
    </w:p>
    <w:p>
      <w:pPr>
        <w:ind w:left="660" w:right="420" w:hanging="328"/>
        <w:spacing w:after="0" w:line="256"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Services and other segment included a full three months of operations in 2022 compared to 16 days of operations in 2021 following the acquisition on September 14, 2021. This resulted in an increase in revenue of $6.0 million, or 391%, to $7.5 million during the three months ended September 30, 2022.</w:t>
      </w:r>
    </w:p>
    <w:p>
      <w:pPr>
        <w:spacing w:after="0" w:line="20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Refer to the "Segment Results of Operations - Three Months Ended September 30" of this MD&amp;A for a more detailed discussion of revenues from the Cryptocurrency Datacenter and Power Generation segment and the Support Services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 (exclusive of 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64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Cryptocurrency datacenter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14,675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380" w:type="dxa"/>
            <w:vAlign w:val="bottom"/>
          </w:tcPr>
          <w:p>
            <w:pPr>
              <w:spacing w:after="0"/>
              <w:rPr>
                <w:sz w:val="19"/>
                <w:szCs w:val="19"/>
                <w:color w:val="auto"/>
              </w:rPr>
            </w:pP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3,760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3,660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23"/>
        </w:trPr>
        <w:tc>
          <w:tcPr>
            <w:tcW w:w="4760" w:type="dxa"/>
            <w:vAlign w:val="bottom"/>
          </w:tcPr>
          <w:p>
            <w:pPr>
              <w:ind w:left="24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22,095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9,659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a percentage of total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cost of revenue, exclusive of depreciation and amortization, increased $12.4 million, or 129%, to $22.1 million in the three months ended September 30, 2022 as compared to the prior year period. The following were the main contributors to the increase in cost of revenue:</w:t>
      </w:r>
    </w:p>
    <w:p>
      <w:pPr>
        <w:spacing w:after="0" w:line="144" w:lineRule="exact"/>
        <w:rPr>
          <w:sz w:val="20"/>
          <w:szCs w:val="20"/>
          <w:color w:val="auto"/>
        </w:rPr>
      </w:pPr>
    </w:p>
    <w:p>
      <w:pPr>
        <w:ind w:left="660" w:right="120" w:hanging="328"/>
        <w:spacing w:after="0" w:line="256"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revenue per MWh (exclusive of depreciation and amortization) increased for both cryptocurrency datacenter and power and capacity operations due to a significant increase in the natural gas cost per dekatherm, which increased approximately 104% in the three months ended September 30, 2022 as compared to the same period of 2021.</w:t>
      </w:r>
    </w:p>
    <w:p>
      <w:pPr>
        <w:spacing w:after="0" w:line="93" w:lineRule="exact"/>
        <w:rPr>
          <w:rFonts w:ascii="Arial" w:cs="Arial" w:eastAsia="Arial" w:hAnsi="Arial"/>
          <w:sz w:val="18"/>
          <w:szCs w:val="18"/>
          <w:color w:val="auto"/>
        </w:rPr>
      </w:pPr>
    </w:p>
    <w:p>
      <w:pPr>
        <w:ind w:left="660" w:right="220" w:hanging="328"/>
        <w:spacing w:after="0" w:line="261"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Cryptocurrency datacenter cost of sales increased 146% due to the significant increase in cryptocurrency datacenter fleet requiring an increase in the use of megawatt hours.</w:t>
      </w:r>
    </w:p>
    <w:p>
      <w:pPr>
        <w:spacing w:after="0" w:line="89" w:lineRule="exact"/>
        <w:rPr>
          <w:rFonts w:ascii="Arial" w:cs="Arial" w:eastAsia="Arial" w:hAnsi="Arial"/>
          <w:sz w:val="18"/>
          <w:szCs w:val="18"/>
          <w:color w:val="auto"/>
        </w:rPr>
      </w:pPr>
    </w:p>
    <w:p>
      <w:pPr>
        <w:jc w:val="both"/>
        <w:ind w:left="660" w:right="180" w:hanging="328"/>
        <w:spacing w:after="0" w:line="256"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Services and other cost of revenue increased $2.8 million, or 329%, to $3.7 million for the three months ended September 30, 2022 as compared to the prior year period primarily resulting from inclusion of the full three months of operations of Support.com in 2022 compared to only 16 days of operations included in the comparable period of the prior year.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7" w:name="page28"/>
    <w:bookmarkEnd w:id="27"/>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Total cost of revenue as a percentage of total revenue was significantly higher due to the higher cost of natural gas combined with the lower price of bitcoin in the Cryptocurrency Datacenter and Power Generation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Selling, general and administrative expenses increased $ 4.8 million, or 88%, to $10.2 million for the three months ended September 30, 2022 as compared to the prior year period. The main drivers of the increase in selling, general and administrative expenses were:</w:t>
      </w:r>
    </w:p>
    <w:p>
      <w:pPr>
        <w:spacing w:after="0" w:line="144" w:lineRule="exact"/>
        <w:rPr>
          <w:sz w:val="20"/>
          <w:szCs w:val="20"/>
          <w:color w:val="auto"/>
        </w:rPr>
      </w:pPr>
    </w:p>
    <w:p>
      <w:pPr>
        <w:ind w:left="660" w:hanging="328"/>
        <w:spacing w:after="0" w:line="256"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employee costs increased $1.1 million, or 550%, as a result of increased headcount, including the addition and expansion of executive level positions required to operate as a public company as well as increases in order to match the growth in the operational footprint of the business.</w:t>
      </w:r>
    </w:p>
    <w:p>
      <w:pPr>
        <w:spacing w:after="0" w:line="93" w:lineRule="exact"/>
        <w:rPr>
          <w:rFonts w:ascii="Arial" w:cs="Arial" w:eastAsia="Arial" w:hAnsi="Arial"/>
          <w:sz w:val="18"/>
          <w:szCs w:val="18"/>
          <w:color w:val="auto"/>
        </w:rPr>
      </w:pPr>
    </w:p>
    <w:p>
      <w:pPr>
        <w:ind w:left="660" w:right="340" w:hanging="328"/>
        <w:spacing w:after="0" w:line="256"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legal and professional fees of $1.7 million, or 636%, due to increased legal and regulatory costs associated with permit renewals and environmental matters at the New York plant, legal and consulting costs associated with potential expansion opportunities and other accounting and consulting fees associated with being a public company .</w:t>
      </w:r>
    </w:p>
    <w:p>
      <w:pPr>
        <w:spacing w:after="0" w:line="93" w:lineRule="exact"/>
        <w:rPr>
          <w:rFonts w:ascii="Arial" w:cs="Arial" w:eastAsia="Arial" w:hAnsi="Arial"/>
          <w:sz w:val="18"/>
          <w:szCs w:val="18"/>
          <w:color w:val="auto"/>
        </w:rPr>
      </w:pPr>
    </w:p>
    <w:p>
      <w:pPr>
        <w:ind w:left="660" w:right="460" w:hanging="328"/>
        <w:spacing w:after="0" w:line="256"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Support Services segment added $2.2 million to Selling, general and administrative expenses for the three months ended September 30, 2022 due to inclusion of the full three months of operations of Support.com in 2022 compared to only 16 days of operations included in the comparable period of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Merger and other costs</w:t>
      </w:r>
    </w:p>
    <w:p>
      <w:pPr>
        <w:spacing w:after="0" w:line="24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Merger and other costs included professional and other fees associated with the merger transaction and becoming a public company. These costs decreased $29.6 million, or 99%, to $0.2 million, as these were primarily non-recurring transaction costs in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 and amortization</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Depreciation and amortization increased $11.2 million, or 419%, to $13.8 million for the three months ended September 30, 2022 as compared to the prior year period primarily due to the purchase and deployment of additional miners and associated infrastructure, as well as a change in depreciable lives effective July 1, 2022, resulting in higher depreciation expense. Additionally, the Merger increased depreciation and amortization by $0.3 million for the three months ended September 30, 2022 as compared to the prior year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(loss) from operations</w:t>
      </w:r>
    </w:p>
    <w:p>
      <w:pPr>
        <w:spacing w:after="0" w:line="2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Loss from operations increased $5.2 million, or 44%, to $17.1 million for the three months ended September 30, 2022 as compared to the three months ended September 30, 2021. The increase is primarily related to lower cryptocurrency datacenter revenue as a result of lower bitcoin prices, increases to input costs for the Cryptocurrency and datacenter and Power and capacity segments as a result of higher natural gas costs, higher depreciation due to the expansion of the datacenter operations and higher selling, general and administrative costs.</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Adjusted loss from operations was $16.6 million for the three months ended September 30, 2022 as compared to adjusted income from operations of $18.1 million in the three months ended September 30, 2021. The adjusted loss from operations was driven by the same factors described above impacting loss from operations. A reconciliation of reported amounts to adjusted amounts can be found in the "Non-GAAP Measures and Reconciliations" section of this MD&amp;A.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expense, net</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three months ended September 30, 2022, Greenidge incurred an increase of $5.0 million of other expense, primarily due to increased interest expense associated with the incurrence of debt to finance the expansion of the mining fleet and, to a lesser extent, a loss on sale of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u w:val="single" w:color="auto"/>
          <w:color w:val="auto"/>
        </w:rPr>
        <w:t>Provision (benefit) for income taxes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recognized an income tax provision of $0.1 million, or an effective tax rate of (0.3)% during the three months ended September 30, 2022 and a benefit for income taxes of $ (5.0) million, or an effective tax rate of 38.7%, during the three months ended September 30, 2021. The effective tax rate for the three months ended September 30, 2022 was impacted by pretax losses with no associated income tax benefit as a result of a valuation allowance on net operating loss carryforwards. The effective income tax rates for the three months ended September 30, 2021 benefited from a higher tax base for the deductibility of the equity-based success fees associated with the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(loss) income</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a result of the factors described above, Greenidge incurred a net loss of $23.2 million for the three months ended September 30, 2022 as compared to a net loss of $7.9 million for the three months ended September 30, 2021.</w:t>
      </w:r>
    </w:p>
    <w:p>
      <w:pPr>
        <w:spacing w:after="0" w:line="19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an adjusted basis, excluding the impact of merger and other costs and expansions costs, adjusted net (loss) income during the three months ended September 30, 2022 would have been $ (22.0) million as compared to $12.2 million in the same period in 2021. Adjusted net (loss) income is a non-GAAP performance measure. A reconciliation of reported amounts to adjusted amounts can be found in the "Non-GAAP Measures and Reconciliations" section of this MD&amp;A.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 - Three Months Ended September 30</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summary of Segment revenue and Segment Adjusted EBITDA provides a basis for the discussion that follows. Greenidge evaluates the performance of its reportable segments based on Adjusted EBITDA, which excludes items not indicative of ongoing business trends. The reported amounts in the table below are from the Condensed Consolidated Statements of Operations and Comprehensive (Loss)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Cryptocurrency Datacenter and Power Generation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34,233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Support Services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29,359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35,754</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ADJUSTED EBITDA</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Cryptocurrency Datacenter and Power Generation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Support Services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577 %</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Adjusted 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Reconciliation to loss before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Merger and other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(29,847)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Expansion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Consolidated loss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9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Cryptocurrency Datacenter and Power Generation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associated with the Cryptocurrency Datacenter and Power Generation segment.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7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Variance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 in thousands, except $ per MWh and average bitcoin price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datacenter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Power and capacity</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7"/>
              </w:rPr>
              <w:t>MWh</w:t>
            </w:r>
          </w:p>
        </w:tc>
        <w:tc>
          <w:tcPr>
            <w:tcW w:w="444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Cryptocurrency datacenter</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158,040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70,929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Power and capacity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 per MWh</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Cryptocurrency datacenter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Power and capacity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Cost of revenue (exclusive of depreciation and</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Cryptocurrency datacenter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14,675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Power and capacity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Cost of revenue per MWh (exclusive of depreciation and</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Cryptocurrency datacenter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color w:val="auto"/>
              </w:rPr>
              <w:t>Power and capacity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Cryptocurrency Datacenter Metrics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Bitcoins produced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Average bitcoin price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21,269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41,937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hash rate (EH/s)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Average difficulty</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datacenter</w:t>
      </w: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our cryptocurrency datacenter revenue, we generate electricity on-site from our power plant located at the New York Facility and use that electricity to power ASIC miners, generating bitcoin that we then exchange for U.S. dollars. Our cryptocurrency datacenter revenue decreased by $12.9 million, or 41%, during the three months ended September 30, 2022 as compared to the prior year period. The decrease was primarily attributable to the 49% decline in average bitcoin price as compared to the prior year. This decrease was partially offset by an increase in hash rate from our increased mining fleet resulting in a 115% increase in the average hash rate during three months ended September 30, 2022. The increased average hash rate, partially offset by a higher average mining difficulty, led to us producing 866 bitcoins in the third quarter of 2022 as compared to 729 bitcoins in the third quarter of 2021. The increased number of bitcoins produced was more than offset by the 49% lower average bitcoin price in 2022, resulted in the decline in cryptocurrency datacenter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Power and capacity</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Power and capacity revenue at our New York Facility is earned when we sell capacity and energy and ancillary services to the wholesale power grid managed by the NYISO. Through these sales, we earn revenue in three streams: (1) power revenue received based on the hourly price of power, (2) capacity revenue for committing to sell power to the NYISO when dispatched and (3) other ancillary service revenue received as compensation for the provision of operating reserves. Our power and capacity revenue increased $ 0.5 million, or 17%, to $3.6 million during the third quarter of 2022 as compared to the prior year as result of an increase in selling price per MwH of 58% compared to the same period in the prior year, offset by a 26% decline in MWhs provided to the power grid as compared to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Adjusted EBITDA (loss)</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Segment Adjusted EBITDA (loss) for the Cryptocurrency Datacenter and Power Generation segment decreased to $(3.7) million for the third quarter 2022 from $21.0 million in the third quarter of 2021. The variance was driven by the decline in the price of bitcoin and increase in natural gas input costs, partially offset by the increased bitcoin mining hash rate.</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Cryptocurrency datacenter revenue per MWh and power and capacity revenue per MWh are used by management to consider the extent to which it will generate electricity to either produce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costs are excluded from the cost of revenue (exclusive of depreciation and amortization) per MWh metric; therefore, not all cost of revenues for cryptocurrency datacenter and power and capacity are fully reflected. To the extent any other cryptocurrency datacenters are public or may go public, the cost of revenue (exclusive of depreciation and amortization) per MWh metric may not be comparable because some competitors may include depreciation in their cost of revenue figures.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Services Segment</w:t>
      </w:r>
    </w:p>
    <w:p>
      <w:pPr>
        <w:spacing w:after="0" w:line="24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Greenidge acquired Support.com, which constitutes the Support Services segment as of close of business on September 14, 2021. As such, there were only 16 days of operations included in our consolidated results in the third quarter of 2021. Support Services had revenue of $7.5 million and Segment Adjusted EBITDA of $1.4 million in the three months ended September 30, 2022.</w:t>
      </w:r>
    </w:p>
    <w:p>
      <w:pPr>
        <w:spacing w:after="0" w:line="20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contract associated with the Support Services segment's largest customer, which accounted for approximately 19% of the Company's consolidated revenue during the three months ended September 30, 2022, expires on December 31, 2022 and has not been renewed beyond that date. This customer also accounted for 73% of Support Service's segment revenue for the three months ended September 30, 2022. During the fourth quarter of 2022, the Company will review the goodwill and other intangible assets totaling $5.9 million as of September 30, 2022 for impairment in light of this contract not being renewed beyond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Results of Operations - Nine Months Ended September 30</w:t>
      </w:r>
    </w:p>
    <w:p>
      <w:pPr>
        <w:spacing w:after="0" w:line="24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sets forth key components of the results of operations of Greenidge during the nine months ended September 30, 2022 and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98,353</w:t>
            </w:r>
          </w:p>
        </w:tc>
        <w:tc>
          <w:tcPr>
            <w:tcW w:w="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680" w:type="dxa"/>
            <w:vAlign w:val="bottom"/>
          </w:tcPr>
          <w:p>
            <w:pPr>
              <w:ind w:left="20"/>
              <w:spacing w:after="0" w:line="189" w:lineRule="exact"/>
              <w:rPr>
                <w:sz w:val="20"/>
                <w:szCs w:val="20"/>
                <w:color w:val="auto"/>
              </w:rPr>
            </w:pPr>
            <w:r>
              <w:rPr>
                <w:rFonts w:ascii="Arial" w:cs="Arial" w:eastAsia="Arial" w:hAnsi="Arial"/>
                <w:sz w:val="18"/>
                <w:szCs w:val="18"/>
                <w:color w:val="auto"/>
              </w:rPr>
              <w:t>Cost of revenue (exclusive of depreciation and</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amortization shown below)</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57,054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19,046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Merger and other costs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31,095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5,531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(100,650)</w:t>
            </w: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(95,954)</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(1040)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 related party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(Loss) gain on sale of digital assets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sale of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(15,638)</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(1138 %)</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(116,288)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(1851)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(131,488)</w:t>
            </w: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(128,389)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(4143 %)</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Adjusted Amounts (a)</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Adjusted (loss) income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(14,726)</w:t>
            </w: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26,527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(41,253)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Adjusted 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(30,378)</w:t>
            </w: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17,868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(48,246)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Financial Data (a)</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EBITDA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(77,915)</w:t>
            </w: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(78,886)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as a percent of revenues</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(79.2 %)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Adjusted EBITDA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9,168</w:t>
            </w: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33,668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as a percent of revenues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340" w:right="180" w:hanging="332"/>
        <w:spacing w:after="0" w:line="245" w:lineRule="auto"/>
        <w:tabs>
          <w:tab w:leader="none" w:pos="357" w:val="left"/>
        </w:tabs>
        <w:numPr>
          <w:ilvl w:val="0"/>
          <w:numId w:val="11"/>
        </w:numPr>
        <w:rPr>
          <w:rFonts w:ascii="Arial" w:cs="Arial" w:eastAsia="Arial" w:hAnsi="Arial"/>
          <w:sz w:val="18"/>
          <w:szCs w:val="18"/>
          <w:color w:val="auto"/>
        </w:rPr>
      </w:pPr>
      <w:r>
        <w:rPr>
          <w:rFonts w:ascii="Arial" w:cs="Arial" w:eastAsia="Arial" w:hAnsi="Arial"/>
          <w:sz w:val="17"/>
          <w:szCs w:val="17"/>
          <w:color w:val="auto"/>
        </w:rPr>
        <w:t>Adjusted Amounts and Other Financial Data are non-GAAP performance measures. A reconciliation of reported amounts to adjusted amounts can be found in the "Non-GAAP Measures and Reconciliations" section of this MD&amp;A.</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17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Cryptocurrency datacenter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61,571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340" w:type="dxa"/>
            <w:vAlign w:val="bottom"/>
          </w:tcPr>
          <w:p>
            <w:pPr>
              <w:spacing w:after="0"/>
              <w:rPr>
                <w:sz w:val="19"/>
                <w:szCs w:val="19"/>
                <w:color w:val="auto"/>
              </w:rPr>
            </w:pPr>
          </w:p>
        </w:tc>
        <w:tc>
          <w:tcPr>
            <w:tcW w:w="1140" w:type="dxa"/>
            <w:vAlign w:val="bottom"/>
          </w:tcPr>
          <w:p>
            <w:pPr>
              <w:ind w:left="500"/>
              <w:spacing w:after="0"/>
              <w:rPr>
                <w:sz w:val="20"/>
                <w:szCs w:val="20"/>
                <w:color w:val="auto"/>
              </w:rPr>
            </w:pPr>
            <w:r>
              <w:rPr>
                <w:rFonts w:ascii="Arial" w:cs="Arial" w:eastAsia="Arial" w:hAnsi="Arial"/>
                <w:sz w:val="18"/>
                <w:szCs w:val="18"/>
                <w:color w:val="auto"/>
              </w:rPr>
              <w:t>12,395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24,387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1503 %</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98,353</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revenue, expressed as a percentage of total revenue were:</w:t>
      </w:r>
    </w:p>
    <w:p>
      <w:pPr>
        <w:spacing w:after="0" w:line="24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Nine Months Ended</w:t>
      </w:r>
    </w:p>
    <w:p>
      <w:pPr>
        <w:jc w:val="center"/>
        <w:ind w:left="7920"/>
        <w:spacing w:after="0"/>
        <w:rPr>
          <w:sz w:val="20"/>
          <w:szCs w:val="20"/>
          <w:color w:val="auto"/>
        </w:rPr>
      </w:pPr>
      <w:r>
        <w:rPr>
          <w:rFonts w:ascii="Arial" w:cs="Arial" w:eastAsia="Arial" w:hAnsi="Arial"/>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2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Cryptocurrency datacenter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29"/>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Power and capacity</w:t>
            </w: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894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7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Total revenue increased $ 35.4 million, or 56%, to $98.4 million during the nine months ended September 30, 2022 as compared to the prior year period. The increase in revenue was due to the following:</w:t>
      </w:r>
    </w:p>
    <w:p>
      <w:pPr>
        <w:spacing w:after="0" w:line="90" w:lineRule="exact"/>
        <w:rPr>
          <w:sz w:val="20"/>
          <w:szCs w:val="20"/>
          <w:color w:val="auto"/>
        </w:rPr>
      </w:pPr>
    </w:p>
    <w:p>
      <w:pPr>
        <w:ind w:left="660" w:right="120" w:hanging="328"/>
        <w:spacing w:after="0" w:line="254"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revenue from our cryptocurrency datacenter operations increased $7.4 million, or 14%, to $61.6 million primarily due to higher mining capacity resulting in an increase of in total bitcoin mined of 63% and a hash rate increase of 166% . This increase was offset by lower average bitcoin prices, with prices decreasing by 29% compared to prior year and, to a lesser extent, increased difficulty rates.</w:t>
      </w:r>
    </w:p>
    <w:p>
      <w:pPr>
        <w:spacing w:after="0" w:line="95" w:lineRule="exact"/>
        <w:rPr>
          <w:rFonts w:ascii="Arial" w:cs="Arial" w:eastAsia="Arial" w:hAnsi="Arial"/>
          <w:sz w:val="18"/>
          <w:szCs w:val="18"/>
          <w:color w:val="auto"/>
        </w:rPr>
      </w:pPr>
    </w:p>
    <w:p>
      <w:pPr>
        <w:ind w:left="660" w:right="460" w:hanging="328"/>
        <w:spacing w:after="0" w:line="261"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and capacity revenue increased $5.1 million, or 71%, to $12.4 million due to an increase in selling price per MWh of 89% offset by a 10% decline in MWh capacity sold to the power grid.</w:t>
      </w:r>
    </w:p>
    <w:p>
      <w:pPr>
        <w:spacing w:after="0" w:line="89" w:lineRule="exact"/>
        <w:rPr>
          <w:rFonts w:ascii="Arial" w:cs="Arial" w:eastAsia="Arial" w:hAnsi="Arial"/>
          <w:sz w:val="18"/>
          <w:szCs w:val="18"/>
          <w:color w:val="auto"/>
        </w:rPr>
      </w:pPr>
    </w:p>
    <w:p>
      <w:pPr>
        <w:ind w:left="660" w:right="120" w:hanging="328"/>
        <w:spacing w:after="0" w:line="256"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Services and other segment included a full nine months of operations in 2022 compared to 16 days of operations in 2021 following the acquisition on September 14, 2021. This resulted in an increase in revenue of $22.9 million, or 1503%, to $24.4 million during the nine months ended September 30, 2022.</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Refer to the "Segment Results of Operations - Nine Months Ended September 30" of this MD&amp;A for a more detailed discussion of revenues from the Cryptocurrency Datacenter and Power Generation segment and the Support Services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 (exclusive of depreciation and amortization)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5E6F7"/>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Cryptocurrency datacenter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34,795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11,504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23,291</w:t>
            </w:r>
          </w:p>
        </w:tc>
        <w:tc>
          <w:tcPr>
            <w:tcW w:w="100" w:type="dxa"/>
            <w:vAlign w:val="bottom"/>
            <w:shd w:val="clear" w:color="auto" w:fill="D5E6F7"/>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380" w:type="dxa"/>
            <w:vAlign w:val="bottom"/>
          </w:tcPr>
          <w:p>
            <w:pPr>
              <w:spacing w:after="0"/>
              <w:rPr>
                <w:sz w:val="19"/>
                <w:szCs w:val="19"/>
                <w:color w:val="auto"/>
              </w:rPr>
            </w:pP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10,955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6,688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11,304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shd w:val="clear" w:color="auto" w:fill="D5E6F7"/>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57,054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19,046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E6F7"/>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a percentage of total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D5E6F7"/>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Total cost of revenue, exclusive of depreciation and amortization, increased $38.0 million, or 200%, to $57.1 million in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as compared to the prior year period. The following were the main contributors to the increase in cost of revenue: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ind w:left="660" w:right="100" w:hanging="328"/>
        <w:spacing w:after="0" w:line="256"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revenue per MWh (exclusive of depreciation and amortization) increased for both cryptocurrency datacenter and power and capacity operations due to a significant increase in the natural gas cost per dekatherm, which increased approximately 121% in the nine months ended September 30, 2022 as compared to the same period of 2021.</w:t>
      </w:r>
    </w:p>
    <w:p>
      <w:pPr>
        <w:spacing w:after="0" w:line="93" w:lineRule="exact"/>
        <w:rPr>
          <w:rFonts w:ascii="Arial" w:cs="Arial" w:eastAsia="Arial" w:hAnsi="Arial"/>
          <w:sz w:val="18"/>
          <w:szCs w:val="18"/>
          <w:color w:val="auto"/>
        </w:rPr>
      </w:pPr>
    </w:p>
    <w:p>
      <w:pPr>
        <w:ind w:left="660" w:right="380" w:hanging="328"/>
        <w:spacing w:after="0" w:line="26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Cryptocurrency datacenter cost of sales also increased as a result of a 91% increase in overall MWh usage due to the increased mining fleet, including the South Carolina expansion which began in Q4 2021.</w:t>
      </w:r>
    </w:p>
    <w:p>
      <w:pPr>
        <w:spacing w:after="0" w:line="89" w:lineRule="exact"/>
        <w:rPr>
          <w:rFonts w:ascii="Arial" w:cs="Arial" w:eastAsia="Arial" w:hAnsi="Arial"/>
          <w:sz w:val="18"/>
          <w:szCs w:val="18"/>
          <w:color w:val="auto"/>
        </w:rPr>
      </w:pPr>
    </w:p>
    <w:p>
      <w:pPr>
        <w:ind w:left="660" w:right="240" w:hanging="328"/>
        <w:spacing w:after="0" w:line="256"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Services and other cost of revenue increased $10.5 million, or 1224%, to $11.3 million for the nine months ended September 30, 2022 as compared to the prior year period primarily resulting from inclusion of the full nine months of operations of Support.com in 2022 compared to only 16 days of operations included in the comparable period of the prior year.</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Total cost of revenue as a percentage of total revenue increased primarily due to the impact of the higher cost of natural gas combined with the lower price of bitcoin on the Cryptocurrency Datacenter and Power Generation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expenses</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Selling, general and administrative expenses increased $23.7 million, or 197%, to $35.7 million for the nine months ended September 30, 2022 as compared to the prior year period. The main drivers of the increase in selling, general and administrative expenses were:</w:t>
      </w:r>
    </w:p>
    <w:p>
      <w:pPr>
        <w:spacing w:after="0" w:line="144" w:lineRule="exact"/>
        <w:rPr>
          <w:sz w:val="20"/>
          <w:szCs w:val="20"/>
          <w:color w:val="auto"/>
        </w:rPr>
      </w:pPr>
    </w:p>
    <w:p>
      <w:pPr>
        <w:ind w:left="660" w:right="160" w:hanging="328"/>
        <w:spacing w:after="0" w:line="256"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employee-related costs increased $4.9 million, or 258%, as a result of increased headcount, including the addition and expansion of executive level positions required to operate as a public company as well as increases in order to match the growth in the operational footprint of the business.</w:t>
      </w:r>
    </w:p>
    <w:p>
      <w:pPr>
        <w:spacing w:after="0" w:line="93" w:lineRule="exact"/>
        <w:rPr>
          <w:rFonts w:ascii="Arial" w:cs="Arial" w:eastAsia="Arial" w:hAnsi="Arial"/>
          <w:sz w:val="18"/>
          <w:szCs w:val="18"/>
          <w:color w:val="auto"/>
        </w:rPr>
      </w:pPr>
    </w:p>
    <w:p>
      <w:pPr>
        <w:ind w:left="660" w:right="320" w:hanging="328"/>
        <w:spacing w:after="0" w:line="256"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legal and professional fees of $7.6 million, or 436%, due to increased legal and regulatory costs associated with permit renewals and environmental matters at the New York plant, legal and consulting costs associated with potential expansion opportunities and other accounting and consulting fees associated with being a public company.</w:t>
      </w:r>
    </w:p>
    <w:p>
      <w:pPr>
        <w:spacing w:after="0" w:line="93" w:lineRule="exact"/>
        <w:rPr>
          <w:rFonts w:ascii="Arial" w:cs="Arial" w:eastAsia="Arial" w:hAnsi="Arial"/>
          <w:sz w:val="18"/>
          <w:szCs w:val="18"/>
          <w:color w:val="auto"/>
        </w:rPr>
      </w:pPr>
    </w:p>
    <w:p>
      <w:pPr>
        <w:ind w:left="660" w:hanging="328"/>
        <w:spacing w:after="0" w:line="256"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Insurance costs of $3.6 million, or 325%, due to increased premiums for new policies entered into at the time of the merger as well as increased premiums on property insurance as a result of 2022 capital expenditures and the addition of the South Carolina facility in Q4 2021, increasing the asset base.</w:t>
      </w:r>
    </w:p>
    <w:p>
      <w:pPr>
        <w:spacing w:after="0" w:line="93" w:lineRule="exact"/>
        <w:rPr>
          <w:rFonts w:ascii="Arial" w:cs="Arial" w:eastAsia="Arial" w:hAnsi="Arial"/>
          <w:sz w:val="18"/>
          <w:szCs w:val="18"/>
          <w:color w:val="auto"/>
        </w:rPr>
      </w:pPr>
    </w:p>
    <w:p>
      <w:pPr>
        <w:ind w:left="660" w:right="520" w:hanging="328"/>
        <w:spacing w:after="0" w:line="256"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Support Services segment added $7.6 million to Selling, general and administrative expenses for the nine months ended September 30, 2022 due to inclusion of the full nine months of operations of Support.com in 2022 compared to only 16 days of operations included in the comparable period of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Merger and other costs</w:t>
      </w:r>
    </w:p>
    <w:p>
      <w:pPr>
        <w:spacing w:after="0" w:line="247"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Merger and other costs decreased $30.2 million, or 97%, to $0.9 million resulting from costs associated with the Merger, as well as professional and other fees associated with becoming a publicly traded company during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 and amortization</w:t>
      </w:r>
    </w:p>
    <w:p>
      <w:pPr>
        <w:spacing w:after="0" w:line="247"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Depreciation and amortization increased $17.1 million, or 310%, to $22.7 million for the nine months ended September 30, 2022 as compared to the prior year period primarily due to the purchase and deployment of additional miners. Additionally, the Merger contributed $1.0 million of depreciation and amortization for the nine months ended September 30, 2022 as compared to the prior year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long-lived assets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result of the significant reduction in the price of bitcoin and increased energy prices during the nine months ended September 30, 2022, the Company recognized a nonrecurring, noncash impairment of $71.5 million for the assets associated with the Cryptocurrency Datacenter and Power Generation segment to reduce the net book value of the long-lived assets to fair value. Fair value was determined utilizing the market approach. The excess of the book value over the fair value was allocated to the long-lived assets of the Cryptocurrency and Power Generation segment.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4" w:name="page35"/>
    <w:bookmarkEnd w:id="34"/>
    <w:p>
      <w:pPr>
        <w:spacing w:after="0" w:line="261" w:lineRule="auto"/>
        <w:rPr>
          <w:sz w:val="20"/>
          <w:szCs w:val="20"/>
          <w:color w:val="auto"/>
        </w:rPr>
      </w:pPr>
      <w:r>
        <w:rPr>
          <w:rFonts w:ascii="Arial" w:cs="Arial" w:eastAsia="Arial" w:hAnsi="Arial"/>
          <w:sz w:val="18"/>
          <w:szCs w:val="18"/>
          <w:color w:val="auto"/>
        </w:rPr>
        <w:t>As a result of the impairment assessment, the Company has reevaluated the useful lives of the long-lived assets and adjusted the lives of the miners from 5 to 3 years and the lives of plant infrastructure from 15 - 39 years to 10 years effective July 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Remeasurement of environmental liabilities</w:t>
      </w:r>
    </w:p>
    <w:p>
      <w:pPr>
        <w:spacing w:after="0" w:line="24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the nine months ended September 30, 2022, the Company recognized a charge of $11.1 million for the remeasurement of an environmental liability as a result of an update in the cost estimates associated to CCR liabilities associated with the Company's New York Facility as part of our continuing evaluation of the 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(loss) from operations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Greenidge reported loss from operations of $100.7 million for the nine months ended September 30, 2022 as compared to a loss from operations of $4.7 million for the nine months ended September 30, 2021. The increase in loss from operations during the nine months ended September 30, 2022, was driven by the nonrecurring, noncash charge of $ 71.5 million for the impairment of long-lived assets and the $11.1 million expense for the remeasurement of an environmental liability, as well as higher depreciation and amortization.</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Adjusted loss from operations was $14.7 million for the nine months ended September 30, 2022, compared to adjusted income from operations of $ 26.5 million for the nine months ended September 30, 2021. The $41.3 million unfavorable variance is primarily attributable to higher costs of revenues relative to revenue due to the increased cost of natural gas combined with the decline in the price of bitcoin. Additionally, adjusted income (loss) from operations declined due to higher depreciation and amortization. These negative impacts on Adjusted income (loss) from operations were partially offset by the increased bitcoin mining hash rate. Adjusted income from operations is a non-GAAP performance measure. A reconciliation of reported amounts to adjusted amounts can be found in the "Non-GAAP Measures and Reconciliations" section of this MD&amp;A.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expense, net</w:t>
      </w:r>
    </w:p>
    <w:p>
      <w:pPr>
        <w:spacing w:after="0" w:line="24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During the nine months ended September 30, 2022 as compared to the prior period, Other expense, net increased $14.4 million primarily due to increased interest expense associated with the incurrence of debt to finance the expansion of the mining fleet.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Provision (benefit) for income taxes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recognized an income tax provision of $15.2 million, or an effective tax rate of (13.1)%, during the nine months ended September 30, 2022 and a benefit for income taxes of $2.9 million, or an effective tax rate of 48.0%, during the nine months ended September 30, 2021 due to the recording of a $15.0 million charge for a valuation allowance during the nine months ended September 30, 2022 for the deferred tax assets. This was primarily related to historical net operating loss carryforwards of the Support.com business that was acquired in 2021, reduced profitability caused by the declines in the price of bitcoin and increased power costs. The effective tax rates for the nine months ended September 30, 2021 include the recognition of a deferred tax liability caused by the reorganization from an LLC to a corporation during the three months ended March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(loss) income</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a result of the factors described above, Greenidge incurred a net loss of $131.5 million for the nine months ended September 30, 2022 as compared to a net loss of $3.1 million for the nine months ended September 30, 2021.</w:t>
      </w:r>
    </w:p>
    <w:p>
      <w:pPr>
        <w:spacing w:after="0" w:line="19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On an adjusted basis, excluding the after-tax impact of the impairment of long-lived assets, the remeasurement of environmental liabilities, merger and other costs, expansions costs and the tax charge for the recognition of a valuation allowance on deferred tax assets, adjusted net (loss) income during the nine months ended September 30, 2022 would have been $30.4 million as compared to $17.9 million in the same period in 2021. Adjusted net (loss) income is a non-GAAP performance measure. A reconciliation of reported amounts to adjusted amounts can be found in the "Non-GAAP Measures and Reconciliations" section of this MD&amp;A.</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Segment Results of Operations - Nine Months Ended September 30</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summary of Segment revenue and Segment Adjusted EBITDA provides a basis for the discussion that follows. Greenidge evaluates the performance of its reportable segments based on Adjusted EBITDA, which excludes items not indicative of ongoing business trends. The reported amounts in the table below are from the Condensed Consolidated Statements of Operations and Comprehensive (Loss)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Variance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Cryptocurrency Datacenter and Power Generation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73,966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61,472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Support Services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98,353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62,993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35,360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ADJUSTED EBITDA</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Cryptocurrency Datacenter and Power Generation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Support Services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Adjusted 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Reconciliation to loss before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Merger and other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Expansion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environmental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Consolidated loss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5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Cryptocurrency Datacenter and Power Generation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associated with the Cryptocurrency Datacenter and Power Generation segment.</w:t>
      </w:r>
    </w:p>
    <w:p>
      <w:pPr>
        <w:sectPr>
          <w:pgSz w:w="11900" w:h="16838" w:orient="portrait"/>
          <w:cols w:equalWidth="0" w:num="1">
            <w:col w:w="11240"/>
          </w:cols>
          <w:pgMar w:left="320" w:top="1143" w:right="3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304" w:lineRule="exact"/>
        <w:rPr>
          <w:sz w:val="20"/>
          <w:szCs w:val="20"/>
          <w:color w:val="auto"/>
        </w:rPr>
      </w:pPr>
    </w:p>
    <w:p>
      <w:pPr>
        <w:ind w:left="20" w:right="1440" w:firstLine="6"/>
        <w:spacing w:after="0" w:line="227" w:lineRule="auto"/>
        <w:tabs>
          <w:tab w:leader="none" w:pos="1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thousands, except $ per MWh and average bitcoin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c>
          <w:tcPr>
            <w:tcW w:w="2160" w:type="dxa"/>
            <w:vAlign w:val="bottom"/>
            <w:vMerge w:val="restart"/>
          </w:tcPr>
          <w:p>
            <w:pPr>
              <w:jc w:val="right"/>
              <w:ind w:right="124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21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16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200" w:space="720"/>
            <w:col w:w="632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0" w:type="dxa"/>
            <w:vAlign w:val="bottom"/>
            <w:tcBorders>
              <w:top w:val="single" w:sz="8" w:color="CCEEFF"/>
            </w:tcBorders>
            <w:shd w:val="clear" w:color="auto" w:fill="CCEEFF"/>
          </w:tcPr>
          <w:p>
            <w:pPr>
              <w:spacing w:after="0"/>
              <w:rPr>
                <w:sz w:val="20"/>
                <w:szCs w:val="20"/>
                <w:color w:val="auto"/>
              </w:rPr>
            </w:pPr>
          </w:p>
        </w:tc>
        <w:tc>
          <w:tcPr>
            <w:tcW w:w="4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Cryptocurrency datacenter</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61,571</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54,217</w:t>
            </w: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Power and capacity</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7"/>
              </w:rPr>
              <w:t>MWh</w:t>
            </w:r>
          </w:p>
        </w:tc>
        <w:tc>
          <w:tcPr>
            <w:tcW w:w="4460" w:type="dxa"/>
            <w:vAlign w:val="bottom"/>
            <w:tcBorders>
              <w:bottom w:val="single" w:sz="8" w:color="CCEEFF"/>
            </w:tcBorders>
            <w:gridSpan w:val="2"/>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Cryptocurrency datacenter</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380,432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199,200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181,232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Power and capacity</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 per MWh</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Cryptocurrency datacenter</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20" w:type="dxa"/>
            <w:vAlign w:val="bottom"/>
          </w:tcPr>
          <w:p>
            <w:pPr>
              <w:spacing w:after="0"/>
              <w:rPr>
                <w:sz w:val="19"/>
                <w:szCs w:val="19"/>
                <w:color w:val="auto"/>
              </w:rPr>
            </w:pP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Power and capacity</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20" w:type="dxa"/>
            <w:vAlign w:val="bottom"/>
            <w:shd w:val="clear" w:color="auto" w:fill="CCEEFF"/>
          </w:tcPr>
          <w:p>
            <w:pPr>
              <w:spacing w:after="0"/>
              <w:rPr>
                <w:sz w:val="15"/>
                <w:szCs w:val="15"/>
                <w:color w:val="auto"/>
              </w:rPr>
            </w:pPr>
          </w:p>
        </w:tc>
        <w:tc>
          <w:tcPr>
            <w:tcW w:w="4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Cost of revenue (exclusive of depreciation and</w:t>
            </w: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Cryptocurrency datacenter</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34,795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11,504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Power and capacity</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20" w:type="dxa"/>
            <w:vAlign w:val="bottom"/>
          </w:tcPr>
          <w:p>
            <w:pPr>
              <w:spacing w:after="0"/>
              <w:rPr>
                <w:sz w:val="15"/>
                <w:szCs w:val="15"/>
                <w:color w:val="auto"/>
              </w:rPr>
            </w:pPr>
          </w:p>
        </w:tc>
        <w:tc>
          <w:tcPr>
            <w:tcW w:w="49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Cost of revenue per MWh (exclusive of depreciation</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and amortization)</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2"/>
        </w:trPr>
        <w:tc>
          <w:tcPr>
            <w:tcW w:w="20" w:type="dxa"/>
            <w:vAlign w:val="bottom"/>
            <w:shd w:val="clear" w:color="auto" w:fill="CCEEFF"/>
          </w:tcPr>
          <w:p>
            <w:pPr>
              <w:spacing w:after="0"/>
              <w:rPr>
                <w:sz w:val="20"/>
                <w:szCs w:val="20"/>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Cryptocurrency datacenter</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Power and capacity</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9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Cryptocurrency Datacenter Metrics</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Bitcoins produced</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Average bitcoin price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31,666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44,614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(12,948)</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hash rate (EH/s)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Average difficulty</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datacenter</w:t>
      </w:r>
    </w:p>
    <w:p>
      <w:pPr>
        <w:spacing w:after="0" w:line="24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its cryptocurrency datacenter revenue, we generate electricity on-site from our power plant located at the New York Facility and use that electricity to power ASIC miners, generating bitcoin that we then exchange for U.S. dollars or hold in our wallet. Our cryptocurrency datacenter revenue increased by $7.4 million, or 14%, during the nine months ended September 30, 2022 as compared to the prior period. The increase was attributable to our increased mining fleet resulting in a 166% increase in the average hash rate during the nine months ended September 30, 2022. The increased average hash rate, partially offset by a higher average mining difficulty, led to us producing 2,048 bitcoins in the first nine months of 2022 as compared to 1,257 bitcoins in the first nine months of 2021. Revenue increases as a result of increased mining volume were offset by the 29% lower average bitcoin price in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w:t>
      </w:r>
    </w:p>
    <w:p>
      <w:pPr>
        <w:spacing w:after="0" w:line="2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Power and capacity revenue at our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committing to sell power to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7" w:name="page38"/>
    <w:bookmarkEnd w:id="37"/>
    <w:p>
      <w:pPr>
        <w:ind w:right="20"/>
        <w:spacing w:after="0" w:line="252" w:lineRule="auto"/>
        <w:rPr>
          <w:sz w:val="20"/>
          <w:szCs w:val="20"/>
          <w:color w:val="auto"/>
        </w:rPr>
      </w:pPr>
      <w:r>
        <w:rPr>
          <w:rFonts w:ascii="Arial" w:cs="Arial" w:eastAsia="Arial" w:hAnsi="Arial"/>
          <w:sz w:val="18"/>
          <w:szCs w:val="18"/>
          <w:color w:val="auto"/>
        </w:rPr>
        <w:t>NYISO when dispatched and (3) other ancillary service revenue received as compensation for the provision of operating reserves. Our power and capacity revenue increased $5.1 million, or 71%, to $12.4 million during the first nine months of 2022. This was a result of 89% higher price per MWh sold to the power grid in 2022, as compared to the prior period, partially offset by a 10% decline in volume as more MWh were utilized by the Cryptocurrency datacenter. Due to more severe weather in the month of January 2022 as compared to 2021, we curtailed cryptocurrency datacenter operations at the New York Facility for a period of time when there was a spike in power demand, which coincided with higher prices for electricity. This January revenue accounted for approximately 37% of the increase in Power capacity revenue for first nine months of 2022 as compared to the prior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Segment Adjusted EBITDA for the Cryptocurrency Datacenter and Power Generation segment decreased to $3.9 million for the first nine months of 2022 from $33.5 million in the first nine months of 2021. The decrease in Segment Adjusted EBITDA was driven by the increased cost of natural gas and lower price of bitcoin, partially offset by the higher bitcoin mining hash rate.</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Cryptocurrency datacenter revenue per MWh and power and capacity revenue per MWh are used by management to consider the extent to which it will generate electricity to either produce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costs are excluded from the cost of revenue (exclusive of depreciation and amortization) per MWh metric; therefore, not all cost of revenues for cryptocurrency datacenter and power and capacity are fully reflected. To the extent any other cryptocurrency datacenters are public or may go public, the cost of revenue (exclusive of depreciation and amortization) per MWh metric may not be comparable because some competitors may include depreciation in their cost of revenue figures.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Support Services Segment</w:t>
      </w:r>
    </w:p>
    <w:p>
      <w:pPr>
        <w:spacing w:after="0" w:line="24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Greenidge acquired Support.com, which constitutes the Support Services segment as of close of business on September 14, 2021. As such, there were only 16 days of operations included in our consolidated results in the first nine months of 2021. Support Services had revenue of $24.4 million and Segment Adjusted EBITDA of $5.3 million in the nine months ended September 30, 2022.</w:t>
      </w:r>
    </w:p>
    <w:p>
      <w:pPr>
        <w:spacing w:after="0" w:line="20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contract associated with the Support Services segment's largest customer, which accounted for approximately 19% of the Company's consolidated revenue during the nine months ended September 30, 2022, expires on December 31, 2022, and has not been renewed beyond that date. This customer also accounted for 73% of Support Service's segment revenue for the nine months ended September 30,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goodwill and intangible assets, accounts receivable, digital assets, emissions expense and credits, environmental and asset retirement obligations and revenue recognition. Management evaluates its policies and assumptions on an ongoing basis.</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significant accounting policies related to these accounts in the preparation of our condensed consolidated financial statements are described under the heading “Management Discussion and Analysis of Financial Condition and Results of Operations – Critical Accounting Policies and Estimates” in our Annual Report on Form 10-K for the year ended December 31, 2021. As of the date of this filing, there were no significant changes to any of the critical accounting policies and estimates previously described in our Annual Report on Form 10-K for the year ended December 31, 2021 with the exception of those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Obligations</w:t>
      </w:r>
    </w:p>
    <w:p>
      <w:pPr>
        <w:spacing w:after="0" w:line="24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has coal combustion residual liabilities associated with the closure of a coal ash pond located on the Company's property in the Town of Torrey, New York. In accordance with ASC 410-30, the Company has a liability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8" w:name="page39"/>
    <w:bookmarkEnd w:id="38"/>
    <w:p>
      <w:pPr>
        <w:ind w:right="320"/>
        <w:spacing w:after="0" w:line="253" w:lineRule="auto"/>
        <w:rPr>
          <w:sz w:val="20"/>
          <w:szCs w:val="20"/>
          <w:color w:val="auto"/>
        </w:rPr>
      </w:pPr>
      <w:r>
        <w:rPr>
          <w:rFonts w:ascii="Arial" w:cs="Arial" w:eastAsia="Arial" w:hAnsi="Arial"/>
          <w:sz w:val="18"/>
          <w:szCs w:val="18"/>
          <w:color w:val="auto"/>
        </w:rPr>
        <w:t>$13.8 million as of September 30, 2022, which includes a charge of $11.1 million during the nine months ended September 30, 2022 as a result of an update to the cost estimates as part of the Company's ongoing evaluation of the site.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from the asset are less than its carrying amount. If impairment is indicated, the long-lived asset would be written down to fair value.</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 significant reduction in the price of bitcoin and increased energy prices during the nine months ended September 30, 2022, the Company recognized a noncash impairment charge of $71.5 million for the assets associated with the Cryptocurrency Datacenter and Power Generation segment to reduce the net book value of the long-lived assets to fair value. Fair value was based upon a market approach. The excess of the book value over the estimated fair value was allocated to the long-lived assets of the Cryptocurrency and Power Generation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“EBITDA” is defined as earnings before interest, taxes, and depreciation and amortization. “Adjusted EBITDA” is defined as EBITDA adjusted for stock-based compensation and other special items determined by management, including, but not limited to costs associated with the Merger, costs of becoming a public company (which included the costs of corporate reorganization from a limited liability company, public registration of shares and associated costs), business expansion costs, fair value adjustments for certain financial liabilities (including asset retirement obligations), costs associated with debt and equity transactions, and impairment charges as they are not indicative of business operations. Adjusted EBITDA is intended as a supplemental measure of our performance that is neither required by, nor presented in accordance with,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21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 a supplemental basis. You should review the reconciliation of</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net loss (income) to EBITDA (loss) and Adjusted EBITDA above and not rely on any single financial measure to evaluate our business.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Borders>
              <w:bottom w:val="single" w:sz="8" w:color="CCEEFF"/>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 (loss)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(Loss) income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(17,053)</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(11,865)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(100,650)</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Merger and other costs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31,095</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Expansion costs</w:t>
            </w:r>
          </w:p>
        </w:tc>
        <w:tc>
          <w:tcPr>
            <w:tcW w:w="380" w:type="dxa"/>
            <w:vAlign w:val="bottom"/>
          </w:tcPr>
          <w:p>
            <w:pPr>
              <w:spacing w:after="0"/>
              <w:rPr>
                <w:sz w:val="19"/>
                <w:szCs w:val="19"/>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71,500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38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11,109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Adjusted (loss) income from operations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(16,628)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18,110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(14,726)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26,527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Adjusted operating margin</w:t>
            </w: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(56.6 %)</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50.7 %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(15.0)%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42.1 %</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net (loss) income</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(23,177)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(131,488)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Merger and other costs, after tax</w:t>
            </w:r>
          </w:p>
        </w:tc>
        <w:tc>
          <w:tcPr>
            <w:tcW w:w="380" w:type="dxa"/>
            <w:vAlign w:val="bottom"/>
          </w:tcPr>
          <w:p>
            <w:pPr>
              <w:spacing w:after="0"/>
              <w:rPr>
                <w:sz w:val="19"/>
                <w:szCs w:val="19"/>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19,969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20,874</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Expansion costs, after tax</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2,375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Loss on sale of assets, after tax</w:t>
            </w:r>
          </w:p>
        </w:tc>
        <w:tc>
          <w:tcPr>
            <w:tcW w:w="380" w:type="dxa"/>
            <w:vAlign w:val="bottom"/>
          </w:tcPr>
          <w:p>
            <w:pPr>
              <w:spacing w:after="0"/>
              <w:rPr>
                <w:sz w:val="19"/>
                <w:szCs w:val="19"/>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of long-lived assets, after tax</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71,500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Remeasurement of environmental liability, after tax</w:t>
            </w:r>
          </w:p>
        </w:tc>
        <w:tc>
          <w:tcPr>
            <w:tcW w:w="38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11,109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charge for valuation allowance</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15,056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Adjusted net (loss)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(21,993)</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12,166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(30,378)</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17,868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EBITDA (loss) and Adjusted EBITDA (loss)</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(23,177)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(131,488)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9"/>
                <w:szCs w:val="19"/>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15,200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5,430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15,693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13,835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22,680</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23"/>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EBITDA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(3,833)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(77,915)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Merger and other costs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31,095</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Expansion costs</w:t>
            </w:r>
          </w:p>
        </w:tc>
        <w:tc>
          <w:tcPr>
            <w:tcW w:w="380" w:type="dxa"/>
            <w:vAlign w:val="bottom"/>
          </w:tcPr>
          <w:p>
            <w:pPr>
              <w:spacing w:after="0"/>
              <w:rPr>
                <w:sz w:val="19"/>
                <w:szCs w:val="19"/>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sale of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Impairment of long-lived assets</w:t>
            </w:r>
          </w:p>
        </w:tc>
        <w:tc>
          <w:tcPr>
            <w:tcW w:w="38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71,500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11,109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Adjusted EBITDA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(2,288)</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21,177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9,168</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33,668</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September 30, 2022, we had cash and cash equivalents and restricted cash of $38.5 million. To date, we have primarily relied on debt and equity financing to fund our operations and to meet ongoing working capital needs and to execute on the initial stages of our business plan. During the first nine months of 2022, we obtained approximately $110.3 million of additional committed financings through two different agreements described further below.</w:t>
      </w:r>
    </w:p>
    <w:p>
      <w:pPr>
        <w:spacing w:after="0" w:line="20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may seek to raise capital through alternative sources, such as a public offering, an additional private placement of our equity or debt securities or traditional or non-traditional credit facilities. If we raise additional equity financing,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0" w:name="page41"/>
    <w:bookmarkEnd w:id="40"/>
    <w:p>
      <w:pPr>
        <w:ind w:right="140"/>
        <w:spacing w:after="0" w:line="256" w:lineRule="auto"/>
        <w:rPr>
          <w:sz w:val="20"/>
          <w:szCs w:val="20"/>
          <w:color w:val="auto"/>
        </w:rPr>
      </w:pPr>
      <w:r>
        <w:rPr>
          <w:rFonts w:ascii="Arial" w:cs="Arial" w:eastAsia="Arial" w:hAnsi="Arial"/>
          <w:sz w:val="18"/>
          <w:szCs w:val="18"/>
          <w:color w:val="auto"/>
        </w:rPr>
        <w:t>stockholders may experience significant dilution of their ownership interests, and the per share value of our class A common stock could decline. Furthermore, if we engage in additional debt financing, the debt holders would likely have priority over our stockholders, on order of payment preference.</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While we held a relatively small amount of digital assets for an extended period as of September 30, 2022, our current business strategy is to sell digital assets within a short period after earning such assets. We may choose to change this strategy in the future. The average period between receipt of bitcoin and the subsequent conversion to cash is less than one day because at least 95% of the bitcoin mined each day is liquidated the same day it is mined. Our liquidity is subject to volatility in both number of bitcoins mined and the underlying price of bitcoin.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summarizes our contractual obligations and other commitments as of September 30, 2022, and the years in which these obligations are due: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Remainder of 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2025-2026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payments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Environmental obligations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Natural gas transportation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debt payments included in the table above include the principal, interest and risk premium amounts due. 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operating cash flows are affected by several factors including the price of bitcoin and cost of electricity and natural gas, and based on the current price of bitcoin and electricity cost, we expect that we will require additional capital in order to meet the commitments above. During the nine months ended September 30, 2022, the Company’s profit and cash flows were impacted significantly by volatility in the prices of bitcoin and natural gas. The ability to continue as a going concern is dependent upon the Company generating profitable operations in the future and/or obtaining the necessary financing to meet its obligations and repay its liabilities arising from normal business operations when they come due. Management has evaluated different options to improve its liquidity to fund the Company’s expenses and to support the Company’s debt servicing requirements. These options include, but are not limited to:</w:t>
      </w:r>
    </w:p>
    <w:p>
      <w:pPr>
        <w:spacing w:after="0" w:line="99" w:lineRule="exact"/>
        <w:rPr>
          <w:sz w:val="20"/>
          <w:szCs w:val="20"/>
          <w:color w:val="auto"/>
        </w:rPr>
      </w:pPr>
    </w:p>
    <w:p>
      <w:pPr>
        <w:ind w:left="980" w:right="200" w:hanging="648"/>
        <w:spacing w:after="0" w:line="261"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or monetizing certain assets, including but not limited to sales of additional miners, sales of surplus mining infrastructure equipment, or sales of unannounced and undeveloped locations the Company was evaluating for expansion;</w:t>
      </w:r>
    </w:p>
    <w:p>
      <w:pPr>
        <w:spacing w:after="0" w:line="89" w:lineRule="exact"/>
        <w:rPr>
          <w:rFonts w:ascii="Arial" w:cs="Arial" w:eastAsia="Arial" w:hAnsi="Arial"/>
          <w:sz w:val="18"/>
          <w:szCs w:val="18"/>
          <w:color w:val="auto"/>
        </w:rPr>
      </w:pPr>
    </w:p>
    <w:p>
      <w:pPr>
        <w:ind w:left="940" w:hanging="608"/>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issuances of equity, including but not limited to issuances under the Equity Purchase Agreement and/or the ATM Agreement;</w:t>
      </w:r>
    </w:p>
    <w:p>
      <w:pPr>
        <w:spacing w:after="0" w:line="117" w:lineRule="exact"/>
        <w:rPr>
          <w:rFonts w:ascii="Arial" w:cs="Arial" w:eastAsia="Arial" w:hAnsi="Arial"/>
          <w:sz w:val="18"/>
          <w:szCs w:val="18"/>
          <w:color w:val="auto"/>
        </w:rPr>
      </w:pPr>
    </w:p>
    <w:p>
      <w:pPr>
        <w:ind w:left="940" w:hanging="608"/>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migrating certain of its equipment to lower cost locations; and</w:t>
      </w:r>
    </w:p>
    <w:p>
      <w:pPr>
        <w:spacing w:after="0" w:line="117" w:lineRule="exact"/>
        <w:rPr>
          <w:rFonts w:ascii="Arial" w:cs="Arial" w:eastAsia="Arial" w:hAnsi="Arial"/>
          <w:sz w:val="18"/>
          <w:szCs w:val="18"/>
          <w:color w:val="auto"/>
        </w:rPr>
      </w:pPr>
    </w:p>
    <w:p>
      <w:pPr>
        <w:ind w:left="980" w:right="40" w:hanging="648"/>
        <w:spacing w:after="0" w:line="256"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with lenders to modify the terms of certain of the Company’s existing financings, which could result in various modifications, including but not limited to, the modification of interest rates and/or debt amortization, assignment of collateral and changes to the Company's business model.</w:t>
      </w:r>
    </w:p>
    <w:p>
      <w:pPr>
        <w:spacing w:after="0" w:line="20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In the Company's efforts to further improve liquidity, Greenidge and the Noteholder amended the Secured Promissory Note on August 10, 2022. The amendment is discussed further below under "</w:t>
      </w:r>
      <w:r>
        <w:rPr>
          <w:rFonts w:ascii="Arial" w:cs="Arial" w:eastAsia="Arial" w:hAnsi="Arial"/>
          <w:sz w:val="18"/>
          <w:szCs w:val="18"/>
          <w:i w:val="1"/>
          <w:iCs w:val="1"/>
          <w:color w:val="auto"/>
        </w:rPr>
        <w:t>Secured Promissory Note</w:t>
      </w:r>
      <w:r>
        <w:rPr>
          <w:rFonts w:ascii="Arial" w:cs="Arial" w:eastAsia="Arial" w:hAnsi="Arial"/>
          <w:sz w:val="18"/>
          <w:szCs w:val="18"/>
          <w:color w:val="auto"/>
        </w:rPr>
        <w:t>".</w:t>
      </w:r>
    </w:p>
    <w:p>
      <w:pPr>
        <w:spacing w:after="0" w:line="19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has received proceeds of $59.8 million since October 2021 from sales of common stock under the original and amended Equity Purchase Agreements, of which $8.9 million proceeds, net of discounts, was received during the nine months ended September 30, 2022. In September 2022, Greenidge entered into an ATM Agreement (defined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1" w:name="page42"/>
    <w:bookmarkEnd w:id="41"/>
    <w:p>
      <w:pPr>
        <w:ind w:right="560"/>
        <w:spacing w:after="0" w:line="261" w:lineRule="auto"/>
        <w:rPr>
          <w:sz w:val="20"/>
          <w:szCs w:val="20"/>
          <w:color w:val="auto"/>
        </w:rPr>
      </w:pPr>
      <w:r>
        <w:rPr>
          <w:rFonts w:ascii="Arial" w:cs="Arial" w:eastAsia="Arial" w:hAnsi="Arial"/>
          <w:sz w:val="18"/>
          <w:szCs w:val="18"/>
          <w:color w:val="auto"/>
        </w:rPr>
        <w:t>discussed further below under "ATM Agreement"), and since September 30, 2022 through November 11, 2022, the Company received proceeds of $1.6 million from sales of common stock under the ATM Agreement.</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Additionally, the Company has sold certain of its miners and other assets during the nine months ended September 30, 2022 for proceeds of $4.8 million.</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anticipates that existing cash resources will be depleted by the end of the first quarter of 2023. Depending on its assumptions regarding the timing and ability to achieve more normalized levels of operating revenue, the estimated amount of required liquidity will vary significantly. Similarly, management cannot predict when or if bitcoin prices will recover to prior levels, or when energy costs may decrease. While the Company continues to work to implement the options to improve liquidity, there can be no assurance that these efforts will be successful.</w:t>
      </w:r>
    </w:p>
    <w:p>
      <w:pPr>
        <w:spacing w:after="0" w:line="20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Management's ability to successfully implement these options could be negatively impacted by items outside of its control, in particular, significant decreases in the price of bitcoin, regulatory changes concerning cryptocurrency, increases in energy costs or other macroeconomic conditions and other matters identified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Annual Report on Form 10-K for the year ended December 31, 2021 and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Quarterly Report on Form 10-Q. Given the lack of improvement in the above mentioned factors in the third quarter of 2022, there is uncertainty regarding the Company’s financial condition and substantial doubt about its ability to continue as a going concern for a reasonable period of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net cash flow for the nine months ended September 30,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4"/>
          </w:tcPr>
          <w:p>
            <w:pPr>
              <w:ind w:lef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(38,644)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79,216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58,075</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and restricted cash</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46,097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82,599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38,513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for) provided by operating activities was $(1.2) million for the nine months ended September 30, 2022, as compared to $26.7 million for the nine months ended September 30, 2021. The variance in the operating cash flow during the first nine months of 2022 as compared to 2021 was driven primarily by the lower profits caused by the decrease in the price of bitcoin and the higher cost of power in 2022 than in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in investing activities was $122.1 million for the nine months ended September 30, 2022, as compared to $38.6 million for the nine months ended September 30, 2021. For the nine months ended September 30, 2022, purchases of and deposits for property and equipment significantly increased as compared to the prior year due to the expansion of our miner fleet and infrastructure for cryptocurrency datacenter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4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cash provided by financing activities was $79.2 million for the nine months ended September 30, 2022, as compared to $58.1 million for the nine months ended September 30, 2021. For the nine months ended September 30, 2022, the net cash provided by financing activities primarily consisted of $107.1 million of net proceeds from debt and $7.8 million of proceeds from issuance of common stock, net of issuance costs, partially offset by $35.3 million of payments of debt principal. For the nine months ended September 30, 2021, the net cash provided by financing activities consisted of $37.1</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42" w:name="page43"/>
    <w:bookmarkEnd w:id="42"/>
    <w:p>
      <w:pPr>
        <w:ind w:right="300"/>
        <w:spacing w:after="0" w:line="261" w:lineRule="auto"/>
        <w:rPr>
          <w:sz w:val="20"/>
          <w:szCs w:val="20"/>
          <w:color w:val="auto"/>
        </w:rPr>
      </w:pPr>
      <w:r>
        <w:rPr>
          <w:rFonts w:ascii="Arial" w:cs="Arial" w:eastAsia="Arial" w:hAnsi="Arial"/>
          <w:sz w:val="18"/>
          <w:szCs w:val="18"/>
          <w:color w:val="auto"/>
        </w:rPr>
        <w:t>million in proceeds from issuance of preferred stock, $ 25.1 million of net proceeds from debt obligations and $1.0 million of proceeds from stock options exercised, partially offset by $4.4 million of principal payments on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Equipment Finance Agreement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March 21, 2022, Greenidge, as guarantor, together with its wholly-owned subsidiaries GTX Gen 1 Collateral LLC, GNY Collateral LLC and GSC Collateral LLC (collectively, the “Borrowers”) entered into a Master Equipment Finance Agreement (the “NYDIG Financing Agreement”) with NYDIG ABL LLC (“NYDIG”), as lender, whereby NYDIG agreed to lend to the Borrowers approximately $81 million under loan schedules to finance the acquisition of certain bitcoin miners and related equipment (the “Financed Equipment”). The Borrower’s obligations under the NYDIG Financing Agreement are fully and unconditionally guaranteed by Greenidge. Outstanding borrowings under the NYDIG Financing Agreement are secured by all assets of the Borrowers including without limitation the Financed Equipment and proceeds thereof (including bitcoin). The partially funded loan schedules bear interest at a rate of 13% per annum and have terms of twenty-five months. Certain loan schedules are interest-only for a specified period and otherwise payments on loan schedules include both an interest and principal payment.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addition to the NYDIG Financing Agreement, on March 18, 2022, Greenidge also issued a secured promissory note, as borrower, in favor of B. Riley Commercial Capital, LLC, as noteholder (the “Noteholder”), evidencing a $26.5 million aggregate principal amount loan by the Noteholder to the Company (the “Secured Promissory Note”). The Secured Promissory Note is guaranteed by certain of Greenidge’s wholly-owned subsidiaries: Greenidge South Carolina LLC, GSC RE LLC and 300 Jones Road LLC. The loan outstanding under the Secured Promissory Note bears interest at a rate of 6% per annum and originally matured on July 20, 2022, subject to up to five 30-day extensions that may be elected by Greenidge provided no Event of Default (as defined therein) has occurred and is continuing and Greenidge pays an Exit Fee (as defined therein) to the Noteholder. The Secured Promissory Note is secured by a first priority mortgage lien on certain real property together with related improvements, fixtures and personal property located at the South Carolina Facility. Greenidge’s obligations under the Secured Promissory Note may be prepaid in whole or in part without penalties or fees.</w:t>
      </w:r>
    </w:p>
    <w:p>
      <w:pPr>
        <w:spacing w:after="0" w:line="212"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On August 10, 2022, Greenidge and the Noteholder agreed to amend the terms of the Secured Promissory Note, by extending the maturity to June 2023, reducing scheduled monthly amortization payments and revising the interest rate to 7.5%. The Exit Fees associated with the four 30-day extensions subsequent to August 10, 2022, were accelerated and added to the principal balance as of that date. The principal balance following the amendment was $ 16.4 million as of August 10, 2022. Additionally mandatory repayments of the Secured Promissory Note were revised, such that 65% of the net cash proceeds received from sales of stock under the 2022 Purchase Agreement shall be paid to Noteholder to repay the Secured Promissory Note.</w:t>
      </w:r>
    </w:p>
    <w:p>
      <w:pPr>
        <w:spacing w:after="0" w:line="2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Refer to Note 7, Debt, to the Condensed Consolidated Financial Statements of this Quarterly Report on Form 10-Q for a further discussion of the Company's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Agreement</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September 19, 2022, as amended on October 3, 2022, Greenidge entered into an at market issuance sales agreement (the "ATM Agreement") with B. Riley Securities, Inc. ("B. Riley") and Northland Securities, Inc. ("Northland"). Under the ATM Agreement, B. Riley will use its commercially reasonable efforts to sell on our behalf the shares of our class A common stock requested to be sold by us, consistent with its normal trading and sales practices, under the terms and subject to the conditions set forth in the ATM Agreement. B. Riley may sell our class A common stock by any method permitted by law deemed to be an “at the market offering” as defined in Rule 415(a)(4) promulgated under the Securities Act. Greenidge will pay B. Riley commissions for its services in acting as sales agent in the sale of our class A common stock. B. Riley will be entitled to compensation in an amount equal to up to 5.0% of the gross proceeds of all class A common stock sold through it as sales agent under the ATM Agreement. Under the registration statement filed registering shares to be sold under the ATM Agreement, In no event shall Greenidge issue or sell through B. Riley such number of Placement Shares that exceeds up to a maximum aggregate offering price of $22,800,000 of class A common stock of Greenidge.</w:t>
      </w:r>
    </w:p>
    <w:p>
      <w:pPr>
        <w:spacing w:after="0" w:line="21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From October 1, 2022 through November 11, 2022, Greenidge issued 1,634,964 shares, which B. Riley sold for $1.6 million of net proceeds to Greenidge.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spacing w:after="0" w:line="202" w:lineRule="exact"/>
        <w:rPr>
          <w:sz w:val="20"/>
          <w:szCs w:val="20"/>
          <w:color w:val="auto"/>
        </w:rPr>
      </w:pPr>
    </w:p>
    <w:p>
      <w:pPr>
        <w:ind w:left="940" w:hanging="608"/>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 404(b) of the Sarbanes-Oxley Act;</w:t>
      </w:r>
    </w:p>
    <w:p>
      <w:pPr>
        <w:spacing w:after="0" w:line="225" w:lineRule="exact"/>
        <w:rPr>
          <w:rFonts w:ascii="Arial" w:cs="Arial" w:eastAsia="Arial" w:hAnsi="Arial"/>
          <w:sz w:val="18"/>
          <w:szCs w:val="18"/>
          <w:color w:val="auto"/>
        </w:rPr>
      </w:pPr>
    </w:p>
    <w:p>
      <w:pPr>
        <w:ind w:left="980" w:right="420" w:hanging="648"/>
        <w:spacing w:after="0" w:line="256" w:lineRule="auto"/>
        <w:tabs>
          <w:tab w:leader="none" w:pos="9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01" w:lineRule="exact"/>
        <w:rPr>
          <w:rFonts w:ascii="Arial" w:cs="Arial" w:eastAsia="Arial" w:hAnsi="Arial"/>
          <w:sz w:val="18"/>
          <w:szCs w:val="18"/>
          <w:color w:val="auto"/>
        </w:rPr>
      </w:pPr>
    </w:p>
    <w:p>
      <w:pPr>
        <w:ind w:left="980" w:right="80" w:hanging="648"/>
        <w:spacing w:after="0" w:line="261" w:lineRule="auto"/>
        <w:tabs>
          <w:tab w:leader="none" w:pos="9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pay ratio; and</w:t>
      </w:r>
    </w:p>
    <w:p>
      <w:pPr>
        <w:spacing w:after="0" w:line="197" w:lineRule="exact"/>
        <w:rPr>
          <w:rFonts w:ascii="Arial" w:cs="Arial" w:eastAsia="Arial" w:hAnsi="Arial"/>
          <w:sz w:val="18"/>
          <w:szCs w:val="18"/>
          <w:color w:val="auto"/>
        </w:rPr>
      </w:pPr>
    </w:p>
    <w:p>
      <w:pPr>
        <w:ind w:left="980" w:hanging="648"/>
        <w:spacing w:after="0" w:line="261" w:lineRule="auto"/>
        <w:tabs>
          <w:tab w:leader="none" w:pos="9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9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will remain an “emerging growth company” for up to five years, or until the earliest of (i) the last day of the first fiscal year in which our total annual gross revenues exceed $1.07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the Chief Executive Officer and Chief Financial Officer concluded as of September 30, 2022,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spacing w:after="0" w:line="19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There have not been any changes in the Company’s internal control over financial reporting that occurred during the third quarter of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For information on legal proceedings, refer to Note 13. Commitments and Contingencies—Legal Matters in our unaudited condensed consolidated financial statements included elsewhere in this report.</w:t>
      </w:r>
    </w:p>
    <w:p>
      <w:pPr>
        <w:spacing w:after="0" w:line="20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December 17, 2020, certain parties filed an Article 78 petition with the Supreme Court of the State of New York, Yates County, that challenges the Town of Torrey’s site plan review for the planned expansion of our cryptocurrency datacenter. We were joined in the petition as a necessary party. The petition asserts, among other things, a violation of the State of New York Environmental Quality Review Act for failing to identify all areas of environmental concern or appropriately review the potential environmental impacts of the planned expansion of our data center. On April 7, 2022, the Supreme Court denied the petition with prejudice, upholding the Town of Torrey’s site plan review on multiple, independent grounds. A notice of appeal was filed but the appeal was not perfected by the October 20, 2022 deadline; therefore, the appeal is deemed abandoned.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In evaluating our company and our business, you should carefully consider the risks and uncertainties described in Part I, Item 1A, “Risk Factors” in our Annual Report on Form 10-K for the year ended December 31, 2021 together with updates to those risk factors or new risk factors contained in this Quarterly Report on Form 10 -Q below and any other information in this Quarterly Report on Form 10-Q,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21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the Ownership of Our Securities</w:t>
      </w:r>
    </w:p>
    <w:p>
      <w:pPr>
        <w:spacing w:after="0" w:line="22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Because there is a risk as to our ability to continue as a going concern for a reasonable period of time, an investment in our common stock is highly speculative. Holders of our common stock could suffer a total loss of their investment.</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ability to continue as a going concern is dependent on our ability to generate profitable operations in the future and/or obtain the necessary financing to meet our obligations and repay our liabilities arising from normal business operations when they come due. We have experienced periods of losses and negative operating cash flows as a result of decreases in bitcoin prices and increases in natural gas prices, which are currently affecting, and have affected the performance of our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5" w:name="page46"/>
    <w:bookmarkEnd w:id="45"/>
    <w:p>
      <w:pPr>
        <w:ind w:right="720"/>
        <w:spacing w:after="0" w:line="261" w:lineRule="auto"/>
        <w:rPr>
          <w:sz w:val="20"/>
          <w:szCs w:val="20"/>
          <w:color w:val="auto"/>
        </w:rPr>
      </w:pPr>
      <w:r>
        <w:rPr>
          <w:rFonts w:ascii="Arial" w:cs="Arial" w:eastAsia="Arial" w:hAnsi="Arial"/>
          <w:sz w:val="18"/>
          <w:szCs w:val="18"/>
          <w:color w:val="auto"/>
        </w:rPr>
        <w:t>business. Additional adverse developments affecting these industries could have a material adverse effect on our business, financial condition and results of operations.</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has evaluated different options to improve our liquidity to fund our expenses and to support our debt servicing requirements. These options include, but are not limited to, selling or monetizing certain assets; issuances of equity, including but not limited to issuances under the Equity Purchase Agreement and the ATM Agreement; migrating certain of our equipment to lower cost locations; and negotiating with lenders to modify the terms of certain of our existing financings. On August 10, 2022, B. Riley agreed to amend and restate the Promissory Note by extending the maturity to June 2023, reducing scheduled monthly amortization payments and reducing mandatory prepayments. We received proceeds of $59.8 million since October 2021 from sales of common stock under the original and amended Equity Purchase Agreements, of which $8.9 million proceeds, net of discounts, was received during the nine months ended September 30, 2022. In September 2022, Greenidge entered into an ATM agreement and since September 30, 2022 through November 11, 2022, the Company received proceeds of $1.6 million sales of common stock under the ATM Agreement. Additionally, we sold certain of our mining equipment and other assets during the nine months ended September 30, 2022 for proceeds of $4.8 million, however, the value of miners has continued to decline during the third quarter of 2022.</w:t>
      </w:r>
    </w:p>
    <w:p>
      <w:pPr>
        <w:spacing w:after="0" w:line="21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anticipate that existing cash resources will be depleted by the end of the first quarter of 2023. Depending on our assumptions regarding the timing and ability to achieve more normalized levels of operating revenue, the estimated amount of required liquidity will vary significantly. Similarly, management cannot predict when or if bitcoin prices will recover to prior levels, or when energy costs may decrease. While we continue to work to implement the options to improve liquidity, there can be no assurance that these efforts will be successful. Management's ability to successfully implement these options could be negatively impacted by items outside of our control, in particular, significant decreases in the price of bitcoin, regulatory changes concerning cryptocurrency, increases in energy costs or other macroeconomic conditions and other matters identified in Part I, Item 1A "Risk Factors" of our Annual Report on Form 10-K for the year ended December 31, 2021 and this section entitled "Risk Factors" of this Quarterly Report on Form 10-Q. Given the lack of improvement in the above mentioned factors in the third quarter of 2022, there is uncertainty regarding our financial condition and substantial doubt about our ability to continue as a going concern for a reasonable period of time.</w:t>
      </w:r>
    </w:p>
    <w:p>
      <w:pPr>
        <w:spacing w:after="0" w:line="18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The market price, trading volume and marketability of our class A common stock may be significantly affected by numerous factors beyond our control.</w:t>
      </w:r>
    </w:p>
    <w:p>
      <w:pPr>
        <w:spacing w:after="0" w:line="17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market price and trading volume of our class A common stock may fluctuate and/or decline. Recently, the trading price of our class A common stock has declined significantly. When the price of bitcoin declines, our stock price has historically fallen as well. We may experience similar outcomes in the future if our stock price continues to track the price of bitcoin. Furthermore, if the market for bitcoin company stocks or the stock market in general experiences a loss of investor confidence, the trading price of our stock could decline for reasons unrelated to our business, operating results or financial condition. The trading price of our class A common stock could be subject to arbitrary pricing factors that are not necessarily associated with traditional factors that influence stock prices or the value of non-cryptocurrency assets such as revenue, cash flows, profitability, growth prospects or business activity levels since the value and price, as determined by the investing public, may be influenced by future anticipated adoption or appreciation in value of cryptocurrencies or blockchains generally, factors over which we have little or no influence or control.</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Additionally, there are many other factors that are beyond our control that may materially adversely affect the market price of our class A common stock, the marketability of our class A common stock and our ability to raise capital through equity financings. These factors include, but are not limited to, the following:</w:t>
      </w:r>
    </w:p>
    <w:p>
      <w:pPr>
        <w:spacing w:after="0" w:line="94" w:lineRule="exact"/>
        <w:rPr>
          <w:sz w:val="20"/>
          <w:szCs w:val="20"/>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underlying volatility in pricing of, and demand for, energy and/or bitcoin;</w:t>
      </w:r>
    </w:p>
    <w:p>
      <w:pPr>
        <w:spacing w:after="0" w:line="117" w:lineRule="exact"/>
        <w:rPr>
          <w:rFonts w:ascii="Arial" w:cs="Arial" w:eastAsia="Arial" w:hAnsi="Arial"/>
          <w:sz w:val="18"/>
          <w:szCs w:val="18"/>
          <w:color w:val="auto"/>
        </w:rPr>
      </w:pPr>
    </w:p>
    <w:p>
      <w:pPr>
        <w:ind w:left="980" w:right="480" w:hanging="648"/>
        <w:spacing w:after="0" w:line="26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stock markets generally which create highly variable and unpredictable pricing of equity securities;</w:t>
      </w:r>
    </w:p>
    <w:p>
      <w:pPr>
        <w:spacing w:after="0" w:line="89" w:lineRule="exact"/>
        <w:rPr>
          <w:rFonts w:ascii="Arial" w:cs="Arial" w:eastAsia="Arial" w:hAnsi="Arial"/>
          <w:sz w:val="18"/>
          <w:szCs w:val="18"/>
          <w:color w:val="auto"/>
        </w:rPr>
      </w:pPr>
    </w:p>
    <w:p>
      <w:pPr>
        <w:ind w:left="980" w:right="140" w:hanging="648"/>
        <w:spacing w:after="0" w:line="26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annual or quarterly results of operations, including our earnings estimates and whether we meet market expectations with regard to our earnings;</w:t>
      </w:r>
    </w:p>
    <w:p>
      <w:pPr>
        <w:spacing w:after="0" w:line="89" w:lineRule="exact"/>
        <w:rPr>
          <w:rFonts w:ascii="Arial" w:cs="Arial" w:eastAsia="Arial" w:hAnsi="Arial"/>
          <w:sz w:val="18"/>
          <w:szCs w:val="18"/>
          <w:color w:val="auto"/>
        </w:rPr>
      </w:pPr>
    </w:p>
    <w:p>
      <w:pPr>
        <w:ind w:left="980" w:right="40" w:hanging="648"/>
        <w:spacing w:after="0" w:line="256"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companies in the sectors in which our business operates, which may not be related to the operating performance of these companies and which may not reflect the performance of our businesses;</w:t>
      </w:r>
    </w:p>
    <w:p>
      <w:pPr>
        <w:spacing w:after="0" w:line="93" w:lineRule="exact"/>
        <w:rPr>
          <w:rFonts w:ascii="Arial" w:cs="Arial" w:eastAsia="Arial" w:hAnsi="Arial"/>
          <w:sz w:val="18"/>
          <w:szCs w:val="18"/>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17" w:lineRule="exact"/>
        <w:rPr>
          <w:rFonts w:ascii="Arial" w:cs="Arial" w:eastAsia="Arial" w:hAnsi="Arial"/>
          <w:sz w:val="18"/>
          <w:szCs w:val="18"/>
          <w:color w:val="auto"/>
        </w:rPr>
      </w:pPr>
    </w:p>
    <w:p>
      <w:pPr>
        <w:ind w:left="940" w:hanging="60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46" w:name="page47"/>
    <w:bookmarkEnd w:id="46"/>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regulations or tax law, including those affecting the holding, transferring or mining of cryptocurrency;</w:t>
      </w:r>
    </w:p>
    <w:p>
      <w:pPr>
        <w:spacing w:after="0" w:line="117" w:lineRule="exact"/>
        <w:rPr>
          <w:rFonts w:ascii="Arial" w:cs="Arial" w:eastAsia="Arial" w:hAnsi="Arial"/>
          <w:sz w:val="18"/>
          <w:szCs w:val="18"/>
          <w:color w:val="auto"/>
        </w:rPr>
      </w:pPr>
    </w:p>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 transactions by principal stockholders;</w:t>
      </w:r>
    </w:p>
    <w:p>
      <w:pPr>
        <w:spacing w:after="0" w:line="103" w:lineRule="exact"/>
        <w:rPr>
          <w:rFonts w:ascii="Arial" w:cs="Arial" w:eastAsia="Arial" w:hAnsi="Arial"/>
          <w:sz w:val="18"/>
          <w:szCs w:val="18"/>
          <w:color w:val="auto"/>
        </w:rPr>
      </w:pPr>
    </w:p>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continued listing on the Nasdaq;</w:t>
      </w:r>
    </w:p>
    <w:p>
      <w:pPr>
        <w:spacing w:after="0" w:line="117" w:lineRule="exact"/>
        <w:rPr>
          <w:rFonts w:ascii="Arial" w:cs="Arial" w:eastAsia="Arial" w:hAnsi="Arial"/>
          <w:sz w:val="18"/>
          <w:szCs w:val="18"/>
          <w:color w:val="auto"/>
        </w:rPr>
      </w:pPr>
    </w:p>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factors, including Russia’s invasion of Ukraine;</w:t>
      </w:r>
    </w:p>
    <w:p>
      <w:pPr>
        <w:spacing w:after="0" w:line="117" w:lineRule="exact"/>
        <w:rPr>
          <w:rFonts w:ascii="Arial" w:cs="Arial" w:eastAsia="Arial" w:hAnsi="Arial"/>
          <w:sz w:val="18"/>
          <w:szCs w:val="18"/>
          <w:color w:val="auto"/>
        </w:rPr>
      </w:pPr>
    </w:p>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including inflation and interest rates;</w:t>
      </w:r>
    </w:p>
    <w:p>
      <w:pPr>
        <w:spacing w:after="0" w:line="117" w:lineRule="exact"/>
        <w:rPr>
          <w:rFonts w:ascii="Arial" w:cs="Arial" w:eastAsia="Arial" w:hAnsi="Arial"/>
          <w:sz w:val="18"/>
          <w:szCs w:val="18"/>
          <w:color w:val="auto"/>
        </w:rPr>
      </w:pPr>
    </w:p>
    <w:p>
      <w:pPr>
        <w:ind w:left="980" w:right="80" w:hanging="648"/>
        <w:spacing w:after="0" w:line="261"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scrutiny by governmental authorities or individual actors or community groups regarding our business, our competitors or the industry in which we operate;</w:t>
      </w:r>
    </w:p>
    <w:p>
      <w:pPr>
        <w:spacing w:after="0" w:line="89" w:lineRule="exact"/>
        <w:rPr>
          <w:rFonts w:ascii="Arial" w:cs="Arial" w:eastAsia="Arial" w:hAnsi="Arial"/>
          <w:sz w:val="18"/>
          <w:szCs w:val="18"/>
          <w:color w:val="auto"/>
        </w:rPr>
      </w:pPr>
    </w:p>
    <w:p>
      <w:pPr>
        <w:ind w:left="980" w:right="60" w:hanging="648"/>
        <w:spacing w:after="0" w:line="261"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publication of research reports by analysts and others about us or the cryptocurrency mining industry, which may be unfavorable, inaccurate, inconsistent or not disseminated on a regular basis;</w:t>
      </w:r>
    </w:p>
    <w:p>
      <w:pPr>
        <w:spacing w:after="0" w:line="89" w:lineRule="exact"/>
        <w:rPr>
          <w:rFonts w:ascii="Arial" w:cs="Arial" w:eastAsia="Arial" w:hAnsi="Arial"/>
          <w:sz w:val="18"/>
          <w:szCs w:val="18"/>
          <w:color w:val="auto"/>
        </w:rPr>
      </w:pPr>
    </w:p>
    <w:p>
      <w:pPr>
        <w:ind w:left="980" w:right="20" w:hanging="648"/>
        <w:spacing w:after="0" w:line="261"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sentiment of retail investors about our class A common stock and business generally (including as may be expressed on financial trading and other social media sites and online forums);</w:t>
      </w:r>
    </w:p>
    <w:p>
      <w:pPr>
        <w:spacing w:after="0" w:line="89" w:lineRule="exact"/>
        <w:rPr>
          <w:rFonts w:ascii="Arial" w:cs="Arial" w:eastAsia="Arial" w:hAnsi="Arial"/>
          <w:sz w:val="18"/>
          <w:szCs w:val="18"/>
          <w:color w:val="auto"/>
        </w:rPr>
      </w:pPr>
    </w:p>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media or investment community about us or the cryptocurrency industry more broadly; and</w:t>
      </w:r>
    </w:p>
    <w:p>
      <w:pPr>
        <w:spacing w:after="0" w:line="117" w:lineRule="exact"/>
        <w:rPr>
          <w:rFonts w:ascii="Arial" w:cs="Arial" w:eastAsia="Arial" w:hAnsi="Arial"/>
          <w:sz w:val="18"/>
          <w:szCs w:val="18"/>
          <w:color w:val="auto"/>
        </w:rPr>
      </w:pPr>
    </w:p>
    <w:p>
      <w:pPr>
        <w:ind w:left="940" w:hanging="608"/>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any of the other risk factors included in this Quarterly Report on Form 10-Q.</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the minimum closing bid price requirement of Nasdaq could result in a de-listing of our class A common stock.</w:t>
      </w:r>
    </w:p>
    <w:p>
      <w:pPr>
        <w:spacing w:after="0" w:line="23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If we fail to satisfy the minimum closing bid price requirement of Nasdaq, steps may be taken by Nasdaq to de-list our securities. Such a de-listing would likely have a negative effect on the price of our class A common stock and would impair our ability to sell or purchase our class A common stock when we wish to do so. In the event of a de-listing, we would take actions to restore our compliance with Nasdaq’s listing requirements, but we can provide no assurance that any such action taken by us would allow our class A common stock to become listed</w:t>
      </w:r>
    </w:p>
    <w:p>
      <w:pPr>
        <w:spacing w:after="0" w:line="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again, stabilize the market price or improve the liquidity of our class A common stock, or prevent our class A common stock from dropping below the Nasdaq minimum bid price requirement.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Business Generally</w:t>
      </w:r>
    </w:p>
    <w:p>
      <w:pPr>
        <w:spacing w:after="0" w:line="221" w:lineRule="exact"/>
        <w:rPr>
          <w:sz w:val="20"/>
          <w:szCs w:val="20"/>
          <w:color w:val="auto"/>
        </w:rPr>
      </w:pPr>
    </w:p>
    <w:p>
      <w:pPr>
        <w:jc w:val="both"/>
        <w:ind w:right="260"/>
        <w:spacing w:after="0" w:line="287" w:lineRule="auto"/>
        <w:rPr>
          <w:sz w:val="20"/>
          <w:szCs w:val="20"/>
          <w:color w:val="auto"/>
        </w:rPr>
      </w:pPr>
      <w:r>
        <w:rPr>
          <w:rFonts w:ascii="Arial" w:cs="Arial" w:eastAsia="Arial" w:hAnsi="Arial"/>
          <w:sz w:val="18"/>
          <w:szCs w:val="18"/>
          <w:b w:val="1"/>
          <w:bCs w:val="1"/>
          <w:i w:val="1"/>
          <w:iCs w:val="1"/>
          <w:color w:val="auto"/>
        </w:rPr>
        <w:t>Our substantial level of indebtedness and our current liquidity constraints could adversely affect our financial condition and our ability to service our indebtedness, which could negatively impact your ability to recover your investment in our common stock.</w:t>
      </w:r>
    </w:p>
    <w:p>
      <w:pPr>
        <w:spacing w:after="0" w:line="17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Liquidity risk is the risk that we will not be able to meet our financial obligations as they fall due. We currently settle our financial obligations out of cash and cash equivalents. We have a planning and budgeting process to help determine the funds required to support our normal spending requirements on an ongoing basis and our expansion plans.</w:t>
      </w:r>
    </w:p>
    <w:p>
      <w:pPr>
        <w:spacing w:after="0" w:line="2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a substantial amount of indebtedness, which requires significant interest payments. As of September 30, 2022, we and our subsidiaries had approximately $176 million aggregate principal amount of indebtedness outstanding. Our substantial level of indebtedness and the current constraints on our liquidity could have important consequences, including the following:</w:t>
      </w:r>
    </w:p>
    <w:p>
      <w:pPr>
        <w:spacing w:after="0" w:line="94" w:lineRule="exact"/>
        <w:rPr>
          <w:sz w:val="20"/>
          <w:szCs w:val="20"/>
          <w:color w:val="auto"/>
        </w:rPr>
      </w:pPr>
    </w:p>
    <w:p>
      <w:pPr>
        <w:jc w:val="both"/>
        <w:ind w:left="980" w:right="480" w:hanging="648"/>
        <w:spacing w:after="0" w:line="256" w:lineRule="auto"/>
        <w:tabs>
          <w:tab w:leader="none" w:pos="9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use a substantial portion of our cash flow from operations to pay interest and principal on our indebtedness, which reduces or will reduce funds available to us for other purposes, such as working capital, capital expenditures, other general corporate purposes and potential acquisitions;</w:t>
      </w:r>
    </w:p>
    <w:p>
      <w:pPr>
        <w:spacing w:after="0" w:line="93" w:lineRule="exact"/>
        <w:rPr>
          <w:rFonts w:ascii="Arial" w:cs="Arial" w:eastAsia="Arial" w:hAnsi="Arial"/>
          <w:sz w:val="18"/>
          <w:szCs w:val="18"/>
          <w:color w:val="auto"/>
        </w:rPr>
      </w:pPr>
    </w:p>
    <w:p>
      <w:pPr>
        <w:ind w:left="980" w:right="200" w:hanging="648"/>
        <w:spacing w:after="0" w:line="261" w:lineRule="auto"/>
        <w:tabs>
          <w:tab w:leader="none" w:pos="9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refinance such indebtedness or to obtain additional financing for working capital, capital expenditures, acquisitions or general corporate purposes may be impaired;</w:t>
      </w:r>
    </w:p>
    <w:p>
      <w:pPr>
        <w:spacing w:after="0" w:line="89" w:lineRule="exact"/>
        <w:rPr>
          <w:rFonts w:ascii="Arial" w:cs="Arial" w:eastAsia="Arial" w:hAnsi="Arial"/>
          <w:sz w:val="18"/>
          <w:szCs w:val="18"/>
          <w:color w:val="auto"/>
        </w:rPr>
      </w:pPr>
    </w:p>
    <w:p>
      <w:pPr>
        <w:ind w:left="980" w:right="220" w:hanging="648"/>
        <w:spacing w:after="0" w:line="261" w:lineRule="auto"/>
        <w:tabs>
          <w:tab w:leader="none" w:pos="9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leverage may be greater than that of some of our competitors, which may put us at a competitive disadvantage and reduce our flexibility in responding to current and changing industry and financial market conditions;</w:t>
      </w:r>
    </w:p>
    <w:p>
      <w:pPr>
        <w:spacing w:after="0" w:line="89" w:lineRule="exact"/>
        <w:rPr>
          <w:rFonts w:ascii="Arial" w:cs="Arial" w:eastAsia="Arial" w:hAnsi="Arial"/>
          <w:sz w:val="18"/>
          <w:szCs w:val="18"/>
          <w:color w:val="auto"/>
        </w:rPr>
      </w:pPr>
    </w:p>
    <w:p>
      <w:pPr>
        <w:ind w:left="940" w:hanging="608"/>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significant constraints on our ability to generate liquidity through incurring additional debt;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ind w:left="980" w:right="80" w:hanging="648"/>
        <w:spacing w:after="0" w:line="261" w:lineRule="auto"/>
        <w:tabs>
          <w:tab w:leader="none" w:pos="9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more vulnerable to economic downturn, further declines in the price of bitcoin or increases in the price of natural gas, and other adverse developments in our business.</w:t>
      </w:r>
    </w:p>
    <w:p>
      <w:pPr>
        <w:spacing w:after="0" w:line="198"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We and our subsidiaries may be able to incur substantial additional indebtedness in the future, subject to the restrictions contained in the agreements governing our indebtedness. To the extent new indebtedness is added to our debt levels, the related risks that we now face could intensify.</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ability to meet our expenses and to make future principal and interest payments in respect of our debt depends on, among other factors, our operating performance, competitive developments and financial market conditions, all of which are significantly affected by financial, business, economic and other factors. We are not able to control many of these factors. Given current industry and economic conditions, our cash flow may not be sufficient to allow us to pay principal and interest on our debt and meet our other obligations.</w:t>
      </w:r>
    </w:p>
    <w:p>
      <w:pPr>
        <w:spacing w:after="0" w:line="18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It may take significant time, expenditure or effort for us to grow our business, including our cryptocurrency datacenter operations, through acquisitions, and our efforts may not be successful.</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number of bitcoin and other cryptocurrency datacenter companies has greatly increased in recent years. As we and other bitcoin/cryptocurrency datacenter companies seek to grow mining capacity or access additional sources of electricity to power growing datacenter operations, the acquisition of existing cryptocurrency datacenter companies and standalone electricity production facilities may become an attractive avenue of growth. Currently, we source our electricity for our cryptocurrency datacenter facility in New York from our captive 106 MW power generation facility. If we determine to expand our operations, we may want to do so through the acquisition of additional bitcoin or other cryptocurrency datacenter businesses or electricity generating power plants. We acquired and commenced operations at our Spartanburg, SC facility in December 2021; however, there can be no assurance that additional expansions will commence or that the expected benefits and advantages of such expansion will be realized. Further attractive acquisition targets may not be available to us for a number of reasons, such as growing competition for attractive targets, economic or industry sector downturns, geopolitical tensions, regulatory changes, environmental challenges, increases in the cost of additional capital needed to close business combination or operate targets post-business combination. Our inability to identify and consummate acquisitions of attractive targets could have a material and adverse impact on our long-term growth prospects, which could materially adversely affect our results of operations, strategy and financial performance.</w:t>
      </w: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Additionally, we may engage in the acquisition of other companies, investments, joint ventures and strategic alliances outside of our Support Services segment’s current line of business to design and develop new technologies and products, to strengthen competitiveness by scaling up and to expand our existing business line into new regions. Such transactions, especially in new lines of business, inherently involve risk due to the difficulties in integrating operations, technologies, products and personnel. Integration issues are complex, time-consuming and expensive and, without proper planning and implementation, may adversely affect the existing business. We may incur significant acquisition, administrative and other costs in connection with these transactions, including costs related to integration or restructuring of acquired businesses. These investments may not provide a return or lead to an increase in our Support Services segment’s operating results, and the benefits of these investments may not be obtained. There can be no assurance that these transactions will be beneficial to our Support Services segment’s results of operations or financial condition. Even assuming these transactions are beneficial, there can be no assurance that we will be able to successfully integrate the new business lines acquired or achieve all or any of the initial objectives of these transactions.</w:t>
      </w:r>
    </w:p>
    <w:p>
      <w:pPr>
        <w:spacing w:after="0" w:line="18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have been, and may be in the future, the subject of legal proceedings, including governmental investigations, relating to our products or services.</w:t>
      </w:r>
    </w:p>
    <w:p>
      <w:pPr>
        <w:spacing w:after="0" w:line="16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December 17, 2020, certain parties filed an Article 78 petition with the Supreme Court of the State of New York, Yates County, that challenges the Town of Torrey’s site plan review for the planned expansion of our cryptocurrency datacenter. We were joined in the petition as a necessary party. The petition asserted, among other things, a violation of the State of New York Environmental Quality Review Act for failing to identify all areas of environmental concern or appropriately review the potential environmental impacts of the planned expansion of our data center. On April 7, 2022, the Supreme Court denied the petition with prejudice, upholding the Town of Torrey’s site plan review on multiple, independent grounds. A notice of appeal was filed but the appeal was not perfected by the October 20, 2022 deadline; therefore,</w:t>
      </w:r>
    </w:p>
    <w:p>
      <w:pPr>
        <w:spacing w:after="0" w:line="2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appeal is deemed abandoned. From time to time, we may become involved in various legal proceedings that arise in the ordinary course of business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Risk Related to Bitcoin and Cryptocurrency Industry</w:t>
      </w:r>
    </w:p>
    <w:p>
      <w:pPr>
        <w:spacing w:after="0" w:line="22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Our future success will depend significantly on the price of bitcoin, which is subject to risk and has historically been subject to wide swings and significant volatility.</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operating results depend significantly on the price of bitcoin because it is the only cryptocurrency asset that we currently mine. Specifically, our revenues from our cryptocurrency datacenter operations are based principally on two factors: (1) our mining payouts from our third-party mining pools; and (2) the price of bitcoin. Accordingly, a decrease in the price of bitcoin will result in a decrease in our revenues. Moreover, the price of bitcoin has historically been subject to wide swings and significant volatility. This means that our operating results may be subject to significant volatility. Bitcoin prices have historically been volatile and impacted by a variety of factors, including market perception, the degree to which bitcoin is accepted as a means of payment, the volume of purchases and sales of bitcoin by market participants, real or perceived competition from alternative cryptocurrencies as well as other risks and uncertainties described in this Quarterly Report on Form 10-Q. For example, the price of bitcoin ranged from a low of approximately $30,000 to a high of approximately $68,000 during 2021, and has ranged from approximately $18,000 to approximately $48,000 year-to date as of September 30, 2022. Ongoing depressed cryptocurrency prices, including the recent decrease in the price of bitcoin, have resulted in, and could further result in, adverse effects on our business, financial condition, results of operations and growth prospects, which could significantly impact our ability to continue as a going concern or to pursue our strategy at all.</w:t>
      </w:r>
    </w:p>
    <w:p>
      <w:pPr>
        <w:spacing w:after="0" w:line="21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While some retail and commercial outlets accept bitcoin as a means of payment, consumers’ payment by bitcoin to such retail and commercial outlets remains limited. Conversely, a significant portion of bitcoin demand is generated by speculators and investors seeking to profit from the short- or long-term holding of bitcoin. Many industry commentators believe that bitcoin’s best use case is as a store of wealth, rather than as a currency for transactions, and that other cryptocurrencies having better scalability and faster settlement times will better serve as currency. This could limit bitcoin’s acceptance as transactional currency. A lack of expansion by bitcoin into retail and commercial markets, or a contraction of such use, may result in increased volatility or a further reduction in the price of bitcoin, either of which could adversely affect our results of operations.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the depressed price of bitcoin as compared to its historical high, the cryptocurrency industry has experienced increased credit pressures that could result in additional demands for credit support by third parties or decisions by banks, surety bond providers, investors or other companies to reduce or eliminate their exposure to bitcoin and the cryptocurrency industry as a whole, including our company. These credit pressures have had, and may continue to have, a material impact on our business, including, for example, banks, investors and other companies reducing or eliminating their exposure to the cryptocurrency industry, which could materially and adversely impact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Power Generation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complying with required government permits and approvals may be time-consuming and costly.</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and our affiliates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regulations change. In addition, obtaining such permit or license can sometimes result in the establishment of conditions that create a significant ongoing impact to the nature or costs of operations or even make the project or activity for which the permit or license was sought unprofitable or otherwise unattractive. In addition, such permits or licenses may be subject to denial, revocation or modification under various circumstances. Failure to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 various regulators routinely renew existing permits and licenses, renewal of our existing permits or licenses could be denied or jeopardized by various factors, including failure to provide adequate financial assurance for closure, failure to comply with environmental, health and safety laws and regulations or permit conditions, local community, political or other opposition and executive, legislative or regulatory action.</w:t>
      </w:r>
    </w:p>
    <w:p>
      <w:pPr>
        <w:spacing w:after="0" w:line="21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June 30, 2022, the NYSDEC denied our Title V Air Permit renewal application. Our existing Title V Air Permit allows us to fire natural gas to produce electricity in accordance with the permit requirements, which remains valid and in effect</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9" w:name="page50"/>
    <w:bookmarkEnd w:id="49"/>
    <w:p>
      <w:pPr>
        <w:ind w:right="380"/>
        <w:spacing w:after="0" w:line="256" w:lineRule="auto"/>
        <w:rPr>
          <w:sz w:val="20"/>
          <w:szCs w:val="20"/>
          <w:color w:val="auto"/>
        </w:rPr>
      </w:pPr>
      <w:r>
        <w:rPr>
          <w:rFonts w:ascii="Arial" w:cs="Arial" w:eastAsia="Arial" w:hAnsi="Arial"/>
          <w:sz w:val="18"/>
          <w:szCs w:val="18"/>
          <w:color w:val="auto"/>
        </w:rPr>
        <w:t>until four months after the final resolution of the appeal process. We intend to challenge NYSDEC’s decision, however, this challenge will cause us to incur additional costs and will result in the diversion of management attention, which could adversely affect our business, financial condition and results of operations.</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inability to procure and comply with the permits and licenses required for these operations, including the Title V Air Permit, or the cost to us of such procurement or compliance, could have a material adverse effect on us. In addition, new environmental legislation or regulations, if enacted, or changed interpretations of existing laws, may cause activities at our facilities to need to be changed to avoid violating applicable laws and regulations or eliciting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April 7, 2022, we entered into a common stock purchase agreement, as amended by Amendment No. 1 to Common Stock Purchase Agreement dated as of April 13, 2022 (as amended, the “2022 Purchase Agreement”) with B. Riley Principal Capital, LLC (“BRPC”), pursuant to which we have the right to sell to BRPC up to $500 million in shares of class A common stock, subject to certain limitations and the satisfaction of specified conditions in the 2022 Purchase Agreement, from time to time over the 24-month period commencing on April 28, 2022. From April 28, 2022 to November 11, 2022, we issued 3,234,193 shares of our class A common stock to BRPC under the 2022 Purchase Agreement. We intend to use the net proceeds for general corporate purposes, including funding capital expenditures, future acquisitions, investments and working capital and repaying indebtedness.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sales of the above securities were deemed to be exempt from registration under the Securities Act in reliance upon Section 4(a)(2) of the Securities Act. The recipients of the securities in each of these transactions represented their intentions and appropriate legends were placed upon the stock certificates issued in these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filed or furnished as part of this Quarterly Report.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0" w:name="page51"/>
    <w:bookmarkEnd w:id="50"/>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57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ind w:left="3620"/>
        <w:spacing w:after="0"/>
        <w:rPr>
          <w:sz w:val="20"/>
          <w:szCs w:val="20"/>
          <w:color w:val="auto"/>
        </w:rPr>
      </w:pPr>
      <w:r>
        <w:rPr>
          <w:rFonts w:ascii="Arial" w:cs="Arial" w:eastAsia="Arial" w:hAnsi="Arial"/>
          <w:sz w:val="18"/>
          <w:szCs w:val="18"/>
          <w:b w:val="1"/>
          <w:bCs w:val="1"/>
          <w:color w:val="auto"/>
        </w:rPr>
        <w:t>Exhibit Index</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26035</wp:posOffset>
            </wp:positionV>
            <wp:extent cx="62147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47" w:lineRule="exact"/>
        <w:rPr>
          <w:sz w:val="20"/>
          <w:szCs w:val="20"/>
          <w:color w:val="auto"/>
        </w:rPr>
      </w:pPr>
    </w:p>
    <w:p>
      <w:pPr>
        <w:ind w:right="840"/>
        <w:spacing w:after="0" w:line="277"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Second Amended and Restated Certificate of Incorporation of the Company (incorporated by reference to Exhibit 3.1 to the</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Company’s Registration Statement on Form S-8 filed on October 31, 2022)</w:t>
        </w:r>
      </w:hyperlink>
    </w:p>
    <w:p>
      <w:pPr>
        <w:spacing w:after="0" w:line="8" w:lineRule="exact"/>
        <w:rPr>
          <w:sz w:val="20"/>
          <w:szCs w:val="20"/>
          <w:color w:val="auto"/>
        </w:rPr>
      </w:pPr>
    </w:p>
    <w:p>
      <w:pPr>
        <w:ind w:right="40"/>
        <w:spacing w:after="0" w:line="263" w:lineRule="auto"/>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Amended and Restated Bridge Promissory Note, dated August 10, 2022, by Greenidge Generation Holdings Inc., as borrower, in favor</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of B. Riley Commercial Capital, LLC (incorporated by reference to Exhibit 10.6 of the Company’s Form 10-Q filed on August 15,</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2022)</w:t>
        </w:r>
      </w:hyperlink>
    </w:p>
    <w:p>
      <w:pPr>
        <w:spacing w:after="0" w:line="22" w:lineRule="exact"/>
        <w:rPr>
          <w:rFonts w:ascii="Arial" w:cs="Arial" w:eastAsia="Arial" w:hAnsi="Arial"/>
          <w:sz w:val="18"/>
          <w:szCs w:val="18"/>
          <w:u w:val="single" w:color="auto"/>
          <w:color w:val="0000FF"/>
        </w:rPr>
      </w:pPr>
    </w:p>
    <w:p>
      <w:pPr>
        <w:ind w:right="60"/>
        <w:spacing w:after="0" w:line="277" w:lineRule="auto"/>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Executive Employment Agreement, dated as of August 15, 2022, by and between Greenidge Generation Holdings Inc. and Dale Irwin.</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(incorporated by reference to Exhibit 10.7 of the Company’s Form 10-Q filed on August 15, 2022)</w:t>
        </w:r>
      </w:hyperlink>
    </w:p>
    <w:p>
      <w:pPr>
        <w:spacing w:after="0" w:line="8" w:lineRule="exact"/>
        <w:rPr>
          <w:sz w:val="20"/>
          <w:szCs w:val="20"/>
          <w:color w:val="auto"/>
        </w:rPr>
      </w:pPr>
    </w:p>
    <w:p>
      <w:pPr>
        <w:jc w:val="both"/>
        <w:spacing w:after="0" w:line="263" w:lineRule="auto"/>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Amendment No. 1 to At Market Issuance Sales Agreement, dated October 3, 2022, by and among Greenidge Generation Holdings Inc.,</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B. Riley Securities, Inc. and Northland Securities, Inc. (incorporated by reference to Exhibit 10.1 of the Company’s Form 8-K filed on</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October 4, 2022)</w:t>
        </w:r>
      </w:hyperlink>
    </w:p>
    <w:p>
      <w:pPr>
        <w:spacing w:after="0" w:line="22" w:lineRule="exact"/>
        <w:rPr>
          <w:rFonts w:ascii="Arial" w:cs="Arial" w:eastAsia="Arial" w:hAnsi="Arial"/>
          <w:sz w:val="18"/>
          <w:szCs w:val="18"/>
          <w:u w:val="single" w:color="auto"/>
          <w:color w:val="0000FF"/>
        </w:rPr>
      </w:pPr>
    </w:p>
    <w:p>
      <w:pPr>
        <w:ind w:right="260"/>
        <w:spacing w:after="0" w:line="263" w:lineRule="auto"/>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At Market Issuance Sales Agreement, dated September 19, 2022, by and among Greenidge Generation Holdings Inc., B. Riley</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Securities, Inc. and Northland Securities, Inc. (incorporated by reference to Exhibit 1.1 to the Company’s Registration Statement on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Form S-3 filed on September 19, 2022)</w:t>
        </w:r>
      </w:hyperlink>
    </w:p>
    <w:p>
      <w:pPr>
        <w:spacing w:after="0" w:line="22" w:lineRule="exact"/>
        <w:rPr>
          <w:rFonts w:ascii="Arial" w:cs="Arial" w:eastAsia="Arial" w:hAnsi="Arial"/>
          <w:sz w:val="18"/>
          <w:szCs w:val="18"/>
          <w:u w:val="single" w:color="auto"/>
          <w:color w:val="0000FF"/>
        </w:rPr>
      </w:pPr>
    </w:p>
    <w:p>
      <w:pPr>
        <w:ind w:right="400"/>
        <w:spacing w:after="0" w:line="277" w:lineRule="auto"/>
        <w:rPr>
          <w:sz w:val="20"/>
          <w:szCs w:val="20"/>
          <w:color w:val="auto"/>
        </w:rPr>
      </w:pPr>
      <w:r>
        <w:rPr>
          <w:rFonts w:ascii="Arial" w:cs="Arial" w:eastAsia="Arial" w:hAnsi="Arial"/>
          <w:sz w:val="18"/>
          <w:szCs w:val="18"/>
          <w:u w:val="single" w:color="auto"/>
          <w:color w:val="0000FF"/>
        </w:rPr>
        <w:t>Certification of Principal Executive Officer Pursuant to Rules 13a-14(a) and 15d-14(a) of the Securities Exchange Act of 1934, as amended, as Adopted Pursuant to Section 302 of the Sarbanes-Oxley Act of 2002</w:t>
      </w:r>
    </w:p>
    <w:p>
      <w:pPr>
        <w:spacing w:after="0" w:line="8" w:lineRule="exact"/>
        <w:rPr>
          <w:rFonts w:ascii="Arial" w:cs="Arial" w:eastAsia="Arial" w:hAnsi="Arial"/>
          <w:sz w:val="18"/>
          <w:szCs w:val="18"/>
          <w:u w:val="single" w:color="auto"/>
          <w:color w:val="0000FF"/>
        </w:rPr>
      </w:pPr>
    </w:p>
    <w:p>
      <w:pPr>
        <w:ind w:right="440"/>
        <w:spacing w:after="0" w:line="277" w:lineRule="auto"/>
        <w:rPr>
          <w:sz w:val="20"/>
          <w:szCs w:val="20"/>
          <w:color w:val="auto"/>
        </w:rPr>
      </w:pPr>
      <w:r>
        <w:rPr>
          <w:rFonts w:ascii="Arial" w:cs="Arial" w:eastAsia="Arial" w:hAnsi="Arial"/>
          <w:sz w:val="18"/>
          <w:szCs w:val="18"/>
          <w:u w:val="single" w:color="auto"/>
          <w:color w:val="0000FF"/>
        </w:rPr>
        <w:t>Certification of Principal Financial Officer Pursuant to Rules 13a-14(a) and 15d-14(a) of the Securities Exchange Act of 1934, as amended, as Adopted Pursuant to Section 302 of the Sarbanes-Oxley Act of 2002</w:t>
      </w:r>
    </w:p>
    <w:p>
      <w:pPr>
        <w:spacing w:after="0" w:line="8" w:lineRule="exact"/>
        <w:rPr>
          <w:rFonts w:ascii="Arial" w:cs="Arial" w:eastAsia="Arial" w:hAnsi="Arial"/>
          <w:sz w:val="18"/>
          <w:szCs w:val="18"/>
          <w:u w:val="single" w:color="auto"/>
          <w:color w:val="0000FF"/>
        </w:rPr>
      </w:pPr>
    </w:p>
    <w:p>
      <w:pPr>
        <w:ind w:right="140"/>
        <w:spacing w:after="0" w:line="277" w:lineRule="auto"/>
        <w:rPr>
          <w:sz w:val="20"/>
          <w:szCs w:val="20"/>
          <w:color w:val="auto"/>
        </w:rPr>
      </w:pPr>
      <w:r>
        <w:rPr>
          <w:rFonts w:ascii="Arial" w:cs="Arial" w:eastAsia="Arial" w:hAnsi="Arial"/>
          <w:sz w:val="18"/>
          <w:szCs w:val="18"/>
          <w:u w:val="single" w:color="auto"/>
          <w:color w:val="0000FF"/>
        </w:rPr>
        <w:t>Certification of Principal Executive Officer Pursuant to 18 U.S.C. Section 1350, as Adopted Pursuant to Section 906 of the Sarbanes-Oxley Act of 2002</w:t>
      </w:r>
    </w:p>
    <w:p>
      <w:pPr>
        <w:spacing w:after="0" w:line="8" w:lineRule="exact"/>
        <w:rPr>
          <w:rFonts w:ascii="Arial" w:cs="Arial" w:eastAsia="Arial" w:hAnsi="Arial"/>
          <w:sz w:val="18"/>
          <w:szCs w:val="18"/>
          <w:u w:val="single" w:color="auto"/>
          <w:color w:val="0000FF"/>
        </w:rPr>
      </w:pPr>
    </w:p>
    <w:p>
      <w:pPr>
        <w:ind w:right="200"/>
        <w:spacing w:after="0" w:line="277" w:lineRule="auto"/>
        <w:rPr>
          <w:sz w:val="20"/>
          <w:szCs w:val="20"/>
          <w:color w:val="auto"/>
        </w:rPr>
      </w:pPr>
      <w:r>
        <w:rPr>
          <w:rFonts w:ascii="Arial" w:cs="Arial" w:eastAsia="Arial" w:hAnsi="Arial"/>
          <w:sz w:val="18"/>
          <w:szCs w:val="18"/>
          <w:u w:val="single" w:color="auto"/>
          <w:color w:val="0000FF"/>
        </w:rPr>
        <w:t>Certification of Principal Financial Officer Pursuant to 18 U.S.C. Section 1350, as Adopted Pursuant to Section 906 of the Sarbanes-Oxley Act of 2002</w:t>
      </w:r>
    </w:p>
    <w:p>
      <w:pPr>
        <w:spacing w:after="0" w:line="8" w:lineRule="exact"/>
        <w:rPr>
          <w:rFonts w:ascii="Arial" w:cs="Arial" w:eastAsia="Arial" w:hAnsi="Arial"/>
          <w:sz w:val="18"/>
          <w:szCs w:val="18"/>
          <w:u w:val="single" w:color="auto"/>
          <w:color w:val="0000FF"/>
        </w:rPr>
      </w:pPr>
    </w:p>
    <w:p>
      <w:pPr>
        <w:ind w:right="660"/>
        <w:spacing w:after="0" w:line="316" w:lineRule="auto"/>
        <w:rPr>
          <w:sz w:val="20"/>
          <w:szCs w:val="20"/>
          <w:color w:val="auto"/>
        </w:rPr>
      </w:pPr>
      <w:r>
        <w:rPr>
          <w:rFonts w:ascii="Arial" w:cs="Arial" w:eastAsia="Arial" w:hAnsi="Arial"/>
          <w:sz w:val="16"/>
          <w:szCs w:val="16"/>
          <w:color w:val="auto"/>
        </w:rPr>
        <w:t>Interactive data files pursuant to Rule 405 of Regulation S-T: (i) the Balance Sheets, (ii) the Statements of Operations, (iii) the Statements of Cash Flows and (iv) the Notes to Unaudited Condensed Interim Consolidated Financial Statements.</w:t>
      </w:r>
    </w:p>
    <w:p>
      <w:pPr>
        <w:spacing w:after="0" w:line="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131" w:lineRule="exact"/>
        <w:rPr>
          <w:rFonts w:ascii="Arial" w:cs="Arial" w:eastAsia="Arial" w:hAnsi="Arial"/>
          <w:sz w:val="18"/>
          <w:szCs w:val="18"/>
          <w:u w:val="single" w:color="auto"/>
          <w:color w:val="0000FF"/>
        </w:rPr>
      </w:pPr>
    </w:p>
    <w:p>
      <w:pPr>
        <w:sectPr>
          <w:pgSz w:w="11900" w:h="16838" w:orient="portrait"/>
          <w:cols w:equalWidth="0" w:num="2">
            <w:col w:w="900" w:space="580"/>
            <w:col w:w="9740"/>
          </w:cols>
          <w:pgMar w:left="320" w:top="1147" w:right="359" w:bottom="1440" w:gutter="0" w:footer="0" w:header="0"/>
        </w:sectPr>
      </w:pPr>
    </w:p>
    <w:p>
      <w:pPr>
        <w:spacing w:after="0"/>
        <w:rPr>
          <w:sz w:val="20"/>
          <w:szCs w:val="20"/>
          <w:color w:val="auto"/>
        </w:rPr>
      </w:pPr>
      <w:r>
        <w:rPr>
          <w:rFonts w:ascii="Arial" w:cs="Arial" w:eastAsia="Arial" w:hAnsi="Arial"/>
          <w:sz w:val="18"/>
          <w:szCs w:val="18"/>
          <w:color w:val="auto"/>
        </w:rPr>
        <w:t>_______________________________</w:t>
      </w:r>
    </w:p>
    <w:p>
      <w:pPr>
        <w:spacing w:after="0" w:line="50" w:lineRule="exact"/>
        <w:rPr>
          <w:rFonts w:ascii="Arial" w:cs="Arial" w:eastAsia="Arial" w:hAnsi="Arial"/>
          <w:sz w:val="18"/>
          <w:szCs w:val="18"/>
          <w:u w:val="single" w:color="auto"/>
          <w:color w:val="0000FF"/>
        </w:rPr>
      </w:pPr>
    </w:p>
    <w:p>
      <w:pPr>
        <w:ind w:left="480" w:hanging="454"/>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20" w:type="dxa"/>
            <w:vAlign w:val="bottom"/>
            <w:gridSpan w:val="2"/>
          </w:tcPr>
          <w:p>
            <w:pPr>
              <w:ind w:left="2760"/>
              <w:spacing w:after="0"/>
              <w:rPr>
                <w:sz w:val="20"/>
                <w:szCs w:val="20"/>
                <w:color w:val="auto"/>
              </w:rPr>
            </w:pPr>
            <w:r>
              <w:rPr>
                <w:rFonts w:ascii="Arial" w:cs="Arial" w:eastAsia="Arial" w:hAnsi="Arial"/>
                <w:sz w:val="18"/>
                <w:szCs w:val="18"/>
                <w:b w:val="1"/>
                <w:bCs w:val="1"/>
                <w:color w:val="auto"/>
              </w:rPr>
              <w:t>Greenidge Generation Holdings Inc.</w:t>
            </w:r>
          </w:p>
        </w:tc>
      </w:tr>
      <w:tr>
        <w:trPr>
          <w:trHeight w:val="520"/>
        </w:trPr>
        <w:tc>
          <w:tcPr>
            <w:tcW w:w="3700" w:type="dxa"/>
            <w:vAlign w:val="bottom"/>
          </w:tcPr>
          <w:p>
            <w:pPr>
              <w:spacing w:after="0"/>
              <w:rPr>
                <w:sz w:val="20"/>
                <w:szCs w:val="20"/>
                <w:color w:val="auto"/>
              </w:rPr>
            </w:pPr>
            <w:r>
              <w:rPr>
                <w:rFonts w:ascii="Arial" w:cs="Arial" w:eastAsia="Arial" w:hAnsi="Arial"/>
                <w:sz w:val="18"/>
                <w:szCs w:val="18"/>
                <w:color w:val="auto"/>
              </w:rPr>
              <w:t>Date: November 14, 2022</w:t>
            </w:r>
          </w:p>
        </w:tc>
        <w:tc>
          <w:tcPr>
            <w:tcW w:w="3300" w:type="dxa"/>
            <w:vAlign w:val="bottom"/>
          </w:tcPr>
          <w:p>
            <w:pPr>
              <w:ind w:left="27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Anderson</w:t>
            </w:r>
          </w:p>
        </w:tc>
      </w:tr>
      <w:tr>
        <w:trPr>
          <w:trHeight w:val="234"/>
        </w:trPr>
        <w:tc>
          <w:tcPr>
            <w:tcW w:w="3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David Anderson</w:t>
            </w:r>
          </w:p>
        </w:tc>
      </w:tr>
      <w:tr>
        <w:trPr>
          <w:trHeight w:val="238"/>
        </w:trPr>
        <w:tc>
          <w:tcPr>
            <w:tcW w:w="3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493"/>
        </w:trPr>
        <w:tc>
          <w:tcPr>
            <w:tcW w:w="3700" w:type="dxa"/>
            <w:vAlign w:val="bottom"/>
          </w:tcPr>
          <w:p>
            <w:pPr>
              <w:spacing w:after="0"/>
              <w:rPr>
                <w:sz w:val="20"/>
                <w:szCs w:val="20"/>
                <w:color w:val="auto"/>
              </w:rPr>
            </w:pPr>
            <w:r>
              <w:rPr>
                <w:rFonts w:ascii="Arial" w:cs="Arial" w:eastAsia="Arial" w:hAnsi="Arial"/>
                <w:sz w:val="18"/>
                <w:szCs w:val="18"/>
                <w:color w:val="auto"/>
              </w:rPr>
              <w:t>Date: November 14, 2022</w:t>
            </w:r>
          </w:p>
        </w:tc>
        <w:tc>
          <w:tcPr>
            <w:tcW w:w="3300" w:type="dxa"/>
            <w:vAlign w:val="bottom"/>
          </w:tcPr>
          <w:p>
            <w:pPr>
              <w:ind w:left="27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Loughran</w:t>
            </w:r>
          </w:p>
        </w:tc>
      </w:tr>
      <w:tr>
        <w:trPr>
          <w:trHeight w:val="234"/>
        </w:trPr>
        <w:tc>
          <w:tcPr>
            <w:tcW w:w="3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Robert Loughran</w:t>
            </w:r>
          </w:p>
        </w:tc>
      </w:tr>
      <w:tr>
        <w:trPr>
          <w:trHeight w:val="238"/>
        </w:trPr>
        <w:tc>
          <w:tcPr>
            <w:tcW w:w="3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918"/>
        </w:trPr>
        <w:tc>
          <w:tcPr>
            <w:tcW w:w="3700" w:type="dxa"/>
            <w:vAlign w:val="bottom"/>
          </w:tcPr>
          <w:p>
            <w:pPr>
              <w:spacing w:after="0"/>
              <w:rPr>
                <w:sz w:val="24"/>
                <w:szCs w:val="24"/>
                <w:color w:val="auto"/>
              </w:rPr>
            </w:pPr>
          </w:p>
        </w:tc>
        <w:tc>
          <w:tcPr>
            <w:tcW w:w="3300" w:type="dxa"/>
            <w:vAlign w:val="bottom"/>
          </w:tcPr>
          <w:p>
            <w:pPr>
              <w:jc w:val="right"/>
              <w:ind w:right="1210"/>
              <w:spacing w:after="0"/>
              <w:rPr>
                <w:sz w:val="20"/>
                <w:szCs w:val="20"/>
                <w:color w:val="auto"/>
              </w:rPr>
            </w:pPr>
            <w:r>
              <w:rPr>
                <w:rFonts w:ascii="Arial" w:cs="Arial" w:eastAsia="Arial" w:hAnsi="Arial"/>
                <w:sz w:val="18"/>
                <w:szCs w:val="18"/>
                <w:color w:val="auto"/>
              </w:rPr>
              <w:t>51</w:t>
            </w:r>
          </w:p>
        </w:tc>
        <w:tc>
          <w:tcPr>
            <w:tcW w:w="4220" w:type="dxa"/>
            <w:vAlign w:val="bottom"/>
          </w:tcPr>
          <w:p>
            <w:pPr>
              <w:spacing w:after="0"/>
              <w:rPr>
                <w:sz w:val="24"/>
                <w:szCs w:val="24"/>
                <w:color w:val="auto"/>
              </w:rPr>
            </w:pPr>
          </w:p>
        </w:tc>
      </w:tr>
    </w:tbl>
    <w:p>
      <w:pPr>
        <w:sectPr>
          <w:pgSz w:w="11900" w:h="16838" w:orient="portrait"/>
          <w:cols w:equalWidth="0" w:num="1">
            <w:col w:w="11240"/>
          </w:cols>
          <w:pgMar w:left="320" w:top="114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C. Anderson, certify that:</w:t>
      </w:r>
    </w:p>
    <w:p>
      <w:pPr>
        <w:spacing w:after="0" w:line="117" w:lineRule="exact"/>
        <w:rPr>
          <w:sz w:val="20"/>
          <w:szCs w:val="20"/>
          <w:color w:val="auto"/>
        </w:rPr>
      </w:pPr>
    </w:p>
    <w:p>
      <w:pPr>
        <w:ind w:left="660" w:right="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September 30, 2022;</w:t>
      </w:r>
    </w:p>
    <w:p>
      <w:pPr>
        <w:spacing w:after="0" w:line="6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4"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40" w:hanging="644"/>
        <w:spacing w:after="0" w:line="263" w:lineRule="auto"/>
        <w:tabs>
          <w:tab w:leader="none" w:pos="12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80"/>
        <w:spacing w:after="0"/>
        <w:tabs>
          <w:tab w:leader="none" w:pos="860" w:val="left"/>
          <w:tab w:leader="none" w:pos="70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C.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23495</wp:posOffset>
            </wp:positionV>
            <wp:extent cx="24517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23495</wp:posOffset>
            </wp:positionV>
            <wp:extent cx="13030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6"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David C. Anderson</w:t>
      </w:r>
    </w:p>
    <w:p>
      <w:pPr>
        <w:spacing w:after="0" w:line="36"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3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Robert Loughran, certify that:</w:t>
      </w:r>
    </w:p>
    <w:p>
      <w:pPr>
        <w:spacing w:after="0" w:line="117" w:lineRule="exact"/>
        <w:rPr>
          <w:sz w:val="20"/>
          <w:szCs w:val="20"/>
          <w:color w:val="auto"/>
        </w:rPr>
      </w:pPr>
    </w:p>
    <w:p>
      <w:pPr>
        <w:ind w:left="660" w:right="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September 30, 2022;</w:t>
      </w:r>
    </w:p>
    <w:p>
      <w:pPr>
        <w:spacing w:after="0" w:line="6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40" w:hanging="644"/>
        <w:spacing w:after="0" w:line="263" w:lineRule="auto"/>
        <w:tabs>
          <w:tab w:leader="none" w:pos="12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80"/>
        <w:spacing w:after="0"/>
        <w:tabs>
          <w:tab w:leader="none" w:pos="860" w:val="left"/>
          <w:tab w:leader="none" w:pos="7040" w:val="left"/>
          <w:tab w:leader="none" w:pos="8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23495</wp:posOffset>
            </wp:positionV>
            <wp:extent cx="24428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23495</wp:posOffset>
            </wp:positionV>
            <wp:extent cx="13030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6"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Robert Loughran</w:t>
      </w:r>
    </w:p>
    <w:p>
      <w:pPr>
        <w:spacing w:after="0" w:line="36"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3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September 30, 2022, as filed with the Securities and Exchange Commission on the date hereof (the “Report”), I certify, pursuant to 18 U.S.C. § 1350, as adopted pursuant to § 906 of the Sarbanes-Oxley Act of 2002, that, to my knowledge:</w:t>
      </w:r>
    </w:p>
    <w:p>
      <w:pPr>
        <w:spacing w:after="0" w:line="76"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2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80"/>
        <w:spacing w:after="0"/>
        <w:tabs>
          <w:tab w:leader="none" w:pos="860" w:val="left"/>
          <w:tab w:leader="none" w:pos="70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C.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23495</wp:posOffset>
            </wp:positionV>
            <wp:extent cx="24517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23495</wp:posOffset>
            </wp:positionV>
            <wp:extent cx="13030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6"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David C. Anderson</w:t>
      </w:r>
    </w:p>
    <w:p>
      <w:pPr>
        <w:spacing w:after="0" w:line="36"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3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September 30, 2022 as filed with the Securities and Exchange Commission on the date hereof (the “Report”), I certify, pursuant to 18 U.S.C. § 1350, as adopted pursuant to § 906 of the Sarbanes-Oxley Act of 2002, that, to my knowledge:</w:t>
      </w:r>
    </w:p>
    <w:p>
      <w:pPr>
        <w:spacing w:after="0" w:line="76"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2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80"/>
        <w:spacing w:after="0"/>
        <w:tabs>
          <w:tab w:leader="none" w:pos="860" w:val="left"/>
          <w:tab w:leader="none" w:pos="7040" w:val="left"/>
          <w:tab w:leader="none" w:pos="8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23495</wp:posOffset>
            </wp:positionV>
            <wp:extent cx="2442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23495</wp:posOffset>
            </wp:positionV>
            <wp:extent cx="13030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6"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Robert Loughran</w:t>
      </w:r>
    </w:p>
    <w:p>
      <w:pPr>
        <w:spacing w:after="0" w:line="36"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8"/>
    </w:lvl>
  </w:abstractNum>
  <w:abstractNum w:abstractNumId="5">
    <w:nsid w:val="6B68079A"/>
    <w:multiLevelType w:val="hybridMultilevel"/>
    <w:lvl w:ilvl="0">
      <w:lvlJc w:val="left"/>
      <w:lvlText w:val="(%1)"/>
      <w:numFmt w:val="lowerLetter"/>
      <w:start w:val="25"/>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67" Type="http://schemas.openxmlformats.org/officeDocument/2006/relationships/hyperlink" Target="http://www.sec.gov/Archives/edgar/data/1844971/000094787122001118/ss1462961_s8.htm" TargetMode="External"/><Relationship Id="rId68" Type="http://schemas.openxmlformats.org/officeDocument/2006/relationships/hyperlink" Target="http://www.sec.gov/Archives/edgar/data/1844971/000095017022017424/gree-ex10_6.htm" TargetMode="External"/><Relationship Id="rId69" Type="http://schemas.openxmlformats.org/officeDocument/2006/relationships/hyperlink" Target="http://www.sec.gov/Archives/edgar/data/1844971/000095017022017424/gree-ex10_7.htm" TargetMode="External"/><Relationship Id="rId70" Type="http://schemas.openxmlformats.org/officeDocument/2006/relationships/hyperlink" Target="http://www.sec.gov/Archives/edgar/data/1844971/000119312522256918/d258070dex101.htm" TargetMode="External"/><Relationship Id="rId71" Type="http://schemas.openxmlformats.org/officeDocument/2006/relationships/hyperlink" Target="http://www.sec.gov/Archives/edgar/data/1844971/000119312522247179/d397978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2022-11-15T02:23:09Z</dcterms:created>
  <dcterms:modified xsi:type="dcterms:W3CDTF">2022-11-15T02:23:09Z</dcterms:modified>
</cp:coreProperties>
</file>