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5" w:lineRule="exact"/>
        <w:rPr>
          <w:sz w:val="24"/>
          <w:szCs w:val="24"/>
          <w:color w:val="auto"/>
        </w:rPr>
      </w:pPr>
    </w:p>
    <w:p>
      <w:pPr>
        <w:ind w:left="660" w:right="220" w:hanging="652"/>
        <w:spacing w:after="0" w:line="264" w:lineRule="auto"/>
        <w:tabs>
          <w:tab w:leader="none" w:pos="481" w:val="left"/>
        </w:tabs>
        <w:numPr>
          <w:ilvl w:val="0"/>
          <w:numId w:val="1"/>
        </w:numPr>
        <w:rPr>
          <w:rFonts w:ascii="Wingdings" w:cs="Wingdings" w:eastAsia="Wingdings" w:hAnsi="Wingdings"/>
          <w:sz w:val="22"/>
          <w:szCs w:val="22"/>
          <w:b w:val="1"/>
          <w:bCs w:val="1"/>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60" w:right="260" w:hanging="652"/>
        <w:spacing w:after="0" w:line="285" w:lineRule="auto"/>
        <w:tabs>
          <w:tab w:leader="none" w:pos="445" w:val="left"/>
        </w:tabs>
        <w:numPr>
          <w:ilvl w:val="0"/>
          <w:numId w:val="2"/>
        </w:numPr>
        <w:rPr>
          <w:rFonts w:ascii="Wingdings" w:cs="Wingdings" w:eastAsia="Wingdings" w:hAnsi="Wingdings"/>
          <w:sz w:val="22"/>
          <w:szCs w:val="22"/>
          <w:b w:val="1"/>
          <w:bCs w:val="1"/>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001-40808</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Greenidge Generation Holdings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140" w:lineRule="exact"/>
        <w:rPr>
          <w:sz w:val="24"/>
          <w:szCs w:val="24"/>
          <w:color w:val="auto"/>
        </w:rPr>
      </w:pPr>
    </w:p>
    <w:tbl>
      <w:tblPr>
        <w:tblLayout w:type="fixed"/>
        <w:tblInd w:w="940" w:type="dxa"/>
        <w:tblCellMar>
          <w:top w:w="0" w:type="dxa"/>
          <w:left w:w="0" w:type="dxa"/>
          <w:bottom w:w="0" w:type="dxa"/>
          <w:right w:w="0" w:type="dxa"/>
        </w:tblCellMar>
      </w:tblPr>
      <w:tr>
        <w:trPr>
          <w:trHeight w:val="247"/>
        </w:trPr>
        <w:tc>
          <w:tcPr>
            <w:tcW w:w="4600" w:type="dxa"/>
            <w:vAlign w:val="bottom"/>
          </w:tcPr>
          <w:p>
            <w:pPr>
              <w:jc w:val="center"/>
              <w:ind w:right="1379"/>
              <w:spacing w:after="0"/>
              <w:rPr>
                <w:sz w:val="20"/>
                <w:szCs w:val="20"/>
                <w:color w:val="auto"/>
              </w:rPr>
            </w:pPr>
            <w:r>
              <w:rPr>
                <w:rFonts w:ascii="Arial" w:cs="Arial" w:eastAsia="Arial" w:hAnsi="Arial"/>
                <w:sz w:val="18"/>
                <w:szCs w:val="18"/>
                <w:b w:val="1"/>
                <w:bCs w:val="1"/>
                <w:color w:val="auto"/>
                <w:w w:val="98"/>
              </w:rPr>
              <w:t>Delaware</w:t>
            </w:r>
          </w:p>
        </w:tc>
        <w:tc>
          <w:tcPr>
            <w:tcW w:w="2680" w:type="dxa"/>
            <w:vAlign w:val="bottom"/>
          </w:tcPr>
          <w:p>
            <w:pPr>
              <w:jc w:val="right"/>
              <w:ind w:right="41"/>
              <w:spacing w:after="0"/>
              <w:rPr>
                <w:sz w:val="20"/>
                <w:szCs w:val="20"/>
                <w:color w:val="auto"/>
              </w:rPr>
            </w:pPr>
            <w:r>
              <w:rPr>
                <w:rFonts w:ascii="Arial" w:cs="Arial" w:eastAsia="Arial" w:hAnsi="Arial"/>
                <w:sz w:val="18"/>
                <w:szCs w:val="18"/>
                <w:b w:val="1"/>
                <w:bCs w:val="1"/>
                <w:color w:val="auto"/>
              </w:rPr>
              <w:t>86-1746728</w:t>
            </w:r>
          </w:p>
        </w:tc>
      </w:tr>
      <w:tr>
        <w:trPr>
          <w:trHeight w:val="195"/>
        </w:trPr>
        <w:tc>
          <w:tcPr>
            <w:tcW w:w="460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or other jurisdiction of</w:t>
            </w:r>
          </w:p>
        </w:tc>
        <w:tc>
          <w:tcPr>
            <w:tcW w:w="2680" w:type="dxa"/>
            <w:vAlign w:val="bottom"/>
          </w:tcPr>
          <w:p>
            <w:pPr>
              <w:jc w:val="center"/>
              <w:ind w:left="142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600" w:type="dxa"/>
            <w:vAlign w:val="bottom"/>
          </w:tcPr>
          <w:p>
            <w:pPr>
              <w:jc w:val="center"/>
              <w:ind w:right="1379"/>
              <w:spacing w:after="0"/>
              <w:rPr>
                <w:sz w:val="20"/>
                <w:szCs w:val="20"/>
                <w:color w:val="auto"/>
              </w:rPr>
            </w:pPr>
            <w:r>
              <w:rPr>
                <w:rFonts w:ascii="Arial" w:cs="Arial" w:eastAsia="Arial" w:hAnsi="Arial"/>
                <w:sz w:val="14"/>
                <w:szCs w:val="14"/>
                <w:b w:val="1"/>
                <w:bCs w:val="1"/>
                <w:color w:val="auto"/>
              </w:rPr>
              <w:t>incorporation or organization)</w:t>
            </w:r>
          </w:p>
        </w:tc>
        <w:tc>
          <w:tcPr>
            <w:tcW w:w="2680" w:type="dxa"/>
            <w:vAlign w:val="bottom"/>
          </w:tcPr>
          <w:p>
            <w:pPr>
              <w:jc w:val="center"/>
              <w:ind w:left="1401"/>
              <w:spacing w:after="0"/>
              <w:rPr>
                <w:sz w:val="20"/>
                <w:szCs w:val="20"/>
                <w:color w:val="auto"/>
              </w:rPr>
            </w:pPr>
            <w:r>
              <w:rPr>
                <w:rFonts w:ascii="Arial" w:cs="Arial" w:eastAsia="Arial" w:hAnsi="Arial"/>
                <w:sz w:val="14"/>
                <w:szCs w:val="14"/>
                <w:b w:val="1"/>
                <w:bCs w:val="1"/>
                <w:color w:val="auto"/>
              </w:rPr>
              <w:t>Identification No.)</w:t>
            </w:r>
          </w:p>
        </w:tc>
      </w:tr>
      <w:tr>
        <w:trPr>
          <w:trHeight w:val="294"/>
        </w:trPr>
        <w:tc>
          <w:tcPr>
            <w:tcW w:w="4600" w:type="dxa"/>
            <w:vAlign w:val="bottom"/>
          </w:tcPr>
          <w:p>
            <w:pPr>
              <w:jc w:val="center"/>
              <w:ind w:right="1379"/>
              <w:spacing w:after="0"/>
              <w:rPr>
                <w:sz w:val="20"/>
                <w:szCs w:val="20"/>
                <w:color w:val="auto"/>
              </w:rPr>
            </w:pPr>
            <w:r>
              <w:rPr>
                <w:rFonts w:ascii="Arial" w:cs="Arial" w:eastAsia="Arial" w:hAnsi="Arial"/>
                <w:sz w:val="18"/>
                <w:szCs w:val="18"/>
                <w:b w:val="1"/>
                <w:bCs w:val="1"/>
                <w:color w:val="auto"/>
                <w:w w:val="99"/>
              </w:rPr>
              <w:t>1159 Pittsford-Victor Road, Suite 240</w:t>
            </w:r>
          </w:p>
        </w:tc>
        <w:tc>
          <w:tcPr>
            <w:tcW w:w="2680" w:type="dxa"/>
            <w:vAlign w:val="bottom"/>
          </w:tcPr>
          <w:p>
            <w:pPr>
              <w:spacing w:after="0"/>
              <w:rPr>
                <w:sz w:val="24"/>
                <w:szCs w:val="24"/>
                <w:color w:val="auto"/>
              </w:rPr>
            </w:pPr>
          </w:p>
        </w:tc>
      </w:tr>
      <w:tr>
        <w:trPr>
          <w:trHeight w:val="266"/>
        </w:trPr>
        <w:tc>
          <w:tcPr>
            <w:tcW w:w="4600" w:type="dxa"/>
            <w:vAlign w:val="bottom"/>
          </w:tcPr>
          <w:p>
            <w:pPr>
              <w:jc w:val="center"/>
              <w:ind w:right="1319"/>
              <w:spacing w:after="0"/>
              <w:rPr>
                <w:sz w:val="20"/>
                <w:szCs w:val="20"/>
                <w:color w:val="auto"/>
              </w:rPr>
            </w:pPr>
            <w:r>
              <w:rPr>
                <w:rFonts w:ascii="Arial" w:cs="Arial" w:eastAsia="Arial" w:hAnsi="Arial"/>
                <w:sz w:val="18"/>
                <w:szCs w:val="18"/>
                <w:b w:val="1"/>
                <w:bCs w:val="1"/>
                <w:color w:val="auto"/>
                <w:w w:val="98"/>
              </w:rPr>
              <w:t>Pittsford, New York</w:t>
            </w:r>
          </w:p>
        </w:tc>
        <w:tc>
          <w:tcPr>
            <w:tcW w:w="2680" w:type="dxa"/>
            <w:vAlign w:val="bottom"/>
          </w:tcPr>
          <w:p>
            <w:pPr>
              <w:jc w:val="right"/>
              <w:ind w:right="261"/>
              <w:spacing w:after="0"/>
              <w:rPr>
                <w:sz w:val="20"/>
                <w:szCs w:val="20"/>
                <w:color w:val="auto"/>
              </w:rPr>
            </w:pPr>
            <w:r>
              <w:rPr>
                <w:rFonts w:ascii="Arial" w:cs="Arial" w:eastAsia="Arial" w:hAnsi="Arial"/>
                <w:sz w:val="18"/>
                <w:szCs w:val="18"/>
                <w:b w:val="1"/>
                <w:bCs w:val="1"/>
                <w:color w:val="auto"/>
              </w:rPr>
              <w:t>14534</w:t>
            </w:r>
          </w:p>
        </w:tc>
      </w:tr>
      <w:tr>
        <w:trPr>
          <w:trHeight w:val="196"/>
        </w:trPr>
        <w:tc>
          <w:tcPr>
            <w:tcW w:w="460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2680" w:type="dxa"/>
            <w:vAlign w:val="bottom"/>
          </w:tcPr>
          <w:p>
            <w:pPr>
              <w:jc w:val="center"/>
              <w:ind w:left="140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(315) 536-2359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$0.0001 par value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GREE</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8.50% Senior Notes due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GREEL</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175" w:lineRule="exact"/>
        <w:rPr>
          <w:sz w:val="24"/>
          <w:szCs w:val="24"/>
          <w:color w:val="auto"/>
        </w:rPr>
      </w:pPr>
    </w:p>
    <w:p>
      <w:pPr>
        <w:ind w:right="120" w:firstLine="486"/>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firstLine="486"/>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77" w:lineRule="exact"/>
        <w:rPr>
          <w:sz w:val="24"/>
          <w:szCs w:val="24"/>
          <w:color w:val="auto"/>
        </w:rPr>
      </w:pPr>
    </w:p>
    <w:p>
      <w:pPr>
        <w:jc w:val="both"/>
        <w:ind w:right="20" w:firstLine="486"/>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40" w:type="dxa"/>
            <w:vAlign w:val="bottom"/>
          </w:tcPr>
          <w:p>
            <w:pPr>
              <w:ind w:left="88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00"/>
              <w:spacing w:after="0"/>
              <w:rPr>
                <w:sz w:val="20"/>
                <w:szCs w:val="20"/>
                <w:color w:val="auto"/>
              </w:rPr>
            </w:pPr>
            <w:r>
              <w:rPr>
                <w:rFonts w:ascii="Wingdings" w:cs="Wingdings" w:eastAsia="Wingdings" w:hAnsi="Wingdings"/>
                <w:sz w:val="18"/>
                <w:szCs w:val="18"/>
                <w:b w:val="1"/>
                <w:bCs w:val="1"/>
                <w:color w:val="auto"/>
                <w:w w:val="99"/>
              </w:rPr>
              <w:t>o</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880"/>
              <w:spacing w:after="0"/>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26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680"/>
              <w:spacing w:after="0"/>
              <w:rPr>
                <w:sz w:val="20"/>
                <w:szCs w:val="20"/>
                <w:color w:val="auto"/>
              </w:rPr>
            </w:pPr>
            <w:r>
              <w:rPr>
                <w:rFonts w:ascii="Wingdings" w:cs="Wingdings" w:eastAsia="Wingdings" w:hAnsi="Wingdings"/>
                <w:sz w:val="18"/>
                <w:szCs w:val="18"/>
                <w:b w:val="1"/>
                <w:bCs w:val="1"/>
                <w:color w:val="auto"/>
                <w:w w:val="94"/>
              </w:rPr>
              <w:t>x</w:t>
            </w:r>
          </w:p>
        </w:tc>
      </w:tr>
      <w:tr>
        <w:trPr>
          <w:trHeight w:val="243"/>
        </w:trPr>
        <w:tc>
          <w:tcPr>
            <w:tcW w:w="26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100" w:type="dxa"/>
            <w:vAlign w:val="bottom"/>
          </w:tcPr>
          <w:p>
            <w:pPr>
              <w:ind w:left="126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68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98" w:lineRule="exact"/>
        <w:rPr>
          <w:sz w:val="24"/>
          <w:szCs w:val="24"/>
          <w:color w:val="auto"/>
        </w:rPr>
      </w:pPr>
    </w:p>
    <w:p>
      <w:pPr>
        <w:ind w:right="180" w:firstLine="486"/>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8" w:lineRule="exact"/>
        <w:rPr>
          <w:sz w:val="24"/>
          <w:szCs w:val="24"/>
          <w:color w:val="auto"/>
        </w:rPr>
      </w:pPr>
    </w:p>
    <w:p>
      <w:pPr>
        <w:ind w:left="500"/>
        <w:spacing w:after="0"/>
        <w:tabs>
          <w:tab w:leader="none" w:pos="94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w:t>
      </w:r>
      <w:r>
        <w:rPr>
          <w:sz w:val="20"/>
          <w:szCs w:val="20"/>
          <w:color w:val="auto"/>
        </w:rPr>
        <w:tab/>
      </w:r>
      <w:r>
        <w:rPr>
          <w:rFonts w:ascii="Wingdings" w:cs="Wingdings" w:eastAsia="Wingdings" w:hAnsi="Wingdings"/>
          <w:sz w:val="16"/>
          <w:szCs w:val="16"/>
          <w:b w:val="1"/>
          <w:bCs w:val="1"/>
          <w:color w:val="auto"/>
        </w:rPr>
        <w:t>x</w:t>
      </w:r>
    </w:p>
    <w:p>
      <w:pPr>
        <w:spacing w:after="0" w:line="127" w:lineRule="exact"/>
        <w:rPr>
          <w:sz w:val="24"/>
          <w:szCs w:val="24"/>
          <w:color w:val="auto"/>
        </w:rPr>
      </w:pPr>
    </w:p>
    <w:p>
      <w:pPr>
        <w:ind w:right="180" w:firstLine="486"/>
        <w:spacing w:after="0" w:line="286" w:lineRule="auto"/>
        <w:rPr>
          <w:sz w:val="20"/>
          <w:szCs w:val="20"/>
          <w:color w:val="auto"/>
        </w:rPr>
      </w:pPr>
      <w:r>
        <w:rPr>
          <w:rFonts w:ascii="Arial" w:cs="Arial" w:eastAsia="Arial" w:hAnsi="Arial"/>
          <w:sz w:val="16"/>
          <w:szCs w:val="16"/>
          <w:color w:val="auto"/>
        </w:rPr>
        <w:t>As of November 10, 2025, the registrant had 13,065,603 shares of Class A common stock, $0.0001 par value per share, outstanding and 2,733,394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2280" w:type="dxa"/>
            <w:vAlign w:val="bottom"/>
            <w:gridSpan w:val="7"/>
            <w:vMerge w:val="restart"/>
          </w:tcPr>
          <w:p>
            <w:pPr>
              <w:spacing w:after="0"/>
              <w:rPr>
                <w:sz w:val="20"/>
                <w:szCs w:val="20"/>
                <w:color w:val="auto"/>
              </w:rPr>
            </w:pPr>
            <w:r>
              <w:rPr>
                <w:rFonts w:ascii="Arial" w:cs="Arial" w:eastAsia="Arial" w:hAnsi="Arial"/>
                <w:sz w:val="18"/>
                <w:szCs w:val="18"/>
                <w:b w:val="1"/>
                <w:bCs w:val="1"/>
                <w:color w:val="0563C1"/>
                <w:w w:val="98"/>
              </w:rPr>
              <w:t>FINANCIAL INFORMATION</w:t>
            </w:r>
          </w:p>
        </w:tc>
        <w:tc>
          <w:tcPr>
            <w:tcW w:w="6100" w:type="dxa"/>
            <w:vAlign w:val="bottom"/>
            <w:gridSpan w:val="9"/>
            <w:vMerge w:val="restart"/>
          </w:tcPr>
          <w:p>
            <w:pPr>
              <w:spacing w:after="0"/>
              <w:rPr>
                <w:sz w:val="17"/>
                <w:szCs w:val="17"/>
                <w:color w:val="auto"/>
              </w:rPr>
            </w:pPr>
          </w:p>
        </w:tc>
        <w:tc>
          <w:tcPr>
            <w:tcW w:w="170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280" w:type="dxa"/>
            <w:vAlign w:val="bottom"/>
            <w:tcBorders>
              <w:bottom w:val="single" w:sz="8" w:color="0563C1"/>
            </w:tcBorders>
            <w:gridSpan w:val="7"/>
            <w:vMerge w:val="continue"/>
          </w:tcPr>
          <w:p>
            <w:pPr>
              <w:spacing w:after="0"/>
              <w:rPr>
                <w:sz w:val="16"/>
                <w:szCs w:val="16"/>
                <w:color w:val="auto"/>
              </w:rPr>
            </w:pPr>
          </w:p>
        </w:tc>
        <w:tc>
          <w:tcPr>
            <w:tcW w:w="6100" w:type="dxa"/>
            <w:vAlign w:val="bottom"/>
            <w:gridSpan w:val="9"/>
            <w:vMerge w:val="continue"/>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380" w:type="dxa"/>
            <w:vAlign w:val="bottom"/>
            <w:gridSpan w:val="16"/>
          </w:tcPr>
          <w:p>
            <w:pPr>
              <w:spacing w:after="0"/>
              <w:rPr>
                <w:sz w:val="20"/>
                <w:szCs w:val="20"/>
                <w:color w:val="auto"/>
              </w:rPr>
            </w:pPr>
            <w:r>
              <w:rPr>
                <w:rFonts w:ascii="Arial" w:cs="Arial" w:eastAsia="Arial" w:hAnsi="Arial"/>
                <w:sz w:val="18"/>
                <w:szCs w:val="18"/>
                <w:color w:val="0563C1"/>
              </w:rPr>
              <w:t>Financial Statements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563C1"/>
              </w:rPr>
              <w:t>Condensed Consolidated Balance Sheets (Unaudited)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320" w:type="dxa"/>
            <w:vAlign w:val="bottom"/>
            <w:gridSpan w:val="2"/>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0" w:type="dxa"/>
            <w:vAlign w:val="bottom"/>
            <w:tcBorders>
              <w:bottom w:val="single" w:sz="8" w:color="0563C1"/>
            </w:tcBorders>
            <w:gridSpan w:val="15"/>
          </w:tcPr>
          <w:p>
            <w:pPr>
              <w:spacing w:after="0"/>
              <w:rPr>
                <w:sz w:val="20"/>
                <w:szCs w:val="20"/>
                <w:color w:val="auto"/>
              </w:rPr>
            </w:pPr>
            <w:r>
              <w:rPr>
                <w:rFonts w:ascii="Arial" w:cs="Arial" w:eastAsia="Arial" w:hAnsi="Arial"/>
                <w:sz w:val="18"/>
                <w:szCs w:val="18"/>
                <w:color w:val="0563C1"/>
                <w:w w:val="99"/>
              </w:rPr>
              <w:t>Condensed Consolidated Statements of Operations and Comprehensive Loss (Unaudited)</w:t>
            </w:r>
          </w:p>
        </w:tc>
        <w:tc>
          <w:tcPr>
            <w:tcW w:w="1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60" w:type="dxa"/>
            <w:vAlign w:val="bottom"/>
            <w:tcBorders>
              <w:bottom w:val="single" w:sz="8" w:color="0563C1"/>
            </w:tcBorders>
            <w:gridSpan w:val="13"/>
          </w:tcPr>
          <w:p>
            <w:pPr>
              <w:spacing w:after="0"/>
              <w:rPr>
                <w:sz w:val="20"/>
                <w:szCs w:val="20"/>
                <w:color w:val="auto"/>
              </w:rPr>
            </w:pPr>
            <w:r>
              <w:rPr>
                <w:rFonts w:ascii="Arial" w:cs="Arial" w:eastAsia="Arial" w:hAnsi="Arial"/>
                <w:sz w:val="18"/>
                <w:szCs w:val="18"/>
                <w:color w:val="0563C1"/>
                <w:w w:val="99"/>
              </w:rPr>
              <w:t>Condensed Consolidated Statements of Stockholders’ Deficit (Unaudited)</w:t>
            </w:r>
          </w:p>
        </w:tc>
        <w:tc>
          <w:tcPr>
            <w:tcW w:w="2520" w:type="dxa"/>
            <w:vAlign w:val="bottom"/>
            <w:gridSpan w:val="3"/>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563C1"/>
              </w:rPr>
              <w:t>Condensed Consolidated Statements of Cash Flows (Unaudited)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720" w:type="dxa"/>
            <w:vAlign w:val="bottom"/>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563C1"/>
              </w:rPr>
              <w:t>Notes to Condensed Consolidated Financial Statements (Unaudited)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720" w:type="dxa"/>
            <w:vAlign w:val="bottom"/>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563C1"/>
            </w:tcBorders>
            <w:gridSpan w:val="14"/>
          </w:tcPr>
          <w:p>
            <w:pPr>
              <w:spacing w:after="0"/>
              <w:rPr>
                <w:sz w:val="20"/>
                <w:szCs w:val="20"/>
                <w:color w:val="auto"/>
              </w:rPr>
            </w:pPr>
            <w:r>
              <w:rPr>
                <w:rFonts w:ascii="Arial" w:cs="Arial" w:eastAsia="Arial" w:hAnsi="Arial"/>
                <w:sz w:val="18"/>
                <w:szCs w:val="18"/>
                <w:color w:val="0563C1"/>
                <w:w w:val="99"/>
              </w:rPr>
              <w:t>Management’s Discussion and Analysis of Financial Condition and Results of Operations</w:t>
            </w:r>
          </w:p>
        </w:tc>
        <w:tc>
          <w:tcPr>
            <w:tcW w:w="1300" w:type="dxa"/>
            <w:vAlign w:val="bottom"/>
            <w:gridSpan w:val="2"/>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563C1"/>
            </w:tcBorders>
            <w:gridSpan w:val="9"/>
          </w:tcPr>
          <w:p>
            <w:pPr>
              <w:spacing w:after="0"/>
              <w:rPr>
                <w:sz w:val="20"/>
                <w:szCs w:val="20"/>
                <w:color w:val="auto"/>
              </w:rPr>
            </w:pPr>
            <w:r>
              <w:rPr>
                <w:rFonts w:ascii="Arial" w:cs="Arial" w:eastAsia="Arial" w:hAnsi="Arial"/>
                <w:sz w:val="18"/>
                <w:szCs w:val="18"/>
                <w:color w:val="0563C1"/>
                <w:w w:val="99"/>
              </w:rPr>
              <w:t>Quantitative and Qualitative Disclosures About Market Risk</w:t>
            </w:r>
          </w:p>
        </w:tc>
        <w:tc>
          <w:tcPr>
            <w:tcW w:w="3660" w:type="dxa"/>
            <w:vAlign w:val="bottom"/>
            <w:gridSpan w:val="7"/>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563C1"/>
            </w:tcBorders>
            <w:gridSpan w:val="6"/>
          </w:tcPr>
          <w:p>
            <w:pPr>
              <w:spacing w:after="0"/>
              <w:rPr>
                <w:sz w:val="20"/>
                <w:szCs w:val="20"/>
                <w:color w:val="auto"/>
              </w:rPr>
            </w:pPr>
            <w:r>
              <w:rPr>
                <w:rFonts w:ascii="Arial" w:cs="Arial" w:eastAsia="Arial" w:hAnsi="Arial"/>
                <w:sz w:val="18"/>
                <w:szCs w:val="18"/>
                <w:color w:val="0563C1"/>
                <w:w w:val="99"/>
              </w:rPr>
              <w:t>Controls and Procedures</w:t>
            </w:r>
          </w:p>
        </w:tc>
        <w:tc>
          <w:tcPr>
            <w:tcW w:w="6380" w:type="dxa"/>
            <w:vAlign w:val="bottom"/>
            <w:gridSpan w:val="10"/>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563C1"/>
            </w:tcBorders>
            <w:gridSpan w:val="5"/>
          </w:tcPr>
          <w:p>
            <w:pPr>
              <w:spacing w:after="0"/>
              <w:rPr>
                <w:sz w:val="20"/>
                <w:szCs w:val="20"/>
                <w:color w:val="auto"/>
              </w:rPr>
            </w:pPr>
            <w:r>
              <w:rPr>
                <w:rFonts w:ascii="Arial" w:cs="Arial" w:eastAsia="Arial" w:hAnsi="Arial"/>
                <w:sz w:val="18"/>
                <w:szCs w:val="18"/>
                <w:b w:val="1"/>
                <w:bCs w:val="1"/>
                <w:color w:val="0563C1"/>
                <w:w w:val="98"/>
              </w:rPr>
              <w:t>OTHER INFORMATION</w:t>
            </w:r>
          </w:p>
        </w:tc>
        <w:tc>
          <w:tcPr>
            <w:tcW w:w="6440" w:type="dxa"/>
            <w:vAlign w:val="bottom"/>
            <w:gridSpan w:val="11"/>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563C1"/>
            </w:tcBorders>
            <w:gridSpan w:val="3"/>
          </w:tcPr>
          <w:p>
            <w:pPr>
              <w:spacing w:after="0"/>
              <w:rPr>
                <w:sz w:val="20"/>
                <w:szCs w:val="20"/>
                <w:color w:val="auto"/>
              </w:rPr>
            </w:pPr>
            <w:r>
              <w:rPr>
                <w:rFonts w:ascii="Arial" w:cs="Arial" w:eastAsia="Arial" w:hAnsi="Arial"/>
                <w:sz w:val="18"/>
                <w:szCs w:val="18"/>
                <w:color w:val="0563C1"/>
                <w:w w:val="99"/>
              </w:rPr>
              <w:t>Legal Proceedings</w:t>
            </w:r>
          </w:p>
        </w:tc>
        <w:tc>
          <w:tcPr>
            <w:tcW w:w="6880" w:type="dxa"/>
            <w:vAlign w:val="bottom"/>
            <w:gridSpan w:val="13"/>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97"/>
              </w:rPr>
              <w:t>Risk Factors</w:t>
            </w:r>
          </w:p>
        </w:tc>
        <w:tc>
          <w:tcPr>
            <w:tcW w:w="7380" w:type="dxa"/>
            <w:vAlign w:val="bottom"/>
            <w:gridSpan w:val="14"/>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563C1"/>
            </w:tcBorders>
            <w:gridSpan w:val="10"/>
          </w:tcPr>
          <w:p>
            <w:pPr>
              <w:spacing w:after="0"/>
              <w:rPr>
                <w:sz w:val="20"/>
                <w:szCs w:val="20"/>
                <w:color w:val="auto"/>
              </w:rPr>
            </w:pPr>
            <w:r>
              <w:rPr>
                <w:rFonts w:ascii="Arial" w:cs="Arial" w:eastAsia="Arial" w:hAnsi="Arial"/>
                <w:sz w:val="18"/>
                <w:szCs w:val="18"/>
                <w:color w:val="0563C1"/>
                <w:w w:val="99"/>
              </w:rPr>
              <w:t>Unregistered Sales of Equity Securities and Use of Proceeds</w:t>
            </w:r>
          </w:p>
        </w:tc>
        <w:tc>
          <w:tcPr>
            <w:tcW w:w="3520" w:type="dxa"/>
            <w:vAlign w:val="bottom"/>
            <w:gridSpan w:val="6"/>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16"/>
          </w:tcPr>
          <w:p>
            <w:pPr>
              <w:spacing w:after="0"/>
              <w:rPr>
                <w:sz w:val="20"/>
                <w:szCs w:val="20"/>
                <w:color w:val="auto"/>
              </w:rPr>
            </w:pPr>
            <w:r>
              <w:rPr>
                <w:rFonts w:ascii="Arial" w:cs="Arial" w:eastAsia="Arial" w:hAnsi="Arial"/>
                <w:sz w:val="18"/>
                <w:szCs w:val="18"/>
                <w:color w:val="0563C1"/>
              </w:rPr>
              <w:t>Exhibits</w:t>
            </w:r>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98"/>
              </w:rPr>
              <w:t>Exhibit Index</w:t>
            </w:r>
          </w:p>
        </w:tc>
        <w:tc>
          <w:tcPr>
            <w:tcW w:w="100" w:type="dxa"/>
            <w:vAlign w:val="bottom"/>
          </w:tcPr>
          <w:p>
            <w:pPr>
              <w:spacing w:after="0"/>
              <w:rPr>
                <w:sz w:val="20"/>
                <w:szCs w:val="20"/>
                <w:color w:val="auto"/>
              </w:rPr>
            </w:pPr>
          </w:p>
        </w:tc>
        <w:tc>
          <w:tcPr>
            <w:tcW w:w="620" w:type="dxa"/>
            <w:vAlign w:val="bottom"/>
            <w:tcBorders>
              <w:top w:val="single" w:sz="8" w:color="0563C1"/>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563C1"/>
              </w:rPr>
              <w:t>Signatures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86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9"/>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E74B5"/>
        </w:rPr>
        <w:t>CAUTIONARY STATEMENT REGARDING FORWARD-LOOKING STATEMENTS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w:t>
      </w:r>
    </w:p>
    <w:p>
      <w:pPr>
        <w:spacing w:after="0" w:line="18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most recent Form 10-K of Greenidge Generation Holdings Inc. (“Greenidge,” the “Company,” “we,” “us,” or “our”) filed with the Securities and Exchange Commission (“SEC”) and in this Quarterly Report on Form 10-Q, as well as those described from time to time in our future reports filed with the SEC, which should be reviewed carefully. Please consider Greenidge’s forward-looking statements in light of those risks.</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7"/>
                <w:szCs w:val="17"/>
                <w:color w:val="auto"/>
              </w:rPr>
            </w:pPr>
          </w:p>
        </w:tc>
        <w:tc>
          <w:tcPr>
            <w:tcW w:w="1460" w:type="dxa"/>
            <w:vAlign w:val="bottom"/>
          </w:tcPr>
          <w:p>
            <w:pPr>
              <w:jc w:val="right"/>
              <w:ind w:right="7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1"/>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Digital assets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Prepaid expenses and current other assets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Emissions and carbon offset credits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receivable</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26,803</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30,299</w:t>
            </w:r>
          </w:p>
        </w:tc>
        <w:tc>
          <w:tcPr>
            <w:tcW w:w="0" w:type="dxa"/>
            <w:vAlign w:val="bottom"/>
          </w:tcPr>
          <w:p>
            <w:pPr>
              <w:spacing w:after="0"/>
              <w:rPr>
                <w:sz w:val="1"/>
                <w:szCs w:val="1"/>
                <w:color w:val="auto"/>
              </w:rPr>
            </w:pPr>
          </w:p>
        </w:tc>
      </w:tr>
      <w:tr>
        <w:trPr>
          <w:trHeight w:val="229"/>
        </w:trPr>
        <w:tc>
          <w:tcPr>
            <w:tcW w:w="794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assets held for sale</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23"/>
        </w:trPr>
        <w:tc>
          <w:tcPr>
            <w:tcW w:w="79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64,855</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9"/>
        </w:trPr>
        <w:tc>
          <w:tcPr>
            <w:tcW w:w="7940" w:type="dxa"/>
            <w:vAlign w:val="bottom"/>
          </w:tcPr>
          <w:p>
            <w:pPr>
              <w:ind w:left="180"/>
              <w:spacing w:after="0"/>
              <w:rPr>
                <w:sz w:val="20"/>
                <w:szCs w:val="20"/>
                <w:color w:val="auto"/>
              </w:rPr>
            </w:pPr>
            <w:r>
              <w:rPr>
                <w:rFonts w:ascii="Arial" w:cs="Arial" w:eastAsia="Arial" w:hAnsi="Arial"/>
                <w:sz w:val="18"/>
                <w:szCs w:val="18"/>
                <w:color w:val="auto"/>
              </w:rPr>
              <w:t>Accrued emissions expense</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Short-term environmental liability</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29"/>
        </w:trPr>
        <w:tc>
          <w:tcPr>
            <w:tcW w:w="7940" w:type="dxa"/>
            <w:vAlign w:val="bottom"/>
          </w:tcPr>
          <w:p>
            <w:pPr>
              <w:ind w:left="180"/>
              <w:spacing w:after="0"/>
              <w:rPr>
                <w:sz w:val="20"/>
                <w:szCs w:val="20"/>
                <w:color w:val="auto"/>
              </w:rPr>
            </w:pPr>
            <w:r>
              <w:rPr>
                <w:rFonts w:ascii="Arial" w:cs="Arial" w:eastAsia="Arial" w:hAnsi="Arial"/>
                <w:sz w:val="18"/>
                <w:szCs w:val="18"/>
                <w:color w:val="auto"/>
              </w:rPr>
              <w:t>Long-term debt, current portion</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payables</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19,339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Long-term debt, net of deferred financing fees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liabilities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30,432</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120,609</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Preferred stock, par value $0.0001, 20,000,000 shares authorized, none outstanding</w:t>
            </w: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794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Common stock, par value $0.0001, 500,000,000 shares authorized, 15,679,417 and 13,025,627</w:t>
            </w: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and outstanding as of September 30, 2025 and December 31, 2024, respectively</w:t>
            </w:r>
          </w:p>
        </w:tc>
        <w:tc>
          <w:tcPr>
            <w:tcW w:w="120" w:type="dxa"/>
            <w:vAlign w:val="bottom"/>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338,052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334,330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(389,737)</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deficit</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(55,754)</w:t>
            </w:r>
          </w:p>
        </w:tc>
        <w:tc>
          <w:tcPr>
            <w:tcW w:w="0" w:type="dxa"/>
            <w:vAlign w:val="bottom"/>
          </w:tcPr>
          <w:p>
            <w:pPr>
              <w:spacing w:after="0"/>
              <w:rPr>
                <w:sz w:val="1"/>
                <w:szCs w:val="1"/>
                <w:color w:val="auto"/>
              </w:rPr>
            </w:pPr>
          </w:p>
        </w:tc>
      </w:tr>
      <w:tr>
        <w:trPr>
          <w:trHeight w:val="223"/>
        </w:trPr>
        <w:tc>
          <w:tcPr>
            <w:tcW w:w="7940" w:type="dxa"/>
            <w:vAlign w:val="bottom"/>
          </w:tcPr>
          <w:p>
            <w:pPr>
              <w:ind w:left="44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ind w:left="4100"/>
        <w:spacing w:after="0"/>
        <w:rPr>
          <w:sz w:val="20"/>
          <w:szCs w:val="20"/>
          <w:color w:val="auto"/>
        </w:rPr>
      </w:pPr>
      <w:r>
        <w:rPr>
          <w:rFonts w:ascii="Arial" w:cs="Arial" w:eastAsia="Arial" w:hAnsi="Arial"/>
          <w:sz w:val="22"/>
          <w:szCs w:val="22"/>
          <w:b w:val="1"/>
          <w:bCs w:val="1"/>
          <w:color w:val="auto"/>
        </w:rPr>
        <w:t>Greenidge Generation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8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5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Datacenter hosting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6,304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18,169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22,582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Cryptocurrency mining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15,041</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Power and capacity</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44,741</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 datacenter hosting (exclusive of depreciation)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Cost of revenue - cryptocurrency mining (exclusive of depreciation)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 power and capacity (exclusive of depreciation)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13,199</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digital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(Gain) loss on sale of assets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insurance proceeds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52,803</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54,879</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Change in fair value of warrant asset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troubled debt restructuring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Loss on liquidation of subsidiary</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 before income taxes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income taxes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4"/>
        </w:trPr>
        <w:tc>
          <w:tcPr>
            <w:tcW w:w="5740" w:type="dxa"/>
            <w:vAlign w:val="bottom"/>
          </w:tcPr>
          <w:p>
            <w:pPr>
              <w:ind w:left="20"/>
              <w:spacing w:after="0" w:line="183" w:lineRule="exact"/>
              <w:rPr>
                <w:sz w:val="20"/>
                <w:szCs w:val="20"/>
                <w:color w:val="auto"/>
              </w:rPr>
            </w:pPr>
            <w:r>
              <w:rPr>
                <w:rFonts w:ascii="Arial" w:cs="Arial" w:eastAsia="Arial" w:hAnsi="Arial"/>
                <w:sz w:val="18"/>
                <w:szCs w:val="18"/>
                <w:color w:val="auto"/>
              </w:rPr>
              <w:t>Reclassification of foreign currency translation adjustment realized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740" w:type="dxa"/>
            <w:vAlign w:val="bottom"/>
          </w:tcPr>
          <w:p>
            <w:pPr>
              <w:ind w:left="20"/>
              <w:spacing w:after="0"/>
              <w:rPr>
                <w:sz w:val="20"/>
                <w:szCs w:val="20"/>
                <w:color w:val="auto"/>
              </w:rPr>
            </w:pPr>
            <w:r>
              <w:rPr>
                <w:rFonts w:ascii="Arial" w:cs="Arial" w:eastAsia="Arial" w:hAnsi="Arial"/>
                <w:sz w:val="18"/>
                <w:szCs w:val="18"/>
                <w:color w:val="auto"/>
              </w:rPr>
              <w:t>upon liquidation of foreign subsidiary</w:t>
            </w:r>
          </w:p>
        </w:tc>
        <w:tc>
          <w:tcPr>
            <w:tcW w:w="12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share: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jc w:val="center"/>
        <w:ind w:right="-519"/>
        <w:spacing w:after="0"/>
        <w:rPr>
          <w:sz w:val="20"/>
          <w:szCs w:val="20"/>
          <w:color w:val="auto"/>
        </w:rPr>
      </w:pPr>
      <w:r>
        <w:rPr>
          <w:rFonts w:ascii="Arial" w:cs="Arial" w:eastAsia="Arial" w:hAnsi="Arial"/>
          <w:sz w:val="22"/>
          <w:szCs w:val="22"/>
          <w:b w:val="1"/>
          <w:bCs w:val="1"/>
          <w:color w:val="auto"/>
        </w:rPr>
        <w:t>Greenidge Generation Holdings Inc.</w:t>
      </w:r>
    </w:p>
    <w:p>
      <w:pPr>
        <w:spacing w:after="0" w:line="1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00" w:type="dxa"/>
            <w:vAlign w:val="bottom"/>
          </w:tcPr>
          <w:p>
            <w:pPr>
              <w:spacing w:after="0"/>
              <w:rPr>
                <w:sz w:val="14"/>
                <w:szCs w:val="14"/>
                <w:color w:val="auto"/>
              </w:rPr>
            </w:pPr>
          </w:p>
        </w:tc>
        <w:tc>
          <w:tcPr>
            <w:tcW w:w="1460" w:type="dxa"/>
            <w:vAlign w:val="bottom"/>
            <w:gridSpan w:val="3"/>
          </w:tcPr>
          <w:p>
            <w:pPr>
              <w:jc w:val="right"/>
              <w:ind w:right="51"/>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Subscription</w:t>
            </w:r>
          </w:p>
        </w:tc>
        <w:tc>
          <w:tcPr>
            <w:tcW w:w="940" w:type="dxa"/>
            <w:vAlign w:val="bottom"/>
            <w:gridSpan w:val="3"/>
          </w:tcPr>
          <w:p>
            <w:pPr>
              <w:ind w:left="60"/>
              <w:spacing w:after="0"/>
              <w:rPr>
                <w:sz w:val="20"/>
                <w:szCs w:val="20"/>
                <w:color w:val="auto"/>
              </w:rPr>
            </w:pPr>
            <w:r>
              <w:rPr>
                <w:rFonts w:ascii="Arial" w:cs="Arial" w:eastAsia="Arial" w:hAnsi="Arial"/>
                <w:sz w:val="13"/>
                <w:szCs w:val="13"/>
                <w:b w:val="1"/>
                <w:bCs w:val="1"/>
                <w:color w:val="auto"/>
              </w:rPr>
              <w:t>Cumulative</w:t>
            </w:r>
          </w:p>
        </w:tc>
        <w:tc>
          <w:tcPr>
            <w:tcW w:w="1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 - In</w:t>
            </w: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940" w:type="dxa"/>
            <w:vAlign w:val="bottom"/>
            <w:gridSpan w:val="3"/>
            <w:vMerge w:val="restart"/>
          </w:tcPr>
          <w:p>
            <w:pPr>
              <w:ind w:left="80"/>
              <w:spacing w:after="0" w:line="95" w:lineRule="exact"/>
              <w:rPr>
                <w:sz w:val="20"/>
                <w:szCs w:val="20"/>
                <w:color w:val="auto"/>
              </w:rPr>
            </w:pPr>
            <w:r>
              <w:rPr>
                <w:rFonts w:ascii="Arial" w:cs="Arial" w:eastAsia="Arial" w:hAnsi="Arial"/>
                <w:sz w:val="10"/>
                <w:szCs w:val="10"/>
                <w:b w:val="1"/>
                <w:bCs w:val="1"/>
                <w:color w:val="auto"/>
              </w:rPr>
              <w:t>Translation</w:t>
            </w: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04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line="20" w:lineRule="exact"/>
              <w:rPr>
                <w:sz w:val="1"/>
                <w:szCs w:val="1"/>
                <w:color w:val="auto"/>
              </w:rPr>
            </w:pPr>
          </w:p>
        </w:tc>
        <w:tc>
          <w:tcPr>
            <w:tcW w:w="64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4"/>
        </w:trPr>
        <w:tc>
          <w:tcPr>
            <w:tcW w:w="34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Receivable</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Adjustment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13,025,627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(389,737)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(55,754)</w:t>
            </w:r>
          </w:p>
        </w:tc>
        <w:tc>
          <w:tcPr>
            <w:tcW w:w="0" w:type="dxa"/>
            <w:vAlign w:val="bottom"/>
          </w:tcPr>
          <w:p>
            <w:pPr>
              <w:spacing w:after="0"/>
              <w:rPr>
                <w:sz w:val="1"/>
                <w:szCs w:val="1"/>
                <w:color w:val="auto"/>
              </w:rPr>
            </w:pPr>
          </w:p>
        </w:tc>
      </w:tr>
      <w:tr>
        <w:trPr>
          <w:trHeight w:val="198"/>
        </w:trPr>
        <w:tc>
          <w:tcPr>
            <w:tcW w:w="34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shares in connection with Equity Interest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752,742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Agreement</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4"/>
                <w:szCs w:val="14"/>
                <w:color w:val="auto"/>
              </w:rPr>
              <w:t>Restricted shares award issuance</w:t>
            </w:r>
          </w:p>
        </w:tc>
        <w:tc>
          <w:tcPr>
            <w:tcW w:w="1040" w:type="dxa"/>
            <w:vAlign w:val="bottom"/>
          </w:tcPr>
          <w:p>
            <w:pPr>
              <w:jc w:val="right"/>
              <w:spacing w:after="0"/>
              <w:rPr>
                <w:sz w:val="20"/>
                <w:szCs w:val="20"/>
                <w:color w:val="auto"/>
              </w:rPr>
            </w:pPr>
            <w:r>
              <w:rPr>
                <w:rFonts w:ascii="Arial" w:cs="Arial" w:eastAsia="Arial" w:hAnsi="Arial"/>
                <w:sz w:val="14"/>
                <w:szCs w:val="14"/>
                <w:color w:val="auto"/>
              </w:rPr>
              <w:t>303,549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shares in connection with Debt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643,456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Exchange Agreements</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Arial" w:cs="Arial" w:eastAsia="Arial" w:hAnsi="Arial"/>
                <w:sz w:val="14"/>
                <w:szCs w:val="14"/>
                <w:color w:val="auto"/>
              </w:rPr>
              <w:t>Reclassification of foreign currency translation</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
              <w:spacing w:after="0" w:line="149" w:lineRule="exact"/>
              <w:rPr>
                <w:sz w:val="20"/>
                <w:szCs w:val="20"/>
                <w:color w:val="auto"/>
              </w:rPr>
            </w:pPr>
            <w:r>
              <w:rPr>
                <w:rFonts w:ascii="Arial" w:cs="Arial" w:eastAsia="Arial" w:hAnsi="Arial"/>
                <w:sz w:val="14"/>
                <w:szCs w:val="14"/>
                <w:color w:val="auto"/>
              </w:rPr>
              <w:t>adjustment realized upon liquidation of foreign</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color w:val="auto"/>
              </w:rPr>
              <w:t>subsidiary</w:t>
            </w:r>
          </w:p>
        </w:tc>
        <w:tc>
          <w:tcPr>
            <w:tcW w:w="11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(5,564)</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1040" w:type="dxa"/>
            <w:vAlign w:val="bottom"/>
          </w:tcPr>
          <w:p>
            <w:pPr>
              <w:jc w:val="right"/>
              <w:spacing w:after="0"/>
              <w:rPr>
                <w:sz w:val="20"/>
                <w:szCs w:val="20"/>
                <w:color w:val="auto"/>
              </w:rPr>
            </w:pPr>
            <w:r>
              <w:rPr>
                <w:rFonts w:ascii="Arial" w:cs="Arial" w:eastAsia="Arial" w:hAnsi="Arial"/>
                <w:sz w:val="14"/>
                <w:szCs w:val="14"/>
                <w:color w:val="auto"/>
              </w:rPr>
              <w:t>14,725,374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337,058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(395,301)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(58,242)</w:t>
            </w:r>
          </w:p>
        </w:tc>
        <w:tc>
          <w:tcPr>
            <w:tcW w:w="0" w:type="dxa"/>
            <w:vAlign w:val="bottom"/>
          </w:tcPr>
          <w:p>
            <w:pPr>
              <w:spacing w:after="0"/>
              <w:rPr>
                <w:sz w:val="1"/>
                <w:szCs w:val="1"/>
                <w:color w:val="auto"/>
              </w:rPr>
            </w:pPr>
          </w:p>
        </w:tc>
      </w:tr>
      <w:tr>
        <w:trPr>
          <w:trHeight w:val="204"/>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in connection with Equity Interest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90,954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color w:val="auto"/>
              </w:rPr>
              <w:t>Payment Agreement</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award issuance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in connection with Debt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599,000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color w:val="auto"/>
              </w:rPr>
              <w:t>Exchange Agreements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1040" w:type="dxa"/>
            <w:vAlign w:val="bottom"/>
          </w:tcPr>
          <w:p>
            <w:pPr>
              <w:jc w:val="right"/>
              <w:spacing w:after="0"/>
              <w:rPr>
                <w:sz w:val="20"/>
                <w:szCs w:val="20"/>
                <w:color w:val="auto"/>
              </w:rPr>
            </w:pPr>
            <w:r>
              <w:rPr>
                <w:rFonts w:ascii="Arial" w:cs="Arial" w:eastAsia="Arial" w:hAnsi="Arial"/>
                <w:sz w:val="14"/>
                <w:szCs w:val="14"/>
                <w:color w:val="auto"/>
              </w:rPr>
              <w:t>15,499,135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338,202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(399,419)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(61,216)</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benefit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in connection with Equity Interest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131,937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color w:val="auto"/>
              </w:rPr>
              <w:t>Payment Agreement</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award issuance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11,958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11,958</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15,679,417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338,052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(387,461)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(49,408)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989" w:right="8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2024</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9,131,252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319,992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(369,974)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(51,024)</w:t>
            </w: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Arial" w:cs="Arial" w:eastAsia="Arial" w:hAnsi="Arial"/>
                <w:sz w:val="14"/>
                <w:szCs w:val="14"/>
                <w:color w:val="auto"/>
              </w:rPr>
              <w:t>Cumulative-effect adjustment due to the adoption of</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5"/>
        </w:trPr>
        <w:tc>
          <w:tcPr>
            <w:tcW w:w="3420" w:type="dxa"/>
            <w:vAlign w:val="bottom"/>
          </w:tcPr>
          <w:p>
            <w:pPr>
              <w:ind w:left="20"/>
              <w:spacing w:after="0"/>
              <w:rPr>
                <w:sz w:val="20"/>
                <w:szCs w:val="20"/>
                <w:color w:val="auto"/>
              </w:rPr>
            </w:pPr>
            <w:r>
              <w:rPr>
                <w:rFonts w:ascii="Arial" w:cs="Arial" w:eastAsia="Arial" w:hAnsi="Arial"/>
                <w:sz w:val="14"/>
                <w:szCs w:val="14"/>
                <w:color w:val="auto"/>
              </w:rPr>
              <w:t>ASU 2023-08</w:t>
            </w: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in connection with Securities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450,300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85"/>
        </w:trPr>
        <w:tc>
          <w:tcPr>
            <w:tcW w:w="3420" w:type="dxa"/>
            <w:vAlign w:val="bottom"/>
          </w:tcPr>
          <w:p>
            <w:pPr>
              <w:ind w:left="20"/>
              <w:spacing w:after="0"/>
              <w:rPr>
                <w:sz w:val="20"/>
                <w:szCs w:val="20"/>
                <w:color w:val="auto"/>
              </w:rPr>
            </w:pPr>
            <w:r>
              <w:rPr>
                <w:rFonts w:ascii="Arial" w:cs="Arial" w:eastAsia="Arial" w:hAnsi="Arial"/>
                <w:sz w:val="14"/>
                <w:szCs w:val="14"/>
                <w:color w:val="auto"/>
              </w:rPr>
              <w:t>Purchase Agreement</w:t>
            </w: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shares, net of issuance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98"/>
        </w:trPr>
        <w:tc>
          <w:tcPr>
            <w:tcW w:w="3420" w:type="dxa"/>
            <w:vAlign w:val="bottom"/>
          </w:tcPr>
          <w:p>
            <w:pPr>
              <w:ind w:left="20"/>
              <w:spacing w:after="0"/>
              <w:rPr>
                <w:sz w:val="20"/>
                <w:szCs w:val="20"/>
                <w:color w:val="auto"/>
              </w:rPr>
            </w:pPr>
            <w:r>
              <w:rPr>
                <w:rFonts w:ascii="Arial" w:cs="Arial" w:eastAsia="Arial" w:hAnsi="Arial"/>
                <w:sz w:val="14"/>
                <w:szCs w:val="14"/>
                <w:color w:val="auto"/>
              </w:rPr>
              <w:t>Restricted shares award issuance</w:t>
            </w:r>
          </w:p>
        </w:tc>
        <w:tc>
          <w:tcPr>
            <w:tcW w:w="1060" w:type="dxa"/>
            <w:vAlign w:val="bottom"/>
          </w:tcPr>
          <w:p>
            <w:pPr>
              <w:jc w:val="right"/>
              <w:spacing w:after="0"/>
              <w:rPr>
                <w:sz w:val="20"/>
                <w:szCs w:val="20"/>
                <w:color w:val="auto"/>
              </w:rPr>
            </w:pPr>
            <w:r>
              <w:rPr>
                <w:rFonts w:ascii="Arial" w:cs="Arial" w:eastAsia="Arial" w:hAnsi="Arial"/>
                <w:sz w:val="14"/>
                <w:szCs w:val="14"/>
                <w:color w:val="auto"/>
              </w:rPr>
              <w:t>159,357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4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warrants in connection with Securities</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Agreement</w:t>
            </w:r>
          </w:p>
        </w:tc>
        <w:tc>
          <w:tcPr>
            <w:tcW w:w="11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195"/>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1060" w:type="dxa"/>
            <w:vAlign w:val="bottom"/>
          </w:tcPr>
          <w:p>
            <w:pPr>
              <w:jc w:val="right"/>
              <w:spacing w:after="0"/>
              <w:rPr>
                <w:sz w:val="20"/>
                <w:szCs w:val="20"/>
                <w:color w:val="auto"/>
              </w:rPr>
            </w:pPr>
            <w:r>
              <w:rPr>
                <w:rFonts w:ascii="Arial" w:cs="Arial" w:eastAsia="Arial" w:hAnsi="Arial"/>
                <w:sz w:val="14"/>
                <w:szCs w:val="14"/>
                <w:color w:val="auto"/>
              </w:rPr>
              <w:t>9,786,178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327,401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(373,896)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(46,842)</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Arial" w:cs="Arial" w:eastAsia="Arial" w:hAnsi="Arial"/>
                <w:sz w:val="14"/>
                <w:szCs w:val="14"/>
                <w:color w:val="auto"/>
              </w:rPr>
              <w:t>Common stock issuance upon exercise of prefunded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810,205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420" w:type="dxa"/>
            <w:vAlign w:val="bottom"/>
          </w:tcPr>
          <w:p>
            <w:pPr>
              <w:ind w:left="20"/>
              <w:spacing w:after="0"/>
              <w:rPr>
                <w:sz w:val="20"/>
                <w:szCs w:val="20"/>
                <w:color w:val="auto"/>
              </w:rPr>
            </w:pPr>
            <w:r>
              <w:rPr>
                <w:rFonts w:ascii="Arial" w:cs="Arial" w:eastAsia="Arial" w:hAnsi="Arial"/>
                <w:sz w:val="14"/>
                <w:szCs w:val="14"/>
                <w:color w:val="auto"/>
              </w:rPr>
              <w:t>warrant</w:t>
            </w: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award issuance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(5,568)</w:t>
            </w:r>
          </w:p>
        </w:tc>
        <w:tc>
          <w:tcPr>
            <w:tcW w:w="0" w:type="dxa"/>
            <w:vAlign w:val="bottom"/>
          </w:tcPr>
          <w:p>
            <w:pPr>
              <w:spacing w:after="0"/>
              <w:rPr>
                <w:sz w:val="1"/>
                <w:szCs w:val="1"/>
                <w:color w:val="auto"/>
              </w:rPr>
            </w:pPr>
          </w:p>
        </w:tc>
      </w:tr>
      <w:tr>
        <w:trPr>
          <w:trHeight w:val="200"/>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10,623,987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327,712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(52,099)</w:t>
            </w:r>
          </w:p>
        </w:tc>
        <w:tc>
          <w:tcPr>
            <w:tcW w:w="0" w:type="dxa"/>
            <w:vAlign w:val="bottom"/>
          </w:tcPr>
          <w:p>
            <w:pPr>
              <w:spacing w:after="0"/>
              <w:rPr>
                <w:sz w:val="1"/>
                <w:szCs w:val="1"/>
                <w:color w:val="auto"/>
              </w:rPr>
            </w:pPr>
          </w:p>
        </w:tc>
      </w:tr>
      <w:tr>
        <w:trPr>
          <w:trHeight w:val="198"/>
        </w:trPr>
        <w:tc>
          <w:tcPr>
            <w:tcW w:w="34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57"/>
        </w:trPr>
        <w:tc>
          <w:tcPr>
            <w:tcW w:w="34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Restricted shares award issuance, net of</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47,350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(6,367)</w:t>
            </w:r>
          </w:p>
        </w:tc>
        <w:tc>
          <w:tcPr>
            <w:tcW w:w="0" w:type="dxa"/>
            <w:vAlign w:val="bottom"/>
          </w:tcPr>
          <w:p>
            <w:pPr>
              <w:spacing w:after="0"/>
              <w:rPr>
                <w:sz w:val="1"/>
                <w:szCs w:val="1"/>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2024</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10,671,337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328,129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(385,831)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(58,049)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2376805</wp:posOffset>
            </wp:positionH>
            <wp:positionV relativeFrom="page">
              <wp:posOffset>551815</wp:posOffset>
            </wp:positionV>
            <wp:extent cx="463740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7405" cy="3429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65" w:right="8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auto"/>
        </w:rPr>
        <w:t>Greenidge Generation Holdings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73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 FROM OPERATIONS: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(15,879)</w:t>
            </w:r>
          </w:p>
        </w:tc>
      </w:tr>
      <w:tr>
        <w:trPr>
          <w:trHeight w:val="176"/>
        </w:trPr>
        <w:tc>
          <w:tcPr>
            <w:tcW w:w="7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reconcile net income (loss) from operations to net cash flow from</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9,909</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asset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Amortization of debt issuance costs (debt premium)</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380" w:type="dxa"/>
            <w:vAlign w:val="bottom"/>
          </w:tcPr>
          <w:p>
            <w:pPr>
              <w:ind w:left="340"/>
              <w:spacing w:after="0"/>
              <w:rPr>
                <w:sz w:val="20"/>
                <w:szCs w:val="20"/>
                <w:color w:val="auto"/>
              </w:rPr>
            </w:pPr>
            <w:r>
              <w:rPr>
                <w:rFonts w:ascii="Arial" w:cs="Arial" w:eastAsia="Arial" w:hAnsi="Arial"/>
                <w:sz w:val="18"/>
                <w:szCs w:val="18"/>
                <w:color w:val="auto"/>
              </w:rPr>
              <w:t>(Gain) loss on sale of assets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troubled debt restructuring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1,798</w:t>
            </w:r>
          </w:p>
        </w:tc>
      </w:tr>
      <w:tr>
        <w:trPr>
          <w:trHeight w:val="230"/>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digital assets production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(15,041)</w:t>
            </w:r>
          </w:p>
        </w:tc>
      </w:tr>
      <w:tr>
        <w:trPr>
          <w:trHeight w:val="229"/>
        </w:trPr>
        <w:tc>
          <w:tcPr>
            <w:tcW w:w="7380" w:type="dxa"/>
            <w:vAlign w:val="bottom"/>
          </w:tcPr>
          <w:p>
            <w:pPr>
              <w:ind w:left="340"/>
              <w:spacing w:after="0"/>
              <w:rPr>
                <w:sz w:val="20"/>
                <w:szCs w:val="20"/>
                <w:color w:val="auto"/>
              </w:rPr>
            </w:pPr>
            <w:r>
              <w:rPr>
                <w:rFonts w:ascii="Arial" w:cs="Arial" w:eastAsia="Arial" w:hAnsi="Arial"/>
                <w:sz w:val="18"/>
                <w:szCs w:val="18"/>
                <w:color w:val="auto"/>
              </w:rPr>
              <w:t>Proceeds from sale of digital assets</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11,141</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digital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Gain on insurance proceeds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liquidation of foreign subsidiary</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Emissions and carbon offset credits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Prepaids and other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Accrued emissions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(4,374)</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30"/>
        </w:trPr>
        <w:tc>
          <w:tcPr>
            <w:tcW w:w="7380" w:type="dxa"/>
            <w:vAlign w:val="bottom"/>
          </w:tcPr>
          <w:p>
            <w:pPr>
              <w:ind w:left="50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Related party payable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flow used for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w:t>
            </w:r>
          </w:p>
        </w:tc>
      </w:tr>
      <w:tr>
        <w:trPr>
          <w:trHeight w:val="221"/>
        </w:trPr>
        <w:tc>
          <w:tcPr>
            <w:tcW w:w="7380" w:type="dxa"/>
            <w:vAlign w:val="bottom"/>
          </w:tcPr>
          <w:p>
            <w:pPr>
              <w:ind w:left="20"/>
              <w:spacing w:after="0"/>
              <w:rPr>
                <w:sz w:val="20"/>
                <w:szCs w:val="20"/>
                <w:color w:val="auto"/>
              </w:rPr>
            </w:pPr>
            <w:r>
              <w:rPr>
                <w:rFonts w:ascii="Arial" w:cs="Arial" w:eastAsia="Arial" w:hAnsi="Arial"/>
                <w:sz w:val="18"/>
                <w:szCs w:val="18"/>
                <w:color w:val="auto"/>
              </w:rPr>
              <w:t>INVESTING ACTIVITIES FROM OPERATIONS: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2"/>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and deposits for property and equipment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Proceeds from sale of assets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insurance claim</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Proceeds from sale of digital assets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23"/>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flow provided by (used for)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r>
      <w:tr>
        <w:trPr>
          <w:trHeight w:val="221"/>
        </w:trPr>
        <w:tc>
          <w:tcPr>
            <w:tcW w:w="7380" w:type="dxa"/>
            <w:vAlign w:val="bottom"/>
          </w:tcPr>
          <w:p>
            <w:pPr>
              <w:ind w:left="20"/>
              <w:spacing w:after="0"/>
              <w:rPr>
                <w:sz w:val="20"/>
                <w:szCs w:val="20"/>
                <w:color w:val="auto"/>
              </w:rPr>
            </w:pPr>
            <w:r>
              <w:rPr>
                <w:rFonts w:ascii="Arial" w:cs="Arial" w:eastAsia="Arial" w:hAnsi="Arial"/>
                <w:sz w:val="18"/>
                <w:szCs w:val="18"/>
                <w:color w:val="auto"/>
              </w:rPr>
              <w:t>FINANCING ACTIVITIES FROM OPERATIONS: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2"/>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and pre-funded warrants</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debt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flow (used for) provided by financing activities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7,038</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 beginning of year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13,312</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 13 for supplemental cash flow information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40" w:top="773" w:right="8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Greenidge Generation Holdings Inc., together with its subsidiaries (collectively, “Greenidge” or the “Company”) owns and operates a vertically integrated cryptocurrency datacenter and power generation company. The Company owns and operates facilities in Torrey, New York (the “New York Facility”) and Columbia, Mississippi (the “Mississippi Facility”), the latter of which was sold during the quarter ended September 30, 2025 (see Note 4, </w:t>
      </w:r>
      <w:r>
        <w:rPr>
          <w:rFonts w:ascii="Arial" w:cs="Arial" w:eastAsia="Arial" w:hAnsi="Arial"/>
          <w:sz w:val="18"/>
          <w:szCs w:val="18"/>
          <w:i w:val="1"/>
          <w:iCs w:val="1"/>
          <w:color w:val="auto"/>
        </w:rPr>
        <w:t>"Property and Equipment"</w:t>
      </w:r>
      <w:r>
        <w:rPr>
          <w:rFonts w:ascii="Arial" w:cs="Arial" w:eastAsia="Arial" w:hAnsi="Arial"/>
          <w:sz w:val="18"/>
          <w:szCs w:val="18"/>
          <w:color w:val="auto"/>
        </w:rPr>
        <w:t>), and operates a facility under a lease in Underwood, North Dakota (the “North Dakota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which may be operated at the Company’s sites or at third-party hosting sites through short-term hosting agreements. The Company also owns and operates a 106 megawatt (“MW”) power facility that is connected to the New York Independent System Operator (“NYISO”) power grid. In addition to the electricity used “behind the meter” by the New York datacenter, the Company sells electricity to NYISO at all times when its power plant is running and increases or decreases the amount of electricity sold based on prevailing prices in the wholesale electricity market and demand for electricity.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HELD FOR SALE</w:t>
      </w:r>
    </w:p>
    <w:p>
      <w:pPr>
        <w:spacing w:after="0" w:line="20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On November 27, 2024, the Company entered into a definitive agreement to sell the South Carolina Land to Data Journey LLC (“Data Journey”) for $12.1 million in cash and an 8% profit participation in the property’s planned data center. On August 24, 2025, the Company received written notice of termination from Data Journey. Upon termination, the Company recognized a gain of $0.4 million as a result of a forfeited deposit by Data Journey. The Company continues to market the property for sale. The South Carolina Land, with a carrying value of $7.2 million, is presented as long-term assets held for sale as of September 30, 2025 and December 31, 2024.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Condensed Consolidated Financial Statements</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2025 or for any future interim period. The unaudited interim condensed consolidated financial statements do not include all of the information and notes required by United States Generally Accepted Accounting Principles for complete financial statements.</w:t>
      </w:r>
    </w:p>
    <w:p>
      <w:pPr>
        <w:spacing w:after="0" w:line="1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accompanying condensed consolidated financial statements should be read in conjunction with the notes to the consolidated financial statements of the Company in its 2024 Annual Report on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00" w:lineRule="exact"/>
        <w:rPr>
          <w:sz w:val="20"/>
          <w:szCs w:val="20"/>
          <w:color w:val="auto"/>
        </w:rPr>
      </w:pPr>
    </w:p>
    <w:p>
      <w:pPr>
        <w:spacing w:after="0" w:line="239"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In accordance with the Financial Accounting Standards Board (“FASB”) Accounting Standards Update (“ASU”) 2014-15, Presentation of Financial Statements – Going Concern, the Company’s management evaluated whether there are conditions or events that pose risk associated with the Company's ability to continue as a going concern within one year after the date these financial statements have been issued. The Company’s consolidated financial statements have been prepared assuming that it will continue as a going concern. The Company has historically incurred operating losses and negative cash flows from operations and as of September 30, 2025 has a working capital deficit of $ 2.7 million. These losses were primarily the result of challenging bitcoin mining economics beginning in 2022, driven by increased energy prices and a significant decline in bitcoin prices. While the recovery in bitcoin prices and a reduction in energy costs have since improved mining economics, these gains have been partially offset by increased mining difficulty and by the April 19, 2024 halving, which reduced miner rewards. The Company’s projected operating cash flows are not sufficient to meet the existing debt obligations,</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specifically the remaining $38.4 million aggregate principal amount of the Company's 8.50% Senior Notes due in October 2026 (the “Senior Notes”), which mature on October 31, 2026. The potential inability to meet this debt service obligation raises substantial doubt as to the</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Company’s ability to continue as a going concern. As a result, the Company continues to explore a number of potential strategic alternatives with respect to the Company’s corporate or capital structure.</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9" w:name="page10"/>
    <w:bookmarkEnd w:id="9"/>
    <w:p>
      <w:pPr>
        <w:ind w:right="140"/>
        <w:spacing w:after="0" w:line="251" w:lineRule="auto"/>
        <w:rPr>
          <w:sz w:val="20"/>
          <w:szCs w:val="20"/>
          <w:color w:val="auto"/>
        </w:rPr>
      </w:pPr>
      <w:r>
        <w:rPr>
          <w:rFonts w:ascii="Arial" w:cs="Arial" w:eastAsia="Arial" w:hAnsi="Arial"/>
          <w:sz w:val="17"/>
          <w:szCs w:val="17"/>
          <w:color w:val="auto"/>
        </w:rPr>
        <w:t>Management has taken certain actions since 2022 to improve the Company’s liquidity, including, among other things, the sale of assets, the proceeds of which were used to extinguish $80.3 million of debt, and significant restructuring activities to materially reduce selling, general</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and administrative expenses. In addition to these actions taken in prior years, the Company completed the following transactions in 2025 to continue to improve its liquidity position:</w:t>
      </w:r>
    </w:p>
    <w:p>
      <w:pPr>
        <w:spacing w:after="0" w:line="167" w:lineRule="exact"/>
        <w:rPr>
          <w:sz w:val="20"/>
          <w:szCs w:val="20"/>
          <w:color w:val="auto"/>
        </w:rPr>
      </w:pPr>
    </w:p>
    <w:p>
      <w:pPr>
        <w:ind w:left="660" w:right="40" w:hanging="328"/>
        <w:spacing w:after="0" w:line="245"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On August 1, 2025, the Company entered into an Asset Purchase Agreement (the “APA”) and certain ancillary agreements to sell the Mississippi Facility, other than the adjoining 5.6 acre tract of land with over 73,000 square feet of industrial warehouse space, for $4.2 million in cash, which closed on September 16, 2025 (see Note 4, </w:t>
      </w:r>
      <w:r>
        <w:rPr>
          <w:rFonts w:ascii="Arial" w:cs="Arial" w:eastAsia="Arial" w:hAnsi="Arial"/>
          <w:sz w:val="18"/>
          <w:szCs w:val="18"/>
          <w:i w:val="1"/>
          <w:iCs w:val="1"/>
          <w:color w:val="auto"/>
        </w:rPr>
        <w:t>"Property and Equipment"</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jc w:val="both"/>
        <w:ind w:left="660" w:right="120" w:hanging="328"/>
        <w:spacing w:after="0" w:line="23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nine months ended September 30, 2025, the Company entered into privately negotiated exchange agreements, pursuant to which it issued an aggregate of 1,242,456 shares of the Company’s Class A common stock and paid an aggregate of $2.7 million in cash in exchange for $10.5 million in aggregate principal amount of the Senior Notes.</w:t>
      </w:r>
    </w:p>
    <w:p>
      <w:pPr>
        <w:spacing w:after="0" w:line="180" w:lineRule="exact"/>
        <w:rPr>
          <w:rFonts w:ascii="Arial" w:cs="Arial" w:eastAsia="Arial" w:hAnsi="Arial"/>
          <w:sz w:val="18"/>
          <w:szCs w:val="18"/>
          <w:color w:val="auto"/>
        </w:rPr>
      </w:pPr>
    </w:p>
    <w:p>
      <w:pPr>
        <w:ind w:left="660" w:right="120" w:hanging="328"/>
        <w:spacing w:after="0" w:line="231"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three months ended September 30, 2025, the Company completed two separate tender/exchange offers (the “Tender/Exchange Offers”), each of which consisted of separate concurrent offers to purchase for cash, or issue a new series of 10.00% Senior Notes due 2030 (the “New Notes”) in exchange for, its outstanding 8.50% Senior Notes. Pursuant to the Tender/Exchange Offers, the Company purchased $14.7 million in aggregate principal amount of the Senior Notes for a total of $5.5 million in cash and exchanged $4.9 million in aggregate principal amount of the Senior Notes for $2.2 million in aggregate principal amount of the New Notes.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conclusion of the privately negotiated exchanges and Tender/Exchange Offers, the Company had $38.4 million and $4.1 million</w:t>
      </w:r>
    </w:p>
    <w:p>
      <w:pPr>
        <w:spacing w:after="0" w:line="25"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 xml:space="preserve">in aggregate principal amount and capitalized contractual interest payments, respectively, in connection with the Senior Notes outstanding. The Senior Notes mature on October 31, 2026 and payment of all outstanding principal shall be due on October 31, 2026. See Note 5, </w:t>
      </w:r>
      <w:r>
        <w:rPr>
          <w:rFonts w:ascii="Arial" w:cs="Arial" w:eastAsia="Arial" w:hAnsi="Arial"/>
          <w:sz w:val="18"/>
          <w:szCs w:val="18"/>
          <w:i w:val="1"/>
          <w:iCs w:val="1"/>
          <w:color w:val="auto"/>
        </w:rPr>
        <w:t xml:space="preserve">“Debt” </w:t>
      </w:r>
      <w:r>
        <w:rPr>
          <w:rFonts w:ascii="Arial" w:cs="Arial" w:eastAsia="Arial" w:hAnsi="Arial"/>
          <w:sz w:val="18"/>
          <w:szCs w:val="18"/>
          <w:color w:val="auto"/>
        </w:rPr>
        <w:t>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is considering various items to address the Senior Notes obligations, </w:t>
      </w:r>
      <w:r>
        <w:rPr>
          <w:rFonts w:ascii="Arial" w:cs="Arial" w:eastAsia="Arial" w:hAnsi="Arial"/>
          <w:sz w:val="18"/>
          <w:szCs w:val="18"/>
          <w:color w:val="auto"/>
          <w:strike w:val="1"/>
        </w:rPr>
        <w:t>i</w:t>
      </w:r>
      <w:r>
        <w:rPr>
          <w:rFonts w:ascii="Arial" w:cs="Arial" w:eastAsia="Arial" w:hAnsi="Arial"/>
          <w:sz w:val="18"/>
          <w:szCs w:val="18"/>
          <w:color w:val="auto"/>
        </w:rPr>
        <w:t>ncluding:</w:t>
      </w:r>
    </w:p>
    <w:p>
      <w:pPr>
        <w:spacing w:after="0" w:line="212" w:lineRule="exact"/>
        <w:rPr>
          <w:sz w:val="20"/>
          <w:szCs w:val="20"/>
          <w:color w:val="auto"/>
        </w:rPr>
      </w:pPr>
    </w:p>
    <w:p>
      <w:pPr>
        <w:ind w:left="660" w:right="20" w:hanging="328"/>
        <w:spacing w:after="0" w:line="233"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retirement or purchase of its outstanding debt through cash purchases and/or exchanges for equity or other debt, which may be conducted in open-market purchases, privately negotiated transactions or other transactions. Such repurchases or exchanges, if any will be upon such terms and at such prices as the Company may determine, and will depend on prevailing market conditions, liquidity requirements, contractual restrictions and other factors. The amounts involved may be material and to the extent equity is used, dilutive.</w:t>
      </w:r>
    </w:p>
    <w:p>
      <w:pPr>
        <w:spacing w:after="0" w:line="16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Issuances of new debt to refinance or fully settle the existing Senior Notes.</w:t>
      </w:r>
    </w:p>
    <w:p>
      <w:pPr>
        <w:spacing w:after="0" w:line="198" w:lineRule="exact"/>
        <w:rPr>
          <w:rFonts w:ascii="Arial" w:cs="Arial" w:eastAsia="Arial" w:hAnsi="Arial"/>
          <w:sz w:val="18"/>
          <w:szCs w:val="18"/>
          <w:color w:val="auto"/>
        </w:rPr>
      </w:pPr>
    </w:p>
    <w:p>
      <w:pPr>
        <w:ind w:left="660" w:right="40" w:hanging="328"/>
        <w:spacing w:after="0" w:line="256"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of assets, including the remaining 152 acres in Spartanburg, South Carolina (the “South Carolina Land”, which remains held for sale, and the Company anticipates completing a sale of the land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flow projections indicate that it will have sufficient liquidity to meet its cash requirements through the third quarter of</w:t>
      </w:r>
    </w:p>
    <w:p>
      <w:pPr>
        <w:spacing w:after="0" w:line="3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2026 but will not be sufficient to meet the debt payments due in October 2026. The Company’s operating cash flows are highly dependent on bitcoin mining economics commonly measured by hashprice. Increases in the price of bitcoin benefit the Company by increasing the amount</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of revenue earned for each bitcoin earned. Increases in the difficulty to mine a bitcoin adversely affect the Company by decreasing the number of bitcoin earned. Increases in the costs of electricity, natural gas, and emissions credits adversely affect the Company by increasing operating costs. Depending on the Company’s assumptions regarding the bitcoin hashprice and energy price inputs, the estimates of the amounts of required liquidity vary significantly. There can be no assurances that these assumptions used to estimate liquidity requirements</w:t>
      </w:r>
    </w:p>
    <w:p>
      <w:pPr>
        <w:spacing w:after="0" w:line="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and future cash burn rates will be correct, and the ability to be predictive is uncertain due to the limited ability to predict future bitcoin and energy prices. Additionally, the inability to procure and comply with the permits and licenses required to operate the Company’s facilities, including the Title V Air Permit for the New York Facility, which is subject to a Stipulation of Settlement but may still face legal challenges by third party environmental groups (see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may have an adverse impact on its ability to meet cash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flow forecasts.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Given the uncertainty regarding the Company’s financial condition over the next 12 months from the date these financial statements were issued, the Company has concluded that there is substantial doubt about its ability to continue as a going concern for a reasonable period of time. The consolidated financial statements do not include any adjustments that might result from the outcome of this uncertainty.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Company’s consolidated financial statements included in the Company’s Annual Report filed on Form 10-K for the year ended December 31, 2024.</w:t>
      </w:r>
    </w:p>
    <w:p>
      <w:pPr>
        <w:spacing w:after="0" w:line="15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There have been no material changes to the significant accounting policies, except as described herein, for the nine months ended September 30,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Company accounts for leases in accordance with ASC 842. The Company determines if an arrangement is or contains a lease at contract inception. The Company recognizes a right-of-use (“ROU”) asset and a lease liability at the lease commencement date. The lease liability is initially measured at the present value of the unpaid lease payments at the lease commencement date and is subsequently measured at amortized cost using the effective interest method. As the rate implicit in the lease is not readily available, the Company uses its incremental borrowing rate based on the information available at the commencement date in determining the present value of lease payments.</w:t>
      </w:r>
    </w:p>
    <w:p>
      <w:pPr>
        <w:spacing w:after="0" w:line="17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leases property for its corporate office and land used in cryptocurrency mining operations. Leases are categorized into two asset classes: corporate real estate and land - cryptocurrency mining. For the corporate real estate asset class, the Company has elected to combine lease and non-lease components. The Company excluded short-term leases having initial terms of 12 months or less as an accounting policy election and recognizes rent expense on a straight-line basis over the lease term.</w:t>
      </w:r>
    </w:p>
    <w:p>
      <w:pPr>
        <w:spacing w:after="0" w:line="1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Lease payments included in the measurement of the lease liability comprise fixed payments. Variable lease payment amounts, such as increases in lease payments based on changes in usage, are not included in the measurement of the ROU asset or lease liability and are expensed as incurred.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evaluating the impact the adoption of this ASU will have on its consolidated financial statements and disclosures.</w:t>
      </w:r>
    </w:p>
    <w:p>
      <w:pPr>
        <w:spacing w:after="0" w:line="17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ASU 2024-03 requires additional disclosures of certain costs and expenses specified in the updated guidance to provide enhanced transparency into aggregate amounts presented on the Consolidated Statements of Operations and Comprehensive Loss. In January 2025, the FASB issued ASU 2025-01, Income Statement—Reporting Comprehensive Income—Expense Disaggregation Disclosures (Subtopic 220-40), which clarifies the effective date of ASU 2024-03. This guidance becomes effective for annual periods beginning after December 15, 2026, and interim periods within annual periods beginning after December 15, 2027. Early adoption is permitted. The Company is currently evaluating this guidance to determine the impact on its disclosures.</w:t>
      </w:r>
    </w:p>
    <w:p>
      <w:pPr>
        <w:spacing w:after="0" w:line="17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November 2024, the FASB issued ASU 2024-04, Debt—Debt with Conversion and Other Options (Subtopic 470-20): Induced Conversions of Convertible Debt Instruments. ASU 2024-04 clarifies the requirements for determining whether certain settlements of convertible debt instruments should be accounted as an induced conversion. This guidance becomes effective for annual reporting periods beginning after December 15, 2025, and interim periods within those annual reporting periods. Early adoption is permitted. The Company expects this guidance will have no impact to its consolidated financial statements.</w:t>
      </w:r>
    </w:p>
    <w:p>
      <w:pPr>
        <w:spacing w:after="0" w:line="19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September 2025, the FASB issued ASU 2025-06, Intangibles—Goodwill and Other—Internal-Use Software (Subtopic 350-40): Targeted Improvements to the Accounting for Internal-Use Software. The amendments in this update remove references to software development stages and require entities to start capitalizing software costs when management has authorized and committed to funding the software project and it is probable that the project will be completed and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ind w:right="420"/>
        <w:spacing w:after="0" w:line="262" w:lineRule="auto"/>
        <w:rPr>
          <w:sz w:val="20"/>
          <w:szCs w:val="20"/>
          <w:color w:val="auto"/>
        </w:rPr>
      </w:pPr>
      <w:r>
        <w:rPr>
          <w:rFonts w:ascii="Arial" w:cs="Arial" w:eastAsia="Arial" w:hAnsi="Arial"/>
          <w:sz w:val="18"/>
          <w:szCs w:val="18"/>
          <w:color w:val="auto"/>
        </w:rPr>
        <w:t>the software will be used to perform the function intended. The update permits entities to apply the guidance on a prospective transition approach, modified transition approach or retrospective transition approach. The update is effective for all entities for annual periods beginning December 15, 2027, and for interim periods within those annual periods. Early adoption is permitted as of the beginning of an annual reporting period. The Company expects this guidance will have no impact to its consolidated financial statements.</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2025, the FASB issued ASU 2025-07, Derivatives and Hedging (Topic 815) and Revenue from Contracts with Customers (Topic 606): Derivatives Scope Refinements and Scope Clarification for Share-Based Noncash Consideration from a Customer in a Revenue Contract. The amendments in this guidance narrow the scope to exclude certain contracts from derivative accounting in Topic 815 and clarify the accounting for share-based noncash consideration from a customer in Topic 606. The amendments in this update are effective for all entities for annual periods beginning after December 15, 2026, and interim periods within those annual periods. Early adoption is permitted. The Company expects this guidance will have no impact to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In March 2025, the FASB issued ASU No. 2025-02, Liabilities (Subtopic 405): Amendments to SEC Paragraphs Pursuant to SEC Staff Accounting Bulletin No. 122, which amends the Accounting Standards Codification to remove the text of SEC Staff Bulletin (“SAB”) 121: Accounting for Obligations to Safeguard Crypto-Assets an Entity Holds for its Platform Users as it has been rescinded by the issuance of SAB 122. ASU 2025-02 is effective immediately and has not had an impact on the Company’s financial statements.</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May 2025, the FASB issued ASU No. 2025-03, Business Combinations (Topic 805) and Consolidation (Topic 810): Determining the Accounting Acquirer in the Acquisition of a Variable Interest Entity, which provides updated guidance on identifying the accounting acquirer in an acquisition transaction effected primarily by exchanging equity interests when the legal acquiree is a variable interest entity that meets the definition of a business. The updates in this ASU are effective for all entities for annual reporting periods beginning after December 15, 2026, and interim periods within those annual periods. The updates require entities to apply the new guidance prospectively to any acquisition transaction that occurs after the initial application date. Early adoption is permitted as of the beginning of an interim or annual reporting period. The adoption of ASU 2025-03 did not have an effect on the Company’s financial statements.</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2025, the FASB issued ASU No. 2025-04, Compensation—Stock Compensation (Topic 718) and Revenue from Contracts with Customers (Topic 606): Clarifications to Share-Based Consideration Payable to a Customer. The updates in this ASU include revising the definition of the term “performance condition” for share-based compensation payable to customers, elimination of the policy election permitting a grantor to account for forfeitures as they occur, clarification that share-based consideration encompasses the same instruments as share-based payment arrangements but the grantee does not need to be the supplier of goods or services to the grantor, and clarification that a grantor is required to assess the probability that an award will vest using only the guidance in Topic 718. The updates in this ASU are effective for all entities for annual reporting periods beginning after December 15, 2026, and interim periods with those annual periods. Early adoption is permitted. Either modified retrospective or a retrospective basis is permitted when applying the updated guidance upon adoption. The adoption of ASU 2025-04 did not have an effect on the Company’s financial statements.</w:t>
      </w:r>
    </w:p>
    <w:p>
      <w:pPr>
        <w:spacing w:after="0" w:line="181"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In July 2025, the FASB issued ASU 2025-05, Financial Instruments—Credit Losses (Topic 326): Measurement of Credit Losses for Accounts Receivable and Contract Assets. The amendments in this ASU provide all entities with a practical expedient allowing entities to assume that current conditions as of the balance sheet date do not change for the remaining life of the asset when estimating expected credit losses.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Entities, other than a public business entity, that elect the practical expedient are permitted to make an accounting policy election to consider collection activity after the balance sheet date when estimating expected credit losses. This guidance becomes effective for annual periods beginning after December 15, 2025, and interim periods within those annual reporting periods. Early adoption is permitted in both interim and annual reporting periods in which financial statements have not yet been issued or made available for issuances. Application of the amendments are to be made prospectively. The Company elected to early adopt the guidance in this update effective July 1, 2025. The adoption of ASU 2025-05 did not have an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at September 30, 2025 and December 31,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4"/>
                <w:szCs w:val="14"/>
                <w:b w:val="1"/>
                <w:bCs w:val="1"/>
                <w:color w:val="auto"/>
              </w:rPr>
              <w:t>Estimated Useful</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880" w:type="dxa"/>
            <w:vAlign w:val="bottom"/>
            <w:vMerge w:val="continue"/>
            <w:shd w:val="clear" w:color="auto" w:fill="CCEEFF"/>
          </w:tcPr>
          <w:p>
            <w:pPr>
              <w:spacing w:after="0"/>
              <w:rPr>
                <w:sz w:val="16"/>
                <w:szCs w:val="16"/>
                <w:color w:val="auto"/>
              </w:rPr>
            </w:pP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Plant infrastructure</w:t>
            </w:r>
          </w:p>
        </w:tc>
        <w:tc>
          <w:tcPr>
            <w:tcW w:w="3740" w:type="dxa"/>
            <w:vAlign w:val="bottom"/>
          </w:tcPr>
          <w:p>
            <w:pPr>
              <w:jc w:val="center"/>
              <w:ind w:left="1955"/>
              <w:spacing w:after="0"/>
              <w:rPr>
                <w:sz w:val="20"/>
                <w:szCs w:val="20"/>
                <w:color w:val="auto"/>
              </w:rPr>
            </w:pPr>
            <w:r>
              <w:rPr>
                <w:rFonts w:ascii="Arial" w:cs="Arial" w:eastAsia="Arial" w:hAnsi="Arial"/>
                <w:sz w:val="18"/>
                <w:szCs w:val="18"/>
                <w:color w:val="auto"/>
              </w:rPr>
              <w:t>10 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Miners</w:t>
            </w: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8"/>
                <w:szCs w:val="18"/>
                <w:color w:val="auto"/>
                <w:w w:val="98"/>
              </w:rPr>
              <w:t>3 years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Miner facility infrastructure</w:t>
            </w:r>
          </w:p>
        </w:tc>
        <w:tc>
          <w:tcPr>
            <w:tcW w:w="3740" w:type="dxa"/>
            <w:vAlign w:val="bottom"/>
          </w:tcPr>
          <w:p>
            <w:pPr>
              <w:jc w:val="center"/>
              <w:ind w:left="1955"/>
              <w:spacing w:after="0"/>
              <w:rPr>
                <w:sz w:val="20"/>
                <w:szCs w:val="20"/>
                <w:color w:val="auto"/>
              </w:rPr>
            </w:pPr>
            <w:r>
              <w:rPr>
                <w:rFonts w:ascii="Arial" w:cs="Arial" w:eastAsia="Arial" w:hAnsi="Arial"/>
                <w:sz w:val="18"/>
                <w:szCs w:val="18"/>
                <w:color w:val="auto"/>
              </w:rPr>
              <w:t>10 years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3740" w:type="dxa"/>
            <w:vAlign w:val="bottom"/>
          </w:tcPr>
          <w:p>
            <w:pPr>
              <w:jc w:val="center"/>
              <w:ind w:left="1955"/>
              <w:spacing w:after="0"/>
              <w:rPr>
                <w:sz w:val="20"/>
                <w:szCs w:val="20"/>
                <w:color w:val="auto"/>
              </w:rPr>
            </w:pPr>
            <w:r>
              <w:rPr>
                <w:rFonts w:ascii="Arial" w:cs="Arial" w:eastAsia="Arial" w:hAnsi="Arial"/>
                <w:sz w:val="18"/>
                <w:szCs w:val="18"/>
                <w:color w:val="auto"/>
                <w:w w:val="98"/>
              </w:rPr>
              <w:t>5 years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3740" w:type="dxa"/>
            <w:vAlign w:val="bottom"/>
            <w:shd w:val="clear" w:color="auto" w:fill="CCEEFF"/>
          </w:tcPr>
          <w:p>
            <w:pPr>
              <w:jc w:val="center"/>
              <w:ind w:left="1955"/>
              <w:spacing w:after="0"/>
              <w:rPr>
                <w:sz w:val="20"/>
                <w:szCs w:val="20"/>
                <w:color w:val="auto"/>
              </w:rPr>
            </w:pPr>
            <w:r>
              <w:rPr>
                <w:rFonts w:ascii="Arial" w:cs="Arial" w:eastAsia="Arial" w:hAnsi="Arial"/>
                <w:sz w:val="18"/>
                <w:szCs w:val="18"/>
                <w:color w:val="auto"/>
                <w:w w:val="99"/>
              </w:rPr>
              <w:t>N/A</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54,762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7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Total depreciation expense was $3.0 million and $3.4 million for the three months ended September 30, 2025 and 2024, respectively, and $9.3 million and $9.9 million for the nine months ended September 30, 2025 and 2024,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Mississippi Facility</w:t>
      </w:r>
    </w:p>
    <w:p>
      <w:pPr>
        <w:spacing w:after="0" w:line="22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On April 10, 2024, the Company closed on the purchase of a parcel of land containing approximately 12 acres located in Columbus, Mississippi, including over 73,000 square feet of industrial warehouse space, from a subsidiary of Motus Pivot Inc., a portfolio company of Atlas. The purchase price was $ 1.45 million, which the Company financed with cash on hand. On August 1, 2025, Greenidge Mississippi LLC, a wholly owned subsidiary of the Company, entered into the APA and certain ancillary agreements to sell certain assets comprising the Mississippi Facility, other than the adjoining 5.6 acre tract of land with over 73,000 square feet of industrial warehouse space, and miners to US Digital Mining Mississippi LLC, a wholly owned subsidiary of LM Funding America, Inc. (collectively, the “Buyer”), for an aggregate purchase price of $4.2 million in cash. The sale of the facility closed on September 16, 2025 and a gain of $1.8 million was recognized on the sale.</w:t>
      </w:r>
    </w:p>
    <w:p>
      <w:pPr>
        <w:spacing w:after="0" w:line="180"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On May 28, 2025, the Company closed on the purchase of a parcel of land containing approximately 34 acres located in Columbus, Mississippi for a purchase price of $0.2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Equipment</w:t>
      </w:r>
    </w:p>
    <w:p>
      <w:pPr>
        <w:spacing w:after="0" w:line="23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nine months ended September 30, 2025, Greenidge sold construction in process assets with a carrying value of $0.8 million for proceeds of $0.7 million resulting in a loss on the sale of assets of $0.1 million. No construction in process assets were sold in the three months ended September 30,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There were no triggering events identified as of September 30, 2025.</w:t>
      </w:r>
    </w:p>
    <w:p>
      <w:pPr>
        <w:spacing w:after="0" w:line="17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There were no impairment charges during the three months ended September 30, 2024. The Company recognized an impairment charge of $0.2 million of property and equipment, net, during the nine months ended September 30, 2024. The impairment was related to miners no longer viable for operation.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debt agreements as of September 30, 2025 and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54"/>
        </w:trPr>
        <w:tc>
          <w:tcPr>
            <w:tcW w:w="2200" w:type="dxa"/>
            <w:vAlign w:val="bottom"/>
            <w:vMerge w:val="restart"/>
            <w:shd w:val="clear" w:color="auto" w:fill="CCEEFF"/>
          </w:tcPr>
          <w:p>
            <w:pPr>
              <w:ind w:left="1000"/>
              <w:spacing w:after="0"/>
              <w:rPr>
                <w:sz w:val="20"/>
                <w:szCs w:val="20"/>
                <w:color w:val="auto"/>
              </w:rPr>
            </w:pPr>
            <w:r>
              <w:rPr>
                <w:rFonts w:ascii="Arial" w:cs="Arial" w:eastAsia="Arial" w:hAnsi="Arial"/>
                <w:sz w:val="14"/>
                <w:szCs w:val="14"/>
                <w:b w:val="1"/>
                <w:bCs w:val="1"/>
                <w:color w:val="auto"/>
              </w:rPr>
              <w:t>Note</w:t>
            </w:r>
          </w:p>
        </w:tc>
        <w:tc>
          <w:tcPr>
            <w:tcW w:w="1760" w:type="dxa"/>
            <w:vAlign w:val="bottom"/>
            <w:vMerge w:val="restart"/>
            <w:shd w:val="clear" w:color="auto" w:fill="CCEEFF"/>
          </w:tcPr>
          <w:p>
            <w:pPr>
              <w:ind w:left="680"/>
              <w:spacing w:after="0"/>
              <w:rPr>
                <w:sz w:val="20"/>
                <w:szCs w:val="20"/>
                <w:color w:val="auto"/>
              </w:rPr>
            </w:pPr>
            <w:r>
              <w:rPr>
                <w:rFonts w:ascii="Arial" w:cs="Arial" w:eastAsia="Arial" w:hAnsi="Arial"/>
                <w:sz w:val="14"/>
                <w:szCs w:val="14"/>
                <w:b w:val="1"/>
                <w:bCs w:val="1"/>
                <w:color w:val="auto"/>
              </w:rPr>
              <w:t>Loan Date</w:t>
            </w:r>
          </w:p>
        </w:tc>
        <w:tc>
          <w:tcPr>
            <w:tcW w:w="1880" w:type="dxa"/>
            <w:vAlign w:val="bottom"/>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Maturity Date</w:t>
            </w:r>
          </w:p>
        </w:tc>
        <w:tc>
          <w:tcPr>
            <w:tcW w:w="1440" w:type="dxa"/>
            <w:vAlign w:val="bottom"/>
            <w:shd w:val="clear" w:color="auto" w:fill="CCEEFF"/>
          </w:tcPr>
          <w:p>
            <w:pPr>
              <w:jc w:val="right"/>
              <w:ind w:right="399"/>
              <w:spacing w:after="0" w:line="154" w:lineRule="exact"/>
              <w:rPr>
                <w:sz w:val="20"/>
                <w:szCs w:val="20"/>
                <w:color w:val="auto"/>
              </w:rPr>
            </w:pPr>
            <w:r>
              <w:rPr>
                <w:rFonts w:ascii="Arial" w:cs="Arial" w:eastAsia="Arial" w:hAnsi="Arial"/>
                <w:sz w:val="14"/>
                <w:szCs w:val="14"/>
                <w:b w:val="1"/>
                <w:bCs w:val="1"/>
                <w:color w:val="auto"/>
              </w:rPr>
              <w:t>Interest</w:t>
            </w:r>
          </w:p>
        </w:tc>
        <w:tc>
          <w:tcPr>
            <w:tcW w:w="14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Amount Financed</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54"/>
              <w:spacing w:after="0" w:line="154"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200" w:type="dxa"/>
            <w:vAlign w:val="bottom"/>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1880" w:type="dxa"/>
            <w:vAlign w:val="bottom"/>
            <w:vMerge w:val="continue"/>
            <w:shd w:val="clear" w:color="auto" w:fill="CCEEFF"/>
          </w:tcPr>
          <w:p>
            <w:pPr>
              <w:spacing w:after="0"/>
              <w:rPr>
                <w:sz w:val="16"/>
                <w:szCs w:val="16"/>
                <w:color w:val="auto"/>
              </w:rPr>
            </w:pPr>
          </w:p>
        </w:tc>
        <w:tc>
          <w:tcPr>
            <w:tcW w:w="1440" w:type="dxa"/>
            <w:vAlign w:val="bottom"/>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Rate</w:t>
            </w: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1760" w:type="dxa"/>
            <w:vAlign w:val="bottom"/>
          </w:tcPr>
          <w:p>
            <w:pPr>
              <w:ind w:left="220"/>
              <w:spacing w:after="0" w:line="176" w:lineRule="exact"/>
              <w:rPr>
                <w:sz w:val="20"/>
                <w:szCs w:val="20"/>
                <w:color w:val="auto"/>
              </w:rPr>
            </w:pPr>
            <w:r>
              <w:rPr>
                <w:rFonts w:ascii="Arial" w:cs="Arial" w:eastAsia="Arial" w:hAnsi="Arial"/>
                <w:sz w:val="18"/>
                <w:szCs w:val="18"/>
                <w:color w:val="auto"/>
              </w:rPr>
              <w:t>October</w:t>
            </w:r>
          </w:p>
        </w:tc>
        <w:tc>
          <w:tcPr>
            <w:tcW w:w="1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vMerge w:val="restart"/>
          </w:tcPr>
          <w:p>
            <w:pPr>
              <w:ind w:left="20"/>
              <w:spacing w:after="0"/>
              <w:rPr>
                <w:sz w:val="20"/>
                <w:szCs w:val="20"/>
                <w:color w:val="auto"/>
              </w:rPr>
            </w:pPr>
            <w:r>
              <w:rPr>
                <w:rFonts w:ascii="Arial" w:cs="Arial" w:eastAsia="Arial" w:hAnsi="Arial"/>
                <w:sz w:val="18"/>
                <w:szCs w:val="18"/>
                <w:color w:val="auto"/>
              </w:rPr>
              <w:t>Senior Unsecured Notes</w:t>
            </w:r>
          </w:p>
        </w:tc>
        <w:tc>
          <w:tcPr>
            <w:tcW w:w="1760" w:type="dxa"/>
            <w:vAlign w:val="bottom"/>
          </w:tcPr>
          <w:p>
            <w:pPr>
              <w:ind w:left="220"/>
              <w:spacing w:after="0" w:line="183" w:lineRule="exact"/>
              <w:rPr>
                <w:sz w:val="20"/>
                <w:szCs w:val="20"/>
                <w:color w:val="auto"/>
              </w:rPr>
            </w:pPr>
            <w:r>
              <w:rPr>
                <w:rFonts w:ascii="Arial" w:cs="Arial" w:eastAsia="Arial" w:hAnsi="Arial"/>
                <w:sz w:val="18"/>
                <w:szCs w:val="18"/>
                <w:color w:val="auto"/>
              </w:rPr>
              <w:t>2021/December</w:t>
            </w:r>
          </w:p>
        </w:tc>
        <w:tc>
          <w:tcPr>
            <w:tcW w:w="1880" w:type="dxa"/>
            <w:vAlign w:val="bottom"/>
            <w:vMerge w:val="restart"/>
          </w:tcPr>
          <w:p>
            <w:pPr>
              <w:ind w:left="220"/>
              <w:spacing w:after="0"/>
              <w:rPr>
                <w:sz w:val="20"/>
                <w:szCs w:val="20"/>
                <w:color w:val="auto"/>
              </w:rPr>
            </w:pPr>
            <w:r>
              <w:rPr>
                <w:rFonts w:ascii="Arial" w:cs="Arial" w:eastAsia="Arial" w:hAnsi="Arial"/>
                <w:sz w:val="18"/>
                <w:szCs w:val="18"/>
                <w:color w:val="auto"/>
              </w:rPr>
              <w:t>October 2026</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8.5 %</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72,200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42,491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68,541</w:t>
            </w:r>
          </w:p>
        </w:tc>
        <w:tc>
          <w:tcPr>
            <w:tcW w:w="0" w:type="dxa"/>
            <w:vAlign w:val="bottom"/>
          </w:tcPr>
          <w:p>
            <w:pPr>
              <w:spacing w:after="0"/>
              <w:rPr>
                <w:sz w:val="1"/>
                <w:szCs w:val="1"/>
                <w:color w:val="auto"/>
              </w:rPr>
            </w:pPr>
          </w:p>
        </w:tc>
      </w:tr>
      <w:tr>
        <w:trPr>
          <w:trHeight w:val="235"/>
        </w:trPr>
        <w:tc>
          <w:tcPr>
            <w:tcW w:w="2200" w:type="dxa"/>
            <w:vAlign w:val="bottom"/>
            <w:vMerge w:val="continue"/>
          </w:tcPr>
          <w:p>
            <w:pPr>
              <w:spacing w:after="0"/>
              <w:rPr>
                <w:sz w:val="20"/>
                <w:szCs w:val="20"/>
                <w:color w:val="auto"/>
              </w:rPr>
            </w:pPr>
          </w:p>
        </w:tc>
        <w:tc>
          <w:tcPr>
            <w:tcW w:w="1760" w:type="dxa"/>
            <w:vAlign w:val="bottom"/>
          </w:tcPr>
          <w:p>
            <w:pPr>
              <w:ind w:left="220"/>
              <w:spacing w:after="0"/>
              <w:rPr>
                <w:sz w:val="20"/>
                <w:szCs w:val="20"/>
                <w:color w:val="auto"/>
              </w:rPr>
            </w:pPr>
            <w:r>
              <w:rPr>
                <w:rFonts w:ascii="Arial" w:cs="Arial" w:eastAsia="Arial" w:hAnsi="Arial"/>
                <w:sz w:val="18"/>
                <w:szCs w:val="18"/>
                <w:color w:val="auto"/>
              </w:rPr>
              <w:t>2021</w:t>
            </w:r>
          </w:p>
        </w:tc>
        <w:tc>
          <w:tcPr>
            <w:tcW w:w="188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spacing w:after="0"/>
              <w:rPr>
                <w:sz w:val="15"/>
                <w:szCs w:val="15"/>
                <w:color w:val="auto"/>
              </w:rPr>
            </w:pPr>
          </w:p>
        </w:tc>
        <w:tc>
          <w:tcPr>
            <w:tcW w:w="1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July</w:t>
            </w:r>
          </w:p>
        </w:tc>
        <w:tc>
          <w:tcPr>
            <w:tcW w:w="18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76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2025/September</w:t>
            </w:r>
          </w:p>
        </w:tc>
        <w:tc>
          <w:tcPr>
            <w:tcW w:w="18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June 2030</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00" w:type="dxa"/>
            <w:vAlign w:val="bottom"/>
            <w:vMerge w:val="continue"/>
            <w:shd w:val="clear" w:color="auto" w:fill="CCEEFF"/>
          </w:tcPr>
          <w:p>
            <w:pPr>
              <w:spacing w:after="0"/>
              <w:rPr>
                <w:sz w:val="20"/>
                <w:szCs w:val="20"/>
                <w:color w:val="auto"/>
              </w:rPr>
            </w:pPr>
          </w:p>
        </w:tc>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1880" w:type="dxa"/>
            <w:vAlign w:val="bottom"/>
            <w:vMerge w:val="continue"/>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68,541</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Debt discount and issue costs</w:t>
            </w:r>
          </w:p>
        </w:tc>
        <w:tc>
          <w:tcPr>
            <w:tcW w:w="18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debt at book value</w:t>
            </w:r>
          </w:p>
        </w:tc>
        <w:tc>
          <w:tcPr>
            <w:tcW w:w="1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45,849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7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Long-term debt, net of current portion and deferred financing fees</w:t>
            </w: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Company incurred interest expense of $ 0.2 million and $1.8 million during the three months ended September 30, 2025 and 2024, respectively, detailed in the table below. The Company incurred interest expense of $3.9 million and $5.4 million during the nine months ended September 30, 2025 and 2024, respectively, detailed in the table below.</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table details our interest expense related to the Senior Notes and the Equity Interest Payment Agreement (defined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3160" w:type="dxa"/>
            <w:vAlign w:val="bottom"/>
            <w:gridSpan w:val="7"/>
          </w:tcPr>
          <w:p>
            <w:pPr>
              <w:ind w:left="140"/>
              <w:spacing w:after="0"/>
              <w:rPr>
                <w:sz w:val="20"/>
                <w:szCs w:val="20"/>
                <w:color w:val="auto"/>
              </w:rPr>
            </w:pPr>
            <w:r>
              <w:rPr>
                <w:rFonts w:ascii="Arial" w:cs="Arial" w:eastAsia="Arial" w:hAnsi="Arial"/>
                <w:sz w:val="18"/>
                <w:szCs w:val="18"/>
                <w:b w:val="1"/>
                <w:bCs w:val="1"/>
                <w:color w:val="auto"/>
              </w:rPr>
              <w:t>Three Months Ended September</w:t>
            </w:r>
          </w:p>
        </w:tc>
        <w:tc>
          <w:tcPr>
            <w:tcW w:w="30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5"/>
              </w:rPr>
              <w:t>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 on Senior Notes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(premium) discount and issuance costs</w:t>
            </w: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 on Senior Notes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on Equity Interest Payment Agreement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fourth quarter of 2021, the Company sold $72.2 million of the Senior Notes pursuant to the Company’s registration statement on Form S-1. Interest on the Senior Notes is payable quarterly in arrears on January 31, April 30, July 31 and October 31 of each year to the holders of record at the close of business on the immediately preceding January 15, April 15, July 15 and October 15, respectively. The Senior Notes are senior unsecured obligations of the Company and rank equal in right of payment with the Company’s existing and future senior unsecured indebtedness. The Senior Notes trade on the Nasdaq Global Select Market under the symbol “GREEL.”</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may redeem the Senior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Senior Notes, in whole, but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ind w:right="260"/>
        <w:spacing w:after="0" w:line="287" w:lineRule="auto"/>
        <w:rPr>
          <w:sz w:val="20"/>
          <w:szCs w:val="20"/>
          <w:color w:val="auto"/>
        </w:rPr>
      </w:pPr>
      <w:r>
        <w:rPr>
          <w:rFonts w:ascii="Arial" w:cs="Arial" w:eastAsia="Arial" w:hAnsi="Arial"/>
          <w:sz w:val="18"/>
          <w:szCs w:val="18"/>
          <w:color w:val="auto"/>
        </w:rPr>
        <w:t>not in part, at any time at its option, at a redemption price equal to 100.5% of the principal amount plus accrued and unpaid interest to, but not including, the date of redemption, upon the occurrence of certain change of control events.</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nine months ended September 30, 2025, the Company entered into privately negotiated exchange agreements, pursuant to which it issued an aggregate of 1,242,456 shares of the Company’s Class A common stock. The shares of the Company’s Class A common stock were issued with an aggregate fair value of $1.5 million, as well as cash payments totaling $2.7 million, in exchange for $10.5 million in aggregate principal amount of the Senior Notes.</w:t>
      </w:r>
    </w:p>
    <w:p>
      <w:pPr>
        <w:spacing w:after="0" w:line="163"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During the three months ended September 30, 2025, the Company completed the Tender/Exchange Offers. Pursuant to the Tender/Exchange Offer, the Company purchased $14.7 million in aggregate principal amount of the Senior Notes for a total of $5.5 million in</w:t>
      </w:r>
    </w:p>
    <w:p>
      <w:pPr>
        <w:spacing w:after="0" w:line="1"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cash and exchanged $4.9 million in aggregate principal amount of the Senior Notes for $2.2 million in aggregate principal amount of the New Notes.</w:t>
      </w:r>
    </w:p>
    <w:p>
      <w:pPr>
        <w:spacing w:after="0" w:line="167"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Company concluded the privately negotiated exchanges and Tender/Exchange Offers met the definition of a troubled debt restructuring under ASC 470-60, Troubled Debt Restructurings by Debtors, as the Company was experiencing financial difficulties and the creditors</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granted a concession. The adjusted carrying value of the Senior Notes and New Notes (collectively the “Notes”) exceeded the undiscounted cash flows of the Notes, and therefore, the Company wrote down the carrying value of the Notes to the undiscounted future cash flows of the Notes and recognized a gain on troubled debt restructuring of $11.5 million during the three and nine months ended September 30, 2025. Following the conclusion of the privately negotiated exchanges and Tender/Exchange Offers, the Company had $38.4 million and $4.1 million</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aggregate principal amount and capitalized contractual interest payments, respectively, in connection with the Senior Notes outstanding and $2.2 million and $1.1 million in aggregate principal amount and capitalized contractual interest payments, respectively, in connection with the New Notes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New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New Notes is payable quarterly in arrears on March 31, June 30, September 30 and December 31 of each year to the holders</w:t>
      </w:r>
    </w:p>
    <w:p>
      <w:pPr>
        <w:ind w:right="80"/>
        <w:spacing w:after="0" w:line="221" w:lineRule="auto"/>
        <w:rPr>
          <w:sz w:val="20"/>
          <w:szCs w:val="20"/>
          <w:color w:val="auto"/>
        </w:rPr>
      </w:pPr>
      <w:r>
        <w:rPr>
          <w:rFonts w:ascii="Arial" w:cs="Arial" w:eastAsia="Arial" w:hAnsi="Arial"/>
          <w:sz w:val="18"/>
          <w:szCs w:val="18"/>
          <w:color w:val="auto"/>
        </w:rPr>
        <w:t>of record at the close of business on the immediately preceding March 15, June 15, September 15 and December 15, respectively. The New Notes are senior unsecured obligations of the Company and rank equal in right of payment with the Company’s existing and future senior unsecured indebtedness.</w:t>
      </w:r>
    </w:p>
    <w:p>
      <w:pPr>
        <w:spacing w:after="0" w:line="193"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The Company may redeem the New Notes for cash in whole or in part at any time (i) on or after July 31, 2026 and prior to July 31, 2027, at a price equal to 102% of their principal amount, plus accrued and unpaid interest to, but excluding, the date of redemption, (ii) on or after July 31, 2027 and prior to July 31, 2028, at a price equal to 101% of their principal amount, plus accrued and unpaid interest to, but excluding, the</w:t>
      </w:r>
    </w:p>
    <w:p>
      <w:pPr>
        <w:spacing w:after="0" w:line="2" w:lineRule="exact"/>
        <w:rPr>
          <w:sz w:val="20"/>
          <w:szCs w:val="20"/>
          <w:color w:val="auto"/>
        </w:rPr>
      </w:pPr>
    </w:p>
    <w:p>
      <w:pPr>
        <w:ind w:right="40"/>
        <w:spacing w:after="0" w:line="208" w:lineRule="auto"/>
        <w:rPr>
          <w:sz w:val="20"/>
          <w:szCs w:val="20"/>
          <w:color w:val="auto"/>
        </w:rPr>
      </w:pPr>
      <w:r>
        <w:rPr>
          <w:rFonts w:ascii="Arial" w:cs="Arial" w:eastAsia="Arial" w:hAnsi="Arial"/>
          <w:sz w:val="18"/>
          <w:szCs w:val="18"/>
          <w:color w:val="auto"/>
        </w:rPr>
        <w:t>date of redemption, and (iii) on or after July 31, 2028 and prior to maturity, at a price equal to 100% of their principal amount, plus accrued and unpaid interest to, but excluding, the date of redemption. In addition, the Company may redeem the New Notes, in whole, but not in part, at any time at its option, at a redemption price equal to 100.5% of the principal amount plus accrued and unpaid interest to, but not including,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740" w:type="dxa"/>
            <w:vAlign w:val="bottom"/>
          </w:tcPr>
          <w:p>
            <w:pPr>
              <w:spacing w:after="0"/>
              <w:rPr>
                <w:sz w:val="20"/>
                <w:szCs w:val="20"/>
                <w:color w:val="auto"/>
              </w:rPr>
            </w:pPr>
            <w:r>
              <w:rPr>
                <w:rFonts w:ascii="Arial" w:cs="Arial" w:eastAsia="Arial" w:hAnsi="Arial"/>
                <w:sz w:val="18"/>
                <w:szCs w:val="18"/>
                <w:color w:val="auto"/>
              </w:rPr>
              <w:t>the date of redemption, upon the occurrence of certain change of control events.</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41"/>
        </w:trPr>
        <w:tc>
          <w:tcPr>
            <w:tcW w:w="9740" w:type="dxa"/>
            <w:vAlign w:val="bottom"/>
          </w:tcPr>
          <w:p>
            <w:pPr>
              <w:spacing w:after="0"/>
              <w:rPr>
                <w:sz w:val="20"/>
                <w:szCs w:val="20"/>
                <w:color w:val="auto"/>
              </w:rPr>
            </w:pPr>
            <w:r>
              <w:rPr>
                <w:rFonts w:ascii="Arial" w:cs="Arial" w:eastAsia="Arial" w:hAnsi="Arial"/>
                <w:sz w:val="18"/>
                <w:szCs w:val="18"/>
                <w:b w:val="1"/>
                <w:bCs w:val="1"/>
                <w:color w:val="auto"/>
              </w:rPr>
              <w:t>Minimum Future Principal Payments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1"/>
        </w:trPr>
        <w:tc>
          <w:tcPr>
            <w:tcW w:w="9740" w:type="dxa"/>
            <w:vAlign w:val="bottom"/>
          </w:tcPr>
          <w:p>
            <w:pPr>
              <w:spacing w:after="0"/>
              <w:rPr>
                <w:sz w:val="20"/>
                <w:szCs w:val="20"/>
                <w:color w:val="auto"/>
              </w:rPr>
            </w:pPr>
            <w:r>
              <w:rPr>
                <w:rFonts w:ascii="Arial" w:cs="Arial" w:eastAsia="Arial" w:hAnsi="Arial"/>
                <w:sz w:val="18"/>
                <w:szCs w:val="18"/>
                <w:color w:val="auto"/>
              </w:rPr>
              <w:t>Minimum future principal payments on debt at September 30, 2025 were as follows: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9"/>
        </w:trPr>
        <w:tc>
          <w:tcPr>
            <w:tcW w:w="9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in thousands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Remainder of 2025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38,410</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notional value and estimated fair value of the Company’s Senior Notes totaled $38.4 million and $15.3 million, respectively, at September 30, 2025 and $68.5 million and $24.8 million, respectively, at December 31, 2024. The notional value of the Senior Notes does not include contractual interest payments of $4.1 million and unamortized discounts and debt issuance costs of $0.5 million at September 30, 2025 and December 31, 2024, respectively. The estimated fair value of the Senior Notes was measured using quoted market prices at the reporting date. Such instruments were valued using Level 1 inputs. The Company believes the notional value of the New Notes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$2.2 million at September 30, 2025, which does not include contractual interest payments of $1.1 million, approximates its fair value.</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EARNINGS (LOSS) PER SHARE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calculates basic net income (loss) per share by dividing the net loss by the weighted average number of shares of common stock outstanding for the period. The diluted net income (loss) per share is computed by assuming the exercise, settlement, and vesting of all potential dilutive common stock equivalents outstanding for the period using the treasury stock method.</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sets forth a reconciliation of the numerator and denominator used to compute basic and diluted net income (loss) per share of common stock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2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1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(15,879)</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10,040</w:t>
            </w:r>
          </w:p>
        </w:tc>
      </w:tr>
      <w:tr>
        <w:trPr>
          <w:trHeight w:val="230"/>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of service based restricted stock units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9"/>
        </w:trPr>
        <w:tc>
          <w:tcPr>
            <w:tcW w:w="44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r>
    </w:tbl>
    <w:p>
      <w:pPr>
        <w:spacing w:after="0" w:line="28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For the three and nine months ended September 30, 2024, because the Company was in a loss position, basic net loss per share is the same as diluted net loss per share, as the inclusion of the potential common shares would have been anti-dilutive.</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sets forth potential shares of common stock that are not included in the diluted net loss per share calculation because to do so would be anti-dilutive for the period indicated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Anti-dilutive securities</w:t>
            </w:r>
          </w:p>
        </w:tc>
        <w:tc>
          <w:tcPr>
            <w:tcW w:w="3180" w:type="dxa"/>
            <w:vAlign w:val="bottom"/>
            <w:tcBorders>
              <w:top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100" w:type="dxa"/>
            <w:vAlign w:val="bottom"/>
            <w:tcBorders>
              <w:top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1"/>
        </w:trPr>
        <w:tc>
          <w:tcPr>
            <w:tcW w:w="4600" w:type="dxa"/>
            <w:vAlign w:val="bottom"/>
            <w:tcBorders>
              <w:bottom w:val="single" w:sz="8" w:color="CCEEFF"/>
            </w:tcBorders>
            <w:vMerge w:val="continue"/>
          </w:tcPr>
          <w:p>
            <w:pPr>
              <w:spacing w:after="0"/>
              <w:rPr>
                <w:sz w:val="20"/>
                <w:szCs w:val="20"/>
                <w:color w:val="auto"/>
              </w:rPr>
            </w:pPr>
          </w:p>
        </w:tc>
        <w:tc>
          <w:tcPr>
            <w:tcW w:w="14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Common shares issuable upon exercise of stock options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issuable upon exercise of warrants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BASED COMPENSATION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2021, Greenidge adopted an equity incentive plan and reserved 383,111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In November 2024, the stockholders approved an amendment and restatement of the 2021 Equity Plan to increase the maximum aggregate number of shares of Class A common stock that may be issued for all purposes under the 2021 Equity Plan by 700,000 shares of Class A common stock</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6" w:name="page17"/>
    <w:bookmarkEnd w:id="16"/>
    <w:p>
      <w:pPr>
        <w:ind w:right="40"/>
        <w:spacing w:after="0" w:line="259" w:lineRule="auto"/>
        <w:rPr>
          <w:sz w:val="20"/>
          <w:szCs w:val="20"/>
          <w:color w:val="auto"/>
        </w:rPr>
      </w:pPr>
      <w:r>
        <w:rPr>
          <w:rFonts w:ascii="Arial" w:cs="Arial" w:eastAsia="Arial" w:hAnsi="Arial"/>
          <w:sz w:val="18"/>
          <w:szCs w:val="18"/>
          <w:color w:val="auto"/>
        </w:rPr>
        <w:t>from 883,111 to 1,583,111 shares of Class A common stock. In June 2025, the stockholders approved an amendment and restatement of the 2021 Equity Plan to increase the maximum aggregate number of shares of Class A common stock that may be issued for all purposes under the 2021 Equity Plan by 1,000,000 share of Class A common stock from 1,583,111 to 2,583,111 shares of Class A common stock. In October 2022, the Company registered 307,684 shares of Class A common stock, outside of the 2021 Equity Plan, that were reserved for issuance upon the vesting and exercise of non-qualified stock option inducement grants.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RSAs and RSUs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Restricted stock awards (“RSAs”) and restricted stock units (“RSUs”) are generally granted with an eligible vesting range from upon grant to over a two-year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RSA and RSU award activity for the nine months ended September 30, 2025 is summarized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8160" w:type="dxa"/>
            <w:vAlign w:val="bottom"/>
          </w:tcPr>
          <w:p>
            <w:pPr>
              <w:spacing w:after="0"/>
              <w:rPr>
                <w:sz w:val="12"/>
                <w:szCs w:val="12"/>
                <w:color w:val="auto"/>
              </w:rPr>
            </w:pPr>
          </w:p>
        </w:tc>
        <w:tc>
          <w:tcPr>
            <w:tcW w:w="14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RSAs &amp; RSUs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825,106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(37,573)</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483,179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value of RSA and RSU grants is measured based on their fair market value on the date of grant and amortized over their requisite service periods. At September 30, 2025, there was approximately $0.4 million of total unrecognized compensation cost related to unvested restricted stock rights, which is expected to be recognized over a remaining weighted-average vesting period of approximately 2.28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options activity for the nine months ended September 30, 2025 is summarized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240" w:type="dxa"/>
            <w:vAlign w:val="bottom"/>
          </w:tcPr>
          <w:p>
            <w:pPr>
              <w:spacing w:after="0"/>
              <w:rPr>
                <w:sz w:val="14"/>
                <w:szCs w:val="14"/>
                <w:color w:val="auto"/>
              </w:rPr>
            </w:pPr>
          </w:p>
        </w:tc>
        <w:tc>
          <w:tcPr>
            <w:tcW w:w="124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360" w:type="dxa"/>
            <w:vAlign w:val="bottom"/>
          </w:tcPr>
          <w:p>
            <w:pPr>
              <w:jc w:val="center"/>
              <w:ind w:right="37"/>
              <w:spacing w:after="0" w:line="139" w:lineRule="exact"/>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Contractual Life</w:t>
            </w:r>
          </w:p>
        </w:tc>
        <w:tc>
          <w:tcPr>
            <w:tcW w:w="240" w:type="dxa"/>
            <w:vAlign w:val="bottom"/>
          </w:tcPr>
          <w:p>
            <w:pPr>
              <w:spacing w:after="0"/>
              <w:rPr>
                <w:sz w:val="12"/>
                <w:szCs w:val="12"/>
                <w:color w:val="auto"/>
              </w:rPr>
            </w:pPr>
          </w:p>
        </w:tc>
        <w:tc>
          <w:tcPr>
            <w:tcW w:w="1240" w:type="dxa"/>
            <w:vAlign w:val="bottom"/>
          </w:tcPr>
          <w:p>
            <w:pPr>
              <w:jc w:val="center"/>
              <w:ind w:right="161"/>
              <w:spacing w:after="0" w:line="13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7"/>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7"/>
                <w:szCs w:val="17"/>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(61,760)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Outstanding at September 30, 2025</w:t>
            </w:r>
          </w:p>
        </w:tc>
        <w:tc>
          <w:tcPr>
            <w:tcW w:w="1480" w:type="dxa"/>
            <w:vAlign w:val="bottom"/>
          </w:tcPr>
          <w:p>
            <w:pPr>
              <w:jc w:val="right"/>
              <w:spacing w:after="0"/>
              <w:rPr>
                <w:sz w:val="20"/>
                <w:szCs w:val="20"/>
                <w:color w:val="auto"/>
              </w:rPr>
            </w:pPr>
            <w:r>
              <w:rPr>
                <w:rFonts w:ascii="Arial" w:cs="Arial" w:eastAsia="Arial" w:hAnsi="Arial"/>
                <w:sz w:val="18"/>
                <w:szCs w:val="18"/>
                <w:color w:val="auto"/>
              </w:rPr>
              <w:t>292,673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as of September 30, 2025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value of common stock option grants is measured based on their fair market value on the date of grant and amortized over their requisite service periods. At September 30, 2025, there was approximately $0.2 million of total unrecognized compensation cost related to unvested common stock options, which is expected to be recognized over a remaining weighted-average vesting period of approximately 1.06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recognized stock-based compensation benefit of $0.3 million, which was due to forfeited options during the period, and stock-based compensation expense of $0.4 million during the three months ended September 30, 2025 and 2024, respectively, and $0.6 million and $1.8 million during the nine months ended September 30, 2025 and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ind w:right="60"/>
        <w:spacing w:after="0" w:line="287" w:lineRule="auto"/>
        <w:rPr>
          <w:sz w:val="20"/>
          <w:szCs w:val="20"/>
          <w:color w:val="auto"/>
        </w:rPr>
      </w:pPr>
      <w:r>
        <w:rPr>
          <w:rFonts w:ascii="Arial" w:cs="Arial" w:eastAsia="Arial" w:hAnsi="Arial"/>
          <w:sz w:val="18"/>
          <w:szCs w:val="18"/>
          <w:color w:val="auto"/>
        </w:rPr>
        <w:t>respectively. Stock-based compensation expense is included in selling, general and administrative expenses in the accompanying unaudited condensed consolidated statements of operations and comprehensive 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spacing w:after="0" w:line="10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effective tax rate for the three months ended September 30, 2025 and 2024 was 0.0% and a benefit of 1.8%, respectively, and for the nine months ended September 30, 2025 and 2024 was a benefit of 2.0% and 0.7%, respectively, which was lower than the statutory rate of 21% because the Company has recognized a full valuation allowance on its deferred tax assets, as well as receiving refunds during 2025 in connection with prior tax periods and an adjustment for the New York State income tax receivable during 2024 upon the completion of the 2023 tax return. The Company continued to evaluate the realizability of deferred tax assets, due to continued reduced profitability, and concluded that a valuation allowance should continue to be recognized for any deferred tax assets generated during the quarter.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Purchase Agreement with B. Riley Principal Capital II, LLC</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July 30, 2024, Greenidge entered into a common stock purchase agreement (the “Common Stock Purchase Agreement”) with B. Riley Principal Capital II, LLC (“B. Riley Principal II”), an affiliate of B. Riley Principal. Pursuant to the Common Stock Purchase Agreement, Greenidge has the right to sell to B. Riley Principal II up to $20 million in shares of its Class A common stock, subject to certain limitations and the satisfaction of specified conditions in the Common Stock Purchase Agreement, from time to time over the 36-month period commencing September 24, 2024.</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Common Stock Purchase Agreement, Greenidge entered into a registration rights agreement with B. Riley Principal II, pursuant to which Greenidge agreed to prepare and file a registration statement registering the resale by B. Riley Principal II of those shares of Greenidge’s Class A common stock to be issued under the Common Stock Purchase Agreement. The registration statement became effective on September 24, 2024 (the “Effective Date”), relating to the resale of 7,300,000 shares of Greenidge’s Class A common stock in connection with the Common Stock Purchase Agreement.</w:t>
      </w:r>
    </w:p>
    <w:p>
      <w:pPr>
        <w:spacing w:after="0" w:line="17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From the Effective Date through September 30, 2025, Greenidge issued an aggregate of 1,595,855 shares under the Common Stock Purchase Agreement for net proceeds of $4.3 million, of which no shares were issued during the three and nine months ended September 30,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Market Issuance Sales Agreement with B. Riley Securities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19, 2022, as amended on October 3, 2022, Greenidge entered into an At Market Issuance Sales Agreement (the “ATM Agreement”) with B. Riley Securities, Inc. (“B. Riley”) and Northland Securities, Inc.,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pays B. Riley commissions for its services in acting as sales agent, in an amount to up to 3.0%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spacing w:after="0" w:line="18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From October 1, 2022 through September 30, 2025, Greenidge issued an aggregate of 4,167,463 shares under the ATM Agreement for net proceeds of $20.7 million, of which no shares were issued during the three and nine months ended September 30, 2025.</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Armistice Capital Agreement</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February 12, 2024, the Company entered into a securities purchase agreement (the “Armistice SPA”) with Armistice Capital Master Fund Ltd. (“Armistice”). Pursuant to the SPA, Armistice purchased (i) 450,300 shares (the “Shares”) of the Company’s Class A common stock, and</w:t>
      </w:r>
    </w:p>
    <w:p>
      <w:pPr>
        <w:ind w:right="20" w:firstLine="8"/>
        <w:spacing w:after="0" w:line="252"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pre-funded Class A common stock purchase warrant (the “Pre-Funded Warrant”) for 810,205 shares of the Company’s Class A common stock (the “Pre-Funded Warrant Shares”). The per share purchase price of the Shares and the Pre-Funded Warrant Shares was $4.76, resulting in aggregate gross proceeds of $6.0 million, and after giving effect to the exercise price of $0.0001 per Pre-Funded Warrant Share, the Company received net proceeds of $6.0 million. The Pre-Funded Warrant, which had an initial exercise date of February 14, 2024, was exercised in full during the year ended December 31, 2024, which resulted in the issuance of 810,205 Class A shares of common stock. In addition, the Company issued to Armistice a five-year Class A common stock purchase warrant (the “Armistice Warrant”) entitling Armistice, commencing on August 14, 2024, to acquire up to 1,260,505 shares of the Company’s Class A common stock from time to time at an exercise price of $5.25 per share (the “Warrant Shares”). The Warrant Shares remained unexercised as of September 30, 2025.</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Pre-Funded Warrant and Armistice Warrant were classified as a component of permanent stockholders’ equity within additional paid-in capital and were recorded at the issuance date using a relative fair value allocation method. The Company valued the Pre-Funded Warrant at issuance, concluding that its sale price approximated their fair value, and allocated the aggregate net proceeds from the sale proportionately to the Armistice Warrant and Pre-Funded Warrant, including approximately $2.0 million allocated to the Pre-Funded Warrant and recorded as a component of additional paid-in capital. The Company valued the Armistice Warrant using the Black-Scholes-Merton option pricing model and recorded as a component of additional paid-in capital with an allocated amount of $2.8 million. By analogy to ASC 505-20-30-3, the Company would have recorded a charge to retained earnings, however, as the Company is in a deficit position it was recorded as a component of additional paid-in capital.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for warrants issued by the Company during the nine months ended September 30,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warrants outstanding at September 30,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1900" w:type="dxa"/>
            <w:vAlign w:val="bottom"/>
            <w:tcBorders>
              <w:top w:val="single" w:sz="8" w:color="auto"/>
            </w:tcBorders>
            <w:vMerge w:val="restart"/>
            <w:shd w:val="clear" w:color="auto" w:fill="CCEEFF"/>
          </w:tcPr>
          <w:p>
            <w:pPr>
              <w:ind w:left="30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100"/>
              <w:spacing w:after="0" w:line="183" w:lineRule="exact"/>
              <w:rPr>
                <w:sz w:val="20"/>
                <w:szCs w:val="20"/>
                <w:color w:val="auto"/>
              </w:rPr>
            </w:pPr>
            <w:r>
              <w:rPr>
                <w:rFonts w:ascii="Arial" w:cs="Arial" w:eastAsia="Arial" w:hAnsi="Arial"/>
                <w:sz w:val="18"/>
                <w:szCs w:val="18"/>
                <w:b w:val="1"/>
                <w:bCs w:val="1"/>
                <w:color w:val="auto"/>
                <w:w w:val="97"/>
              </w:rPr>
              <w:t>Warrants</w:t>
            </w:r>
          </w:p>
        </w:tc>
        <w:tc>
          <w:tcPr>
            <w:tcW w:w="1680" w:type="dxa"/>
            <w:vAlign w:val="bottom"/>
            <w:gridSpan w:val="2"/>
            <w:shd w:val="clear" w:color="auto" w:fill="CCEEFF"/>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Warrants</w:t>
            </w:r>
          </w:p>
        </w:tc>
        <w:tc>
          <w:tcPr>
            <w:tcW w:w="16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Outstanding</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Exercisable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60" w:type="dxa"/>
            <w:vAlign w:val="bottom"/>
          </w:tcPr>
          <w:p>
            <w:pPr>
              <w:ind w:left="20"/>
              <w:spacing w:after="0"/>
              <w:rPr>
                <w:sz w:val="20"/>
                <w:szCs w:val="20"/>
                <w:color w:val="auto"/>
              </w:rPr>
            </w:pPr>
            <w:r>
              <w:rPr>
                <w:rFonts w:ascii="Arial" w:cs="Arial" w:eastAsia="Arial" w:hAnsi="Arial"/>
                <w:sz w:val="18"/>
                <w:szCs w:val="18"/>
                <w:color w:val="auto"/>
              </w:rPr>
              <w:t>February 2024 Warrants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1,260,505</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1,260,505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19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99"/>
              </w:rPr>
              <w:t>August 14, 2029</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Exchange Agreements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nine months ended September 30, 2025, the Company entered into privately negotiated exchange agreements, pursuant to which it issued an aggregate of 1,242,456 shares of the Company’s Class A common stock. The shares of the Company’s Class A common stock were issued with an aggregate fair value of $1.5 million, as well as cash payments totaling $2.7 million, in exchange for $10.5 million in aggregate principal amount of the Senior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 Agreement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entered into an Equity Interest Payment Agreement, dated as of January 24, 2025 (the “Equity Interest Payment Agreement”), pursuant to which and as consideration for Atlas Holdings LLC’s, the Company’s controlling shareholder and a related party (collectively with its affiliates, “Atlas”), continued credit support with respect to the letters of credit mentioned in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totaling $8.6 million, the Company shall pay interest at a rate of 8.5% per annum. The interest will be calculated on a per diem basis based on the number of days in the applicable measurement period, which interest payments shall be net of any interest otherwise actually received by Atlas from the issuing bank. Payments will be made by issuing Class A common stock to Atlas calculated using the volume weighted average price of Class A common stock as reported on The Nasdaq Global Select Market, with the total cumulative shares not to exceed 19.99% of the sum of the number of outstanding shares of Class A common stock and shares of Class B common stock as of January 24, 2025. In the event that the Class A common stock issuable under the Equity Interest Payment Agreement exceeds the aforementioned 19.99%, then subsequent payments will be made in cash for the amount in excess of 19.99%.</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spacing w:after="0" w:line="254" w:lineRule="auto"/>
        <w:rPr>
          <w:sz w:val="20"/>
          <w:szCs w:val="20"/>
          <w:color w:val="auto"/>
        </w:rPr>
      </w:pPr>
      <w:r>
        <w:rPr>
          <w:rFonts w:ascii="Arial" w:cs="Arial" w:eastAsia="Arial" w:hAnsi="Arial"/>
          <w:sz w:val="18"/>
          <w:szCs w:val="18"/>
          <w:color w:val="auto"/>
        </w:rPr>
        <w:t>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 On January 29, 2025, the Company issued 752,742 shares of Class A common stock to settle the letter of credit extension payment. The aggregate fair value of the Class A common stock issued was $1.4 million. On April 8, 2025, the Company issued an additional 90,954 shares of Class A common stock to settle the equity interest payment for Q1 2025, of which the fair value of the Class A common stock issue was $0.1 million. On July 2, 2025, the Company issued an additional 131,937 shares of Class A common stock to settle the equity interest payment for Q2 2025, of which the fair value of the Class A common stock issued was $0.2 million. On October 9, 2025, the Company issued an additional 102,286 shares of Class A common stock to settle the equity interest payment for Q3 2025, of which the fair value of the Class A common stock issued was $0.2 million, for a cumulative total of 1,077,919 shares of Class A common stock issued pursuant to the Equity Interest Payment Agreement as of the filing date of this report, with an aggregate fair value of $1.9 million, which was recognized as interest expense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5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From time to time, the Company may be involved in various lawsuits and legal proceedings that arise in the ordinary course of business. However, litigation is subject to inherent uncertainties, and an adverse result in such matters may arise and harm the Company’s business. Except as otherwise disclosed in this Note 10, “</w:t>
      </w:r>
      <w:r>
        <w:rPr>
          <w:rFonts w:ascii="Arial" w:cs="Arial" w:eastAsia="Arial" w:hAnsi="Arial"/>
          <w:sz w:val="18"/>
          <w:szCs w:val="18"/>
          <w:i w:val="1"/>
          <w:iCs w:val="1"/>
          <w:color w:val="auto"/>
        </w:rPr>
        <w:t>Commitments and Contingencies—Legal Matters</w:t>
      </w:r>
      <w:r>
        <w:rPr>
          <w:rFonts w:ascii="Arial" w:cs="Arial" w:eastAsia="Arial" w:hAnsi="Arial"/>
          <w:sz w:val="18"/>
          <w:szCs w:val="18"/>
          <w:color w:val="auto"/>
        </w:rPr>
        <w:t>”, including, without limitation, the subsection titled “</w:t>
      </w:r>
      <w:r>
        <w:rPr>
          <w:rFonts w:ascii="Arial" w:cs="Arial" w:eastAsia="Arial" w:hAnsi="Arial"/>
          <w:sz w:val="18"/>
          <w:szCs w:val="18"/>
          <w:u w:val="single" w:color="auto"/>
          <w:color w:val="auto"/>
        </w:rPr>
        <w:t>Title V Air Permit Renewal Litigation</w:t>
      </w:r>
      <w:r>
        <w:rPr>
          <w:rFonts w:ascii="Arial" w:cs="Arial" w:eastAsia="Arial" w:hAnsi="Arial"/>
          <w:sz w:val="18"/>
          <w:szCs w:val="18"/>
          <w:color w:val="auto"/>
        </w:rPr>
        <w:t>,” the Company is currently not aware of any such legal proceedings or claims that it believes will have a material adverse effect on its business, financial condition, or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Title V Air Permit Renewal Litigation</w:t>
      </w:r>
    </w:p>
    <w:p>
      <w:pPr>
        <w:spacing w:after="0" w:line="25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late June 2022, the New York State Department of Environmental Conservation (“NYSDEC”) announced its denial of the Title V Air Permit renewal application (the “Renewal Application”) for the Company’s New York Facility. The Company filed a notice with NYSDEC in July 2022 requesting a hearing on NYSDEC’s decision as part of its efforts to secure a new permit. In September 2023, the administrative law judge presiding over the hearing issued a ruling (the “Issues Ruling”) with respect to the status of the parties and certain issues to be adjudicated in the hearing. The Company submitted an interim appeal with NYSDEC thereafter challenging such ruling with a motion to stay the broader appeals process while the interim appeal was being resolved. On May 8, 2024, the Company’s interim appeal to NYSDEC and request for an adjudicatory hearing were ultimately denied, and the June 2022 non-renewal of the Company’s Title V Air Permit was affirmed by NYSDEC’s Regional Director for Region 7 (the “Regional Director”), which rendered NYSDEC’s decision final for purposes of seeking judicial review. On August 15, 2024, the Company filed a verified petition and complaint pursuant to Article 78 of the New York Civil Practice Law and Rules against NYSDEC in New York Supreme Court, Yates County (the "Court"), seeking declaratory and injunctive relief relating to NYSDEC’s denial of the Renewal Application for the New York Facility, including, among other things, to (i) annul NYSDEC’s June 2022 denial of the Renewal Application and the May 8, 2024 affirmation of such denial by the Regional Director; (ii) issue certain declaratory judgments with respect to NYSDEC’s interpretation of the New York Climate Leadership and Community Protection Act on which the denial of the Renewal Application was predicated; and (iii) enjoin NYSDEC from taking any action to request that the New York Facility cease operations. On August 20, 2024, the Company submitted a motion to the Court by Order to Show Cause seeking a temporary restraining and preliminary injunction (the “TRO Request”) permitting the New York Facility to continue operations during the pendency of the Article 78 proceeding. Subsequent to submission of the TRO Request, Greenidge and NYSDEC agreed to a briefing schedule with the respect to the TRO Request, with a hearing before the Court which occurred in late October 2024. In connection with the agreed-upon briefing schedule, NYSDEC agreed that Greenidge need not (i) cease operations of any air contamination sources located at the New York Facility, (ii) render such air contamination sources inoperable, or (iii) relinquish the Title V Air Permit until November 1, 2024 (the “November 1 Stay”). On October 29, 2024, a hearing was held before the Court and a stipulation on the record was entered into between the Company and NYSDEC, agreeing to extend the November 1 Stay through November 14, 2024 (the “November 14 Stay”).</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November 14, 2024, the Court issued a decision (the “November 14 Decision”) on the Article 78 proceeding (i) annulling the denial of the Renewal Application and NYSDEC’s order to shut down the New York Facility; (ii) finding that, in utilizing its authority to issue the denial of the Renewal Application, NYSDEC acted in a manner that was both affected by errors of law and arbitrary and capricious; and (iii) remanding the matter to NYSDEC for further proceedings consistent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spacing w:after="0" w:line="241" w:lineRule="auto"/>
        <w:rPr>
          <w:sz w:val="20"/>
          <w:szCs w:val="20"/>
          <w:color w:val="auto"/>
        </w:rPr>
      </w:pPr>
      <w:r>
        <w:rPr>
          <w:rFonts w:ascii="Arial" w:cs="Arial" w:eastAsia="Arial" w:hAnsi="Arial"/>
          <w:sz w:val="18"/>
          <w:szCs w:val="18"/>
          <w:color w:val="auto"/>
        </w:rPr>
        <w:t>with the November 14 Decision. On December 13, 2024, the Company filed a notice of appeal with the Appellate Division of the Supreme Court of the State of New York, Fourth Judicial Department (the “Fourth Department”), appealing the November 14 Decision to the extent that the Court: (i) erred in holding that NYSDEC had the authority to deny the Renewal Application pursuant to Section 7(2) of the Climate Leadership and Community Protection Act (“CLCPA”) and Part 621 of Title 6 of the New York Code of Rules &amp; Regulations; (ii) failed to define the term “statement of justification” or declare the scope of analysis required by that Section 7(2) requirement, which definition and scope was a critical component of Greenidge’s Article 78 challenge of NYSDEC’s Final Decision, and was included in Greenidge’s request for declaratory judgment; (iii) erred in holding that the analytical framework required by Section 7(2) of the CLCPA can be compartmentalized, such that NYSDEC need not even consider mitigation proposals with respect to its inconsistency analysis or as to the purported “justification” element of the CLCPA; and (iv) erred in finding that NYSDEC’s determination, that approving the Renewal Application would be inconsistent with the CLCPA, was rational, which appeal was perfected by the Company on June 14, 2025 and is scheduled to be heard during the Fourth Department’s term commencing January 2026 (subject to such appeal's withdrawal discontinuance pursuant to the terms of the Stipulation, as defined and described below). Prior to that time, on December 9, 2024, the Administrative Law Judge (“ALJ”) assigned to the Greenidge administrative proceedings before NYSDEC’s Office of Hearings and Mediation Services (“OHMS”) notified the parties of its intent to hold a status conference given the Court’s remittance of the matter back to NYSDEC, which was held on December 16, 2024. On December 19, 2024, the Company submitted a motion by Order to Show Cause to the Court requesting a stay of NYSDEC’s administrating proceedings with respect to the Renewal Application, which was denied on January 24, 2025. On January 27, 2025, the Company submitted a motion by Order to Show Cause to the Fourth Department requesting a stay of NYSDEC’s administrating proceedings with respect to the Renewal Application, which motion was denied on February 24, 2025. On February 7, 2025, the Company submitted a renewed appeal (the “Renewed Appeal”) of the Issues Ruling to NYSDEC’s Commissioner, and further appealed the ALJ’s determination that the Renewal Application must proceed to an adjudicatory hearing rather than revert back to NYSDEC Staff. On March 31, 2025, the Regional Director issued an interim decision with respect to the Renewed Appeal (i) affirming the full party status of each of Seneca Lake Guardian, The Committee to Preserve the Finger Lakes, Fossil Free Tompkins and Sierra Club-Atlantic Chapter (the “Third-Party Intervenors”) and (ii) remanding the Renewal Application to OHMS for the purpose of holding an adjudicatory hearing with respect to the nature and extent of the required statement of justification, as well as the extent and type of mitigation measures, each as required by Section 7(2) of the CLCPA. On July 31, 2025, the ALJ granted a joint request by the Company and NYSDEC for an adjournment on the hearing scheduled to commence on August 5, 2025, solely on the issue of justification, to November 18, 2025 and hearing dates for the remaining adjudicable issues expected to continue through January 2026 (subject to discontinuance pursuant to the terms of the Stipulation, as defined and described below). On August 11, 2025, the Third-Party Intervenors submitted a motion to the ALJ to expedite the administrative hearing with respect to justification to dates in September or October 2025, which was denied.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Stipulation of Settlement with NYSDEC</w:t>
      </w:r>
    </w:p>
    <w:p>
      <w:pPr>
        <w:spacing w:after="0" w:line="225"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On November 7, 2025, the Company entered into a Stipulation of Settlement (the “Stipulation”) with NYSDEC, which provides a pathway to resolving ongoing administrative and judicial proceedings concerning renewal of the Company’s Title V Air Permit for the New York Facility consistent with the CLCPA. Pursuant to the terms of the Stipulation, the Company submitted to NYSDEC an application (the “Application”), supplementing the Renewal Application to modify and renew its existing Title V Air Permit to incorporate new greenhouse gas (“GHG”)</w:t>
      </w:r>
    </w:p>
    <w:p>
      <w:pPr>
        <w:ind w:right="320"/>
        <w:spacing w:after="0"/>
        <w:rPr>
          <w:sz w:val="20"/>
          <w:szCs w:val="20"/>
          <w:color w:val="auto"/>
        </w:rPr>
      </w:pPr>
      <w:r>
        <w:rPr>
          <w:rFonts w:ascii="Arial" w:cs="Arial" w:eastAsia="Arial" w:hAnsi="Arial"/>
          <w:sz w:val="17"/>
          <w:szCs w:val="17"/>
          <w:color w:val="auto"/>
        </w:rPr>
        <w:t>emissions limits and related monitoring and reporting requirements set forth in the Stipulation. Pursuant to the terms of the Stipulation, NYSDEC agreed to process the Application pursuant to the New York State Uniform Procedures Act and 6 NYCRR Part 621, and issue a</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draft Title V permit modification and renewal (the “Draft Title V Permit”) that includes substantially the same conditions as the Renewal Application and the GHG limits and reporting obligations agreed upon in the Stipulation. The Draft Title V Permit will be subject to a public notice and comment period in addition to a 45-day review period by the U.S. Environmental Protection Agency. Upon completion of the administrative process and withdrawal of Greenidge’s pending appeal before the Fourth Department, NYSDEC will issue a final Title V Air Permit consistent with the GHG emission limits set forth in Schedule 1 of the Stipulation. The Company’s existing Title V Air Permit remains valid pursuant to Section 401(2) of the New York State Administrative Procedure Act throughout the administrative process set forth in the Stipulation.</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November 12, 2025, the Third-Party Intervenors delivered a letter to the ALJ objecting to the Stipulation and alleging that the Stipulation, among other things, (i) is procedurally improper because it was negotiated without adequate notice to, or participation by, the Third-Party Intervenors and was entered into without the consent, or a full briefing, of all parties to the administrative hearing; (ii) fails to establish that the proposed Title V Air Permit modification ensures consistency with the CLCPA or moots issues raised in the administrative proceeding; and</w:t>
      </w:r>
    </w:p>
    <w:p>
      <w:pPr>
        <w:ind w:right="380" w:firstLine="8"/>
        <w:spacing w:after="0" w:line="237"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contradicts the finality of NYSDEC’s denial of the Renewal Application by purporting to modify the draft Title V Air Permit submitted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line="20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Company’s attempts to secure a new permit or to renew its existing permit (as modified by the Stipulation), and the associated legal and administrative challenges, have caused, and may continue, to cause the Company to incur additional costs and result in the diversion of management attention, which could adversely affect the Company’s business, financial condition and results of operations. The Stipulation halts these proceedings and provides a pathway to renewal of the Title V Air Permit; however, there can be no assurance of successful final issuance of a Title V Air Permit, compliance with the newly stipulated GHG limits, or the absence of third-party challenges before, during or after the public comment period. The Company’s inability to succeed in securing a Title V Air Permit for the New York Facility could have a</w:t>
      </w:r>
    </w:p>
    <w:p>
      <w:pPr>
        <w:spacing w:after="0" w:line="1"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material adverse effect on the Company’s business, financial condition, and operating results, and its ability to meet its long-term debt obligations. See also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additional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Liabilities</w:t>
      </w:r>
    </w:p>
    <w:p>
      <w:pPr>
        <w:spacing w:after="0" w:line="25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Company has a coal combustion residual (“CCR”) liability associated with the closure of a coal ash pond located on the Company’s property in Torrey, New York. In accordance with ASC 410-30, the Company has a liability of $17.3 million as of September 30, 2025 and December 31, 2024. CCRs are subject to federal and state requirements. In October 2023, the Company completed the necessary steps to officially cease use of the coal ash pond. Following this occurring, the Company was required to complete the remediation of the coal ash pond CCR by November 2028 and will perform the work in stages over the next four years. On October 1, 2025, the Company provided a beneficial use demonstration to support a two-year extension of the deadline to initiate closure. With this two-year extension, the deadline for Greenidge to either initiate closure of the C-Pond or to demonstrate the need for an additional two-year extension under 40 C.F.R. §</w:t>
      </w:r>
    </w:p>
    <w:p>
      <w:pPr>
        <w:spacing w:after="0" w:line="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257.102(e)(2)(ii) will be October 10, 2027. Beneficial use is the recycling or reuse of CCR in lieu of disposal by landfill and is most commonly used in the production of concrete and certain other building materials. The Company has completed initial chemical composition testing to support that it meets the requirements for beneficial use cases, which could eliminate the landfill disposal expenses, but would not alter the closure by removal plan. Further economic and viability analysis is required in order to initiate a material change to the closure plan and therefore no changes to the liability or closure plan assumptions have been made as of September 30, 2025.</w:t>
      </w:r>
    </w:p>
    <w:p>
      <w:pPr>
        <w:spacing w:after="0" w:line="221"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Estimates are based on various assumptions including, but not limited to, closure and post-closure cost estimates, timing of expenditures, escalation factors, and requirements of granted permits. Additional adjustments to the environment liability may occur periodically due to changes in remediation requirements regarding CCRs or the potential for beneficial use thereof which the Company is currently exploring, each of which may lead to material changes in estimates and assumptions.</w:t>
      </w:r>
    </w:p>
    <w:p>
      <w:pPr>
        <w:spacing w:after="0" w:line="19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Company owns and operates a fully permitted landfill that also acts as a leachate treatment facility. In accordance with ASC 410-30, Environmental Obligations (“ASC 410-30”), the Company has recorded an environmental liability of $13.4 million as of September 30, 2025 and December 31, 2024.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2.3%. The Company deposited $1.3 million into a trust during the first quarter of 2025 in connection with the environmental liabilities, which is presented in other long-term assets in the consolidated balance sheet.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3"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Company entered into a contract with Empire Pipeline Incorporated (“Empire”)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spacing w:after="0" w:line="182"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In January 2024, the Company entered into a five-year capacity lease agreement, which provides the Company with 7.5 MW of self-mining capacity. The Company began mining in April 2024. During the nine months ended September 30, 2025, the Company recognized $2.9 million of variable costs in connection with the capacity lease agreement, which is included within Cost of revenue - cryptocurrency mining (exclusive of depreciation) in the consolidated statements of operations and comprehensive loss. There was no variable lease cost in connection with the capacity lease agreement during the nine months ended September 30, 2024. Effective March 31, 2025, the Company concluded that the portion of</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252" w:lineRule="auto"/>
        <w:rPr>
          <w:sz w:val="20"/>
          <w:szCs w:val="20"/>
          <w:color w:val="auto"/>
        </w:rPr>
      </w:pPr>
      <w:r>
        <w:rPr>
          <w:rFonts w:ascii="Arial" w:cs="Arial" w:eastAsia="Arial" w:hAnsi="Arial"/>
          <w:sz w:val="18"/>
          <w:szCs w:val="18"/>
          <w:color w:val="auto"/>
        </w:rPr>
        <w:t>the contract consideration became fixed, creating a required minimum usage of 7.5 MW at a cost of $58.50 per MWh. As such, the Company re-assessed and re-allocated consideration in the contract to separate lease components and the non -lease components using relative standalone prices. The Company concluded that the portion of the contract consideration allocated to the lease component was de minimis and, therefore, no ROU asset and lease liability were recorded in the consolidated balance sheets.</w:t>
      </w:r>
    </w:p>
    <w:p>
      <w:pPr>
        <w:spacing w:after="0" w:line="17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June 2024, the Company entered into an operating lease, which has a term of five years. The Company recorded a ROU asset and lease liability of $0.2 million, which are included in Other long-term assets and Other long-term liabilities, respectively, upon commencement of such operating lease in August 2024.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CONCENTRATIONS</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 has a single hosting customer that accounted for 41% and 53% of the Company’s revenue during the three months ended September 30, 2025 and 2024, respectively, as well as 38% and 50% of the Company’s revenue during the nine months ended September 30, 2025 and 2024, respectively. The single hosting customer has the option to terminate the hosting agreement with 6 months' notice.</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the Company’s pool operator customer accounted for approximately 25% and 26% of total revenue for the three months ended September 30, 2025 and 2024, respectively, and 27% and 34% of the Company’s revenue during the nine months ended September 30, 2025 and 2024, respectively.</w:t>
      </w:r>
    </w:p>
    <w:p>
      <w:pPr>
        <w:spacing w:after="0" w:line="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has one major power customer, NYISO, that accounted for 31% and 21% of its revenue for the three months ended September 30, 2025 and 2024, respectively, and 35% and 16% of the Company’s revenue during the nine months ended September 30, 2025 and 2024, respectively.</w:t>
      </w:r>
    </w:p>
    <w:p>
      <w:pPr>
        <w:spacing w:after="0" w:line="171"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Company has one natural gas vendor that accounted for approximately 39% and 33% of cost of revenue for the three months ended September 30, 2025 and 2024, respectively, and 45% and 36% of the Company’s revenue during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5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As of September 30, 2025, Atlas controlled 70.0% of the voting power of the Company’s outstanding capital stock. As a result, the Company is a “controlled company” within the meaning of Nasdaq’s corporate governance standards.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Atlas obtained a letter of credit from a financial institution in the amount of $5.0 million at September 30, 2025 and December 31, 2024, payable to the NYSDEC. This letter of credit guarantees the current value of the Company’s landfill environmental trust liability. See Note 10, “Commitments and Contingencies” for further details.</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Atlas also has a letter of credit from a financial institution in the amount of $3.6 million at September 30, 2025 and December 31, 2024, payable to Empire in the event the Company should not make contracted payments for costs related to a pipeline interconnection project the Company has entered into with Empire.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Co-Defendant Endorsement</w:t>
      </w:r>
    </w:p>
    <w:p>
      <w:pPr>
        <w:spacing w:after="0" w:line="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October 14, 2024, the Company agreed to include a co-defendant endorsement under its directors and officers liability insurance policy (the “D&amp;O Policy”) with respect to Atlas and certain of its affiliates, which, in certain circumstances, extends coverage to claims for losses attributable to a wrongful act of the Company or any of its insured persons jointly made and continuously maintained against the Company and/or any of its insured persons under the D&amp;O</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23" w:name="page24"/>
    <w:bookmarkEnd w:id="23"/>
    <w:p>
      <w:pPr>
        <w:ind w:right="60"/>
        <w:spacing w:after="0" w:line="287" w:lineRule="auto"/>
        <w:rPr>
          <w:sz w:val="20"/>
          <w:szCs w:val="20"/>
          <w:color w:val="auto"/>
        </w:rPr>
      </w:pPr>
      <w:r>
        <w:rPr>
          <w:rFonts w:ascii="Arial" w:cs="Arial" w:eastAsia="Arial" w:hAnsi="Arial"/>
          <w:sz w:val="18"/>
          <w:szCs w:val="18"/>
          <w:color w:val="auto"/>
        </w:rPr>
        <w:t>Policy, on the one hand, and Atlas and/or certain of its affiliates, on the other. The inclusion of such co-defendant endorsement resulted in no change to the Company’s premiums with respect to its D&amp;O insurance policy.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Mississippi Facility</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April 10, 2024, the Company closed on the purchase of a parcel of land containing approximately 12 acres located in Columbus, Mississippi, including over 73,000 square feet of industrial warehouse space, from a subsidiary of Motus Pivot Inc., a portfolio company of Atlas. The purchase price was $1.45 million. This property provided the Company with access to 32.5 MW of additional power capacity. The transaction closed in April 2024 and the Company deployed 8.5 MW of miners on the property. The Company sold certain assets of the site on September 16, 2025. See Note 4, “</w:t>
      </w:r>
      <w:r>
        <w:rPr>
          <w:rFonts w:ascii="Arial" w:cs="Arial" w:eastAsia="Arial" w:hAnsi="Arial"/>
          <w:sz w:val="18"/>
          <w:szCs w:val="18"/>
          <w:i w:val="1"/>
          <w:iCs w:val="1"/>
          <w:color w:val="auto"/>
        </w:rPr>
        <w:t>Property and Equipment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 Agreement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entered into the Equity Interest Payment Agreement, pursuant to which and as consideration for Atlas’ continued credit support with respect to the letters of credit mentioned above, totaling $8.6 million, the Company shall pay interest at a rate of 8.5% per annum. The interest will be calculated on a per diem basis based on the number of days in the applicable measurement period, which interest payments shall be net of any interest otherwise actually received by Atlas from the issuing bank. Payments will be made by issuing Class A common stock to Atlas calculated using the volume weighted average price of Class A common stock as reported on The Nasdaq Global Select Market, with the total cumulative shares not to exceed 19.99% of the sum of the number of outstanding shares of Class A common stock and Class B common stock as of January 24, 2025. In the event that the Class A common stock issuable under the Equity Interest Payment Agreement exceeds the aforementioned 19.99%, then subsequent payments will be made in cash for the amount in excess of 19.99%. The Company recognized interest expense of $0.2 million and $0.5 million during the three and nine months ended September 30, 2025, respectively, in connection with the Equity Interest Payment Agreement.</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 On January 29, 2025, the Company issued 752,742 shares of Class A common stock to settle the letter of credit extension payment. The aggregate fair value of the Class A common stock issued was $1.4 million. On April 8, 2025, the Company issued an additional 90,954 shares of Class A common stock to settle the equity interest payment for Q1 2025, of which the fair value of the Class A common stock issue was $0.1 million. On July 2, 2025, the Company issued an additional 131,937 shares of Class A common stock to settle the equity interest payment for the second quarter of 2025, of which the fair value of the Class A common stock issued was $0.2 million. On October 9, 2025 the Company issued an additional 102,286 shares of Class A common stock , of which the fair value was $0.2 million, for a cumulative total of 1,077,919 shares of Class A common stock issued pursuant to the Equity Interest Payment Agreement as of the filing date of this report, with an aggregate fair value of $1.9 million, which was recognized as interest expense in the consolidated statements of operations and comprehensive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5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Affiliates of Atlas from time to time incur certain costs for the benefit of Greenidge, which are fully reimbursed by Greenidge. Greenidge did not reimburse Atlas or its affiliates for any such costs during the three and nine months ended September 30, 2025.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ind w:right="5020" w:firstLine="8"/>
        <w:spacing w:after="0" w:line="500"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AND CASH FLOW INFORMATION Contract liabilities</w:t>
      </w:r>
    </w:p>
    <w:p>
      <w:pPr>
        <w:spacing w:after="0" w:line="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At times, the Company receives payments from customers before revenue is recognized, resulting in the recognition of a contract liability presented on the Condensed Consolidated Balance Sheets.</w:t>
      </w:r>
    </w:p>
    <w:p>
      <w:pPr>
        <w:sectPr>
          <w:pgSz w:w="11900" w:h="16838" w:orient="portrait"/>
          <w:cols w:equalWidth="0" w:num="1">
            <w:col w:w="11240"/>
          </w:cols>
          <w:pgMar w:left="320" w:top="1147"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Contract liability balance for the nine months ended September 30,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Deposits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2025</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Contract</w:t>
      </w:r>
    </w:p>
    <w:p>
      <w:pPr>
        <w:ind w:left="376"/>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36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2" w:lineRule="exact"/>
        <w:rPr>
          <w:sz w:val="20"/>
          <w:szCs w:val="20"/>
          <w:color w:val="auto"/>
        </w:rPr>
      </w:pPr>
    </w:p>
    <w:p>
      <w:pPr>
        <w:ind w:left="1096" w:hanging="1096"/>
        <w:spacing w:after="0"/>
        <w:tabs>
          <w:tab w:leader="none" w:pos="1096" w:val="left"/>
        </w:tabs>
        <w:numPr>
          <w:ilvl w:val="0"/>
          <w:numId w:val="8"/>
        </w:numPr>
        <w:rPr>
          <w:rFonts w:ascii="Arial" w:cs="Arial" w:eastAsia="Arial" w:hAnsi="Arial"/>
          <w:sz w:val="18"/>
          <w:szCs w:val="18"/>
          <w:color w:val="auto"/>
        </w:rPr>
      </w:pPr>
      <w:r>
        <w:rPr>
          <w:rFonts w:ascii="Arial" w:cs="Arial" w:eastAsia="Arial" w:hAnsi="Arial"/>
          <w:sz w:val="18"/>
          <w:szCs w:val="18"/>
          <w:color w:val="auto"/>
        </w:rPr>
        <w:t>2,339</w:t>
      </w:r>
    </w:p>
    <w:p>
      <w:pPr>
        <w:spacing w:after="0" w:line="31" w:lineRule="exact"/>
        <w:rPr>
          <w:rFonts w:ascii="Arial" w:cs="Arial" w:eastAsia="Arial" w:hAnsi="Arial"/>
          <w:sz w:val="18"/>
          <w:szCs w:val="18"/>
          <w:color w:val="auto"/>
        </w:rPr>
      </w:pPr>
    </w:p>
    <w:p>
      <w:pPr>
        <w:ind w:left="1016"/>
        <w:spacing w:after="0"/>
        <w:rPr>
          <w:rFonts w:ascii="Arial" w:cs="Arial" w:eastAsia="Arial" w:hAnsi="Arial"/>
          <w:sz w:val="18"/>
          <w:szCs w:val="18"/>
          <w:color w:val="auto"/>
        </w:rPr>
      </w:pPr>
      <w:r>
        <w:rPr>
          <w:rFonts w:ascii="Arial" w:cs="Arial" w:eastAsia="Arial" w:hAnsi="Arial"/>
          <w:sz w:val="18"/>
          <w:szCs w:val="18"/>
          <w:color w:val="auto"/>
        </w:rPr>
        <w:t>(2,339)</w:t>
      </w:r>
    </w:p>
    <w:p>
      <w:pPr>
        <w:spacing w:after="0" w:line="22" w:lineRule="exact"/>
        <w:rPr>
          <w:rFonts w:ascii="Arial" w:cs="Arial" w:eastAsia="Arial" w:hAnsi="Arial"/>
          <w:sz w:val="18"/>
          <w:szCs w:val="18"/>
          <w:color w:val="auto"/>
        </w:rPr>
      </w:pPr>
    </w:p>
    <w:p>
      <w:pPr>
        <w:ind w:left="1096"/>
        <w:spacing w:after="0"/>
        <w:rPr>
          <w:rFonts w:ascii="Arial" w:cs="Arial" w:eastAsia="Arial" w:hAnsi="Arial"/>
          <w:sz w:val="18"/>
          <w:szCs w:val="18"/>
          <w:color w:val="auto"/>
        </w:rPr>
      </w:pPr>
      <w:r>
        <w:rPr>
          <w:rFonts w:ascii="Arial" w:cs="Arial" w:eastAsia="Arial" w:hAnsi="Arial"/>
          <w:sz w:val="18"/>
          <w:szCs w:val="18"/>
          <w:color w:val="auto"/>
        </w:rPr>
        <w:t>2,147</w:t>
      </w:r>
    </w:p>
    <w:p>
      <w:pPr>
        <w:spacing w:after="0" w:line="27" w:lineRule="exact"/>
        <w:rPr>
          <w:sz w:val="20"/>
          <w:szCs w:val="20"/>
          <w:color w:val="auto"/>
        </w:rPr>
      </w:pPr>
    </w:p>
    <w:p>
      <w:pPr>
        <w:ind w:left="1096" w:hanging="1096"/>
        <w:spacing w:after="0"/>
        <w:tabs>
          <w:tab w:leader="none" w:pos="1096" w:val="left"/>
        </w:tabs>
        <w:numPr>
          <w:ilvl w:val="0"/>
          <w:numId w:val="9"/>
        </w:numPr>
        <w:rPr>
          <w:rFonts w:ascii="Arial" w:cs="Arial" w:eastAsia="Arial" w:hAnsi="Arial"/>
          <w:sz w:val="18"/>
          <w:szCs w:val="18"/>
          <w:color w:val="auto"/>
        </w:rPr>
      </w:pPr>
      <w:r>
        <w:rPr>
          <w:rFonts w:ascii="Arial" w:cs="Arial" w:eastAsia="Arial" w:hAnsi="Arial"/>
          <w:sz w:val="18"/>
          <w:szCs w:val="18"/>
          <w:color w:val="auto"/>
        </w:rPr>
        <w:t>2,147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36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780" w:lineRule="exact"/>
        <w:rPr>
          <w:sz w:val="20"/>
          <w:szCs w:val="20"/>
          <w:color w:val="auto"/>
        </w:rPr>
      </w:pPr>
    </w:p>
    <w:p>
      <w:pPr>
        <w:sectPr>
          <w:pgSz w:w="11900" w:h="16838" w:orient="portrait"/>
          <w:cols w:equalWidth="0" w:num="2">
            <w:col w:w="8904" w:space="720"/>
            <w:col w:w="1616"/>
          </w:cols>
          <w:pgMar w:left="320" w:top="1147" w:right="33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7"/>
                <w:szCs w:val="17"/>
                <w:color w:val="auto"/>
              </w:rPr>
            </w:pPr>
          </w:p>
        </w:tc>
        <w:tc>
          <w:tcPr>
            <w:tcW w:w="1500" w:type="dxa"/>
            <w:vAlign w:val="bottom"/>
          </w:tcPr>
          <w:p>
            <w:pPr>
              <w:jc w:val="right"/>
              <w:ind w:right="72"/>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Prepaid expenses:</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
        </w:trPr>
        <w:tc>
          <w:tcPr>
            <w:tcW w:w="7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Accrued expenses:</w:t>
            </w: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Greenidge had the following noncash investing and financing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Cumulative-effect adjustment due to the adoption of ASU 2023-08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Property and equipment purchases in 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 in exchange for reduction in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Shares issued to settle extension fees and accrued interest for stand-by letters of credit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added to principal of Senior Notes due 2030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Sale of equipment in exchange for receivable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9"/>
                <w:szCs w:val="19"/>
                <w:color w:val="auto"/>
              </w:rPr>
            </w:pPr>
          </w:p>
        </w:tc>
      </w:tr>
      <w:tr>
        <w:trPr>
          <w:trHeight w:val="530"/>
        </w:trPr>
        <w:tc>
          <w:tcPr>
            <w:tcW w:w="8140" w:type="dxa"/>
            <w:vAlign w:val="bottom"/>
          </w:tcPr>
          <w:p>
            <w:pPr>
              <w:spacing w:after="0"/>
              <w:rPr>
                <w:sz w:val="20"/>
                <w:szCs w:val="20"/>
                <w:color w:val="auto"/>
              </w:rPr>
            </w:pPr>
            <w:r>
              <w:rPr>
                <w:rFonts w:ascii="Arial" w:cs="Arial" w:eastAsia="Arial" w:hAnsi="Arial"/>
                <w:sz w:val="18"/>
                <w:szCs w:val="18"/>
                <w:color w:val="auto"/>
              </w:rPr>
              <w:t>The following table provides supplemental cash flow information for cash paid for interest: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0"/>
        </w:trPr>
        <w:tc>
          <w:tcPr>
            <w:tcW w:w="8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7"/>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14. DIGITAL ASSETS</w:t>
      </w:r>
    </w:p>
    <w:p>
      <w:pPr>
        <w:spacing w:after="0" w:line="26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Company’s bitcoin holdings as of September 30, 2025 and December 31, 2024 (in thousands, except bitcoin held):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Digital assets holdings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30,</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8140" w:type="dxa"/>
            <w:vAlign w:val="bottom"/>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Number of bitcoin held</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basis of bitcoin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Arial" w:cs="Arial" w:eastAsia="Arial" w:hAnsi="Arial"/>
                <w:sz w:val="18"/>
                <w:szCs w:val="18"/>
                <w:color w:val="auto"/>
              </w:rPr>
              <w:t>Fair Value of bitcoin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carrying basis represents the valuation of bitcoin at the time the Company earns the bitcoin through mining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reconciliation of the fair values of the Company’s digital assets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Three Months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ind w:right="10"/>
              <w:spacing w:after="0" w:line="189" w:lineRule="exact"/>
              <w:rPr>
                <w:sz w:val="20"/>
                <w:szCs w:val="20"/>
                <w:color w:val="auto"/>
              </w:rPr>
            </w:pPr>
            <w:r>
              <w:rPr>
                <w:rFonts w:ascii="Arial" w:cs="Arial" w:eastAsia="Arial" w:hAnsi="Arial"/>
                <w:sz w:val="18"/>
                <w:szCs w:val="18"/>
                <w:b w:val="1"/>
                <w:bCs w:val="1"/>
                <w:color w:val="auto"/>
                <w:w w:val="99"/>
              </w:rPr>
              <w:t>Nine Months</w:t>
            </w:r>
          </w:p>
        </w:tc>
        <w:tc>
          <w:tcPr>
            <w:tcW w:w="0" w:type="dxa"/>
            <w:vAlign w:val="bottom"/>
          </w:tcPr>
          <w:p>
            <w:pPr>
              <w:spacing w:after="0"/>
              <w:rPr>
                <w:sz w:val="1"/>
                <w:szCs w:val="1"/>
                <w:color w:val="auto"/>
              </w:rPr>
            </w:pPr>
          </w:p>
        </w:tc>
      </w:tr>
      <w:tr>
        <w:trPr>
          <w:trHeight w:val="184"/>
        </w:trPr>
        <w:tc>
          <w:tcPr>
            <w:tcW w:w="8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220"/>
              <w:spacing w:after="0" w:line="183" w:lineRule="exact"/>
              <w:rPr>
                <w:sz w:val="20"/>
                <w:szCs w:val="20"/>
                <w:color w:val="auto"/>
              </w:rPr>
            </w:pPr>
            <w:r>
              <w:rPr>
                <w:rFonts w:ascii="Arial" w:cs="Arial" w:eastAsia="Arial" w:hAnsi="Arial"/>
                <w:sz w:val="18"/>
                <w:szCs w:val="18"/>
                <w:b w:val="1"/>
                <w:bCs w:val="1"/>
                <w:color w:val="auto"/>
              </w:rPr>
              <w:t>Ended</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30"/>
              <w:spacing w:after="0" w:line="183" w:lineRule="exact"/>
              <w:rPr>
                <w:sz w:val="20"/>
                <w:szCs w:val="20"/>
                <w:color w:val="auto"/>
              </w:rPr>
            </w:pPr>
            <w:r>
              <w:rPr>
                <w:rFonts w:ascii="Arial" w:cs="Arial" w:eastAsia="Arial" w:hAnsi="Arial"/>
                <w:sz w:val="18"/>
                <w:szCs w:val="18"/>
                <w:b w:val="1"/>
                <w:bCs w:val="1"/>
                <w:color w:val="auto"/>
                <w:w w:val="98"/>
              </w:rPr>
              <w:t>Ended</w:t>
            </w:r>
          </w:p>
        </w:tc>
        <w:tc>
          <w:tcPr>
            <w:tcW w:w="0" w:type="dxa"/>
            <w:vAlign w:val="bottom"/>
          </w:tcPr>
          <w:p>
            <w:pPr>
              <w:spacing w:after="0"/>
              <w:rPr>
                <w:sz w:val="1"/>
                <w:szCs w:val="1"/>
                <w:color w:val="auto"/>
              </w:rPr>
            </w:pPr>
          </w:p>
        </w:tc>
      </w:tr>
      <w:tr>
        <w:trPr>
          <w:trHeight w:val="181"/>
        </w:trPr>
        <w:tc>
          <w:tcPr>
            <w:tcW w:w="8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Digital assets:</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220"/>
              <w:spacing w:after="0" w:line="181" w:lineRule="exact"/>
              <w:rPr>
                <w:sz w:val="20"/>
                <w:szCs w:val="20"/>
                <w:color w:val="auto"/>
              </w:rPr>
            </w:pPr>
            <w:r>
              <w:rPr>
                <w:rFonts w:ascii="Arial" w:cs="Arial" w:eastAsia="Arial" w:hAnsi="Arial"/>
                <w:sz w:val="18"/>
                <w:szCs w:val="18"/>
                <w:b w:val="1"/>
                <w:bCs w:val="1"/>
                <w:color w:val="auto"/>
              </w:rPr>
              <w:t>September 30,</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30"/>
              <w:spacing w:after="0" w:line="181" w:lineRule="exact"/>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29"/>
        </w:trPr>
        <w:tc>
          <w:tcPr>
            <w:tcW w:w="814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Beginning balance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(15,044)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digital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Company’s bitcoin holdings are not subject to contractual sale restrictions. As of September 30, 2025, the Company held no other digital assets.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15. FAIR VALUE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 follows the guidance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For assets and liabilities measured at fair value on a recurring and nonrecurring basis, a three-level hierarchy based upon observable and unobservable inputs is used to arrive at fair value.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2" w:lineRule="exact"/>
        <w:rPr>
          <w:sz w:val="20"/>
          <w:szCs w:val="20"/>
          <w:color w:val="auto"/>
        </w:rPr>
      </w:pPr>
    </w:p>
    <w:p>
      <w:pPr>
        <w:ind w:left="660" w:right="300" w:hanging="328"/>
        <w:spacing w:after="0" w:line="287"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inputs: Unadjusted quoted prices in active markets for identical assets or liabilities accessible to the reporting entity at the measurement date.</w:t>
      </w:r>
    </w:p>
    <w:p>
      <w:pPr>
        <w:spacing w:after="0" w:line="152" w:lineRule="exact"/>
        <w:rPr>
          <w:rFonts w:ascii="Arial" w:cs="Arial" w:eastAsia="Arial" w:hAnsi="Arial"/>
          <w:sz w:val="18"/>
          <w:szCs w:val="18"/>
          <w:color w:val="auto"/>
        </w:rPr>
      </w:pPr>
    </w:p>
    <w:p>
      <w:pPr>
        <w:ind w:left="660" w:right="500" w:hanging="328"/>
        <w:spacing w:after="0" w:line="287"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52" w:lineRule="exact"/>
        <w:rPr>
          <w:rFonts w:ascii="Arial" w:cs="Arial" w:eastAsia="Arial" w:hAnsi="Arial"/>
          <w:sz w:val="18"/>
          <w:szCs w:val="18"/>
          <w:color w:val="auto"/>
        </w:rPr>
      </w:pPr>
    </w:p>
    <w:p>
      <w:pPr>
        <w:jc w:val="both"/>
        <w:ind w:left="660" w:right="220" w:hanging="328"/>
        <w:spacing w:after="0" w:line="318" w:lineRule="auto"/>
        <w:tabs>
          <w:tab w:leader="none" w:pos="6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7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As of September 30, 2025 and December 31, 2024, the carrying amount of accounts receivable, prepaid expenses and other assets, emissions and carbon offset credits, accounts payable, accrued expenses, accrued emissions expense, and other short-term liabilities approximated their fair value due to their relatively short maturities.</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 the fair value hierarchy of the valuation inputs the Company utilized to determine such fair value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As of December 31, 2024</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Digital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6,950</w:t>
            </w:r>
          </w:p>
        </w:tc>
      </w:tr>
      <w:tr>
        <w:trPr>
          <w:trHeight w:val="220"/>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20" w:type="dxa"/>
            <w:vAlign w:val="bottom"/>
            <w:gridSpan w:val="5"/>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gridSpan w:val="5"/>
            <w:shd w:val="clear" w:color="auto" w:fill="CCEEFF"/>
          </w:tcPr>
          <w:p>
            <w:pPr>
              <w:ind w:left="280"/>
              <w:spacing w:after="0"/>
              <w:rPr>
                <w:sz w:val="20"/>
                <w:szCs w:val="20"/>
                <w:color w:val="auto"/>
              </w:rPr>
            </w:pPr>
            <w:r>
              <w:rPr>
                <w:rFonts w:ascii="Arial" w:cs="Arial" w:eastAsia="Arial" w:hAnsi="Arial"/>
                <w:sz w:val="18"/>
                <w:szCs w:val="18"/>
                <w:b w:val="1"/>
                <w:bCs w:val="1"/>
                <w:color w:val="auto"/>
              </w:rPr>
              <w:t>As of September 30, 2025</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Digital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6,118</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on a Nonrecurring Basis</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Assets that are measured at fair value on a nonrecurring basis are remeasured when carrying value exceeds fair value. This includes the evaluation of long-lived assets. Where an indication of an impairment exists, the Company’s estimates of fair value of long-lived assets require the use of significant unobservable inputs, representative of Level 3 fair value measurements, including numerous assumptions with respect to future circumstances that might impact the long-lived assets’ operations in the future and are therefore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16. SEGMENT REPORTING</w:t>
      </w: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has one reportable segment. The Datacenter Operations segment primarily derives revenue through datacenter hosting, crypto-currency self-mining, and power and capacity sales. The Company’s chief operating decision maker is collectively the Chief Executive Officer and the President. They assess the performance of the segment and decide how to allocate resources based on segment gross profit and net income. The metrics are used to evaluate the investment in the expansion of new datacenters or other uses such as the continued deleveraging of the Company. Gross profit and net income are used to monitor budget versus actual results.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8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Nine Months Ended September 30,</w:t>
            </w:r>
          </w:p>
        </w:tc>
      </w:tr>
      <w:tr>
        <w:trPr>
          <w:trHeight w:val="23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44,741</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Natural gas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11,696</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Electricity for mining expense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Emissions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Hosting fee expense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cost of revenue (a)</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gross profit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13,596</w:t>
            </w:r>
          </w:p>
        </w:tc>
      </w:tr>
      <w:tr>
        <w:trPr>
          <w:trHeight w:val="128"/>
        </w:trPr>
        <w:tc>
          <w:tcPr>
            <w:tcW w:w="5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13,199</w:t>
            </w: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digital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(Gain) loss on sale of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insurance proceeds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5,439</w:t>
            </w: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asset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Loss on liquidation of subsidiary</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troubled debt restructuring</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from income taxes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(15,879)</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 Other cost of revenue primarily consists of labor and repairs and maintenance expenses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Subsequent events have been evaluated through November 13, 2025, the date at which the condensed consolidated financial statements were available to be issued, and the Company has concluded that no such events or transactions took place that would require disclosure herein except as stated directly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Stipulation of Settlement with NYSDEC</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On November 7, 2025, the Company entered into a Stipulation of Settlement with NYSDEC, providing a pathway for the issuance of a five-year Title V Air Permit for the New York Facility, consistent with the CLCPA, and resolving ongoing administrative and judicial proceedings related thereto. See Note 10, “</w:t>
      </w:r>
      <w:r>
        <w:rPr>
          <w:rFonts w:ascii="Arial" w:cs="Arial" w:eastAsia="Arial" w:hAnsi="Arial"/>
          <w:sz w:val="18"/>
          <w:szCs w:val="18"/>
          <w:i w:val="1"/>
          <w:iCs w:val="1"/>
          <w:color w:val="auto"/>
        </w:rPr>
        <w:t>Commitments and Contingencies—Legal Matters,</w:t>
      </w:r>
      <w:r>
        <w:rPr>
          <w:rFonts w:ascii="Arial" w:cs="Arial" w:eastAsia="Arial" w:hAnsi="Arial"/>
          <w:sz w:val="18"/>
          <w:szCs w:val="18"/>
          <w:color w:val="auto"/>
        </w:rPr>
        <w:t>” including, without limitation, the subsections titled “</w:t>
      </w:r>
      <w:r>
        <w:rPr>
          <w:rFonts w:ascii="Arial" w:cs="Arial" w:eastAsia="Arial" w:hAnsi="Arial"/>
          <w:sz w:val="18"/>
          <w:szCs w:val="18"/>
          <w:u w:val="single" w:color="auto"/>
          <w:color w:val="auto"/>
        </w:rPr>
        <w:t>Title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Air Permit Renewal Litigation</w:t>
      </w:r>
      <w:r>
        <w:rPr>
          <w:rFonts w:ascii="Arial" w:cs="Arial" w:eastAsia="Arial" w:hAnsi="Arial"/>
          <w:sz w:val="18"/>
          <w:szCs w:val="18"/>
          <w:color w:val="auto"/>
        </w:rPr>
        <w:t>” and “</w:t>
      </w:r>
      <w:r>
        <w:rPr>
          <w:rFonts w:ascii="Arial" w:cs="Arial" w:eastAsia="Arial" w:hAnsi="Arial"/>
          <w:sz w:val="18"/>
          <w:szCs w:val="18"/>
          <w:u w:val="single" w:color="auto"/>
          <w:color w:val="auto"/>
        </w:rPr>
        <w:t>Stipulation of Settlement with NYSDEC.</w:t>
      </w:r>
      <w:r>
        <w:rPr>
          <w:rFonts w:ascii="Arial" w:cs="Arial" w:eastAsia="Arial" w:hAnsi="Arial"/>
          <w:sz w:val="18"/>
          <w:szCs w:val="18"/>
          <w:color w:val="auto"/>
        </w:rPr>
        <w: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Equity Interest Payment</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October 9, 2025, the Company issued an aggregate of 102,286 shares of the Company's Class A common stock to settle the interest payment obligation for the third quarter of 2025 in connection with the Equity Interest Payment Agreement, a related party transaction approved by the Company's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Tender/Exchange Offer</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On November 6, 2025, the Company announced the expiration and final results of a third tender/exchange offer (the “Third Tender/Exchange Offer”), which consisted of separate concurrent offers to purchase for cash, or issue New Notes in exchange for, its Senior Notes, which</w:t>
      </w:r>
    </w:p>
    <w:p>
      <w:pPr>
        <w:spacing w:after="0" w:line="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commenced on October 6, 2025. Pursuant to the Third Tender/Exchange Offer, the Company purchased $0.3 million in aggregate principal amount of the Senior Notes for a total of $0.1 million in cash and exchanged $0.1 million in aggregate principal amount of the Senior Notes for less than $0.1 million in aggregate principal amount of the New Notes. Following the conclusion of the Third Tender/Exchange Offer on November 5, 2025, the Company had $38.1 million in aggregate principal amount of Senior Notes outstanding and $2.3 million in aggregate</w:t>
      </w:r>
    </w:p>
    <w:p>
      <w:pPr>
        <w:spacing w:after="0"/>
        <w:rPr>
          <w:sz w:val="20"/>
          <w:szCs w:val="20"/>
          <w:color w:val="auto"/>
        </w:rPr>
      </w:pPr>
      <w:r>
        <w:rPr>
          <w:rFonts w:ascii="Arial" w:cs="Arial" w:eastAsia="Arial" w:hAnsi="Arial"/>
          <w:sz w:val="18"/>
          <w:szCs w:val="18"/>
          <w:color w:val="auto"/>
        </w:rPr>
        <w:t>principal amount of New Notes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i w:val="1"/>
          <w:iCs w:val="1"/>
          <w:color w:val="auto"/>
        </w:rPr>
        <w:t>The following discussion should be read together with the audited financial statements and the related notes thereto of Greenidge Generation Holdings Inc., together with its consolidated subsidiaries (“Greenidge” or the “Company”), for the years ended December 31,</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2024 and 2023 included in our Annual Report on Form 10-K and the unaudited interim financial statements and related notes thereto of the Company for the three and nine months ended September 30, 2025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w:t>
      </w:r>
      <w:r>
        <w:rPr>
          <w:rFonts w:ascii="Arial" w:cs="Arial" w:eastAsia="Arial" w:hAnsi="Arial"/>
          <w:sz w:val="18"/>
          <w:szCs w:val="18"/>
          <w:color w:val="auto"/>
        </w:rPr>
        <w:t>’</w:t>
      </w:r>
      <w:r>
        <w:rPr>
          <w:rFonts w:ascii="Arial" w:cs="Arial" w:eastAsia="Arial" w:hAnsi="Arial"/>
          <w:sz w:val="18"/>
          <w:szCs w:val="18"/>
          <w:i w:val="1"/>
          <w:iCs w:val="1"/>
          <w:color w:val="auto"/>
        </w:rPr>
        <w:t xml:space="preserve">s Annual Report on Form 10-K for the year ended December 31, 2024 </w:t>
      </w:r>
      <w:r>
        <w:rPr>
          <w:rFonts w:ascii="Arial" w:cs="Arial" w:eastAsia="Arial" w:hAnsi="Arial"/>
          <w:sz w:val="18"/>
          <w:szCs w:val="18"/>
          <w:color w:val="auto"/>
        </w:rPr>
        <w:t>and in this Quarterly Report on Form 10-Q,</w:t>
      </w:r>
      <w:r>
        <w:rPr>
          <w:rFonts w:ascii="Arial" w:cs="Arial" w:eastAsia="Arial" w:hAnsi="Arial"/>
          <w:sz w:val="18"/>
          <w:szCs w:val="18"/>
          <w:i w:val="1"/>
          <w:iCs w:val="1"/>
          <w:color w:val="auto"/>
        </w:rPr>
        <w:t xml:space="preserve"> and “Cautionary Statement Regarding Forward-Looking Statements” sections of this Quarterly Report on Form 10-Q. Actual results may differ materially from those contained in any forward-looking statements. For purposes of this section, “Greenidge,“ “the Company,” “we,” “us” and “our” refer to Greenidge Generation Holdings Inc. together with its consolidated subsidiaries. You should carefully read “Cautionary Statement Regarding Forward-Looking Statements”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are a developer and operator of datacenters focused on cryptocurrency mining and infrastructure development. We currently build, maintain and operate data centers focused on bitcoin mining, along with related power and electric infrastructure. We generate revenue from</w:t>
      </w:r>
    </w:p>
    <w:p>
      <w:pPr>
        <w:spacing w:after="0" w:line="2" w:lineRule="exact"/>
        <w:rPr>
          <w:sz w:val="20"/>
          <w:szCs w:val="20"/>
          <w:color w:val="auto"/>
        </w:rPr>
      </w:pPr>
    </w:p>
    <w:p>
      <w:pPr>
        <w:ind w:right="260" w:firstLine="8"/>
        <w:spacing w:after="0" w:line="258"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datacenter hosting, (2) cryptocurrency self-mining, and (3) power and capacity sales. We are focused on utilizing our power generation and datacenter operation expertise to connect datacenter power demand with stranded electrical assets through the identification and development of new datacenter sites.</w:t>
      </w:r>
    </w:p>
    <w:p>
      <w:pPr>
        <w:spacing w:after="0" w:line="7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own cryptocurrency datacenter operations in Torrey, New York (the “New York Facility”) and lease property for purposes of operating a cryptocurrency datacenter in Underwood, North Dakota (the “North Dakota Facility”). The New York Facility is a vertically integrated cryptocurrency datacenter and power generation facility with an approximately 106 megawatt (“MW”) nameplate capacity, natural gas power generation facility.</w:t>
      </w:r>
    </w:p>
    <w:p>
      <w:pPr>
        <w:spacing w:after="0" w:line="68"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assist in meeting the power needs of homes and businesses in the region served by our New York Facility.</w:t>
      </w:r>
    </w:p>
    <w:p>
      <w:pPr>
        <w:spacing w:after="0" w:line="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datacenter operations consist of approximately 25,400 miners with approximately 2.9 EH/S of combined capacity for both datacenter hosting and cryptocurrency mining, of which 18,200 miners or 1.8 EH/s, is associated with datacenter hosting and 7,200 miners, or 1.1 EH/s is associated with our cryptocurrency mining.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three months ended September 30, 2025 and subsequent events through the date of this filing:</w:t>
      </w:r>
    </w:p>
    <w:p>
      <w:pPr>
        <w:spacing w:after="0" w:line="117" w:lineRule="exact"/>
        <w:rPr>
          <w:sz w:val="20"/>
          <w:szCs w:val="20"/>
          <w:color w:val="auto"/>
        </w:rPr>
      </w:pPr>
    </w:p>
    <w:p>
      <w:pPr>
        <w:ind w:left="660" w:right="60" w:hanging="328"/>
        <w:spacing w:after="0" w:line="259"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7, 2025, we entered into a Stipulation of Settlement with NYSDEC, providing a pathway for the issuance of a five-year Title V Air Permit for the New York Facility, consistent with the CLCPA, and resolving ongoing administrative and judicial proceedings related thereto. See Note 10, “</w:t>
      </w:r>
      <w:r>
        <w:rPr>
          <w:rFonts w:ascii="Arial" w:cs="Arial" w:eastAsia="Arial" w:hAnsi="Arial"/>
          <w:sz w:val="18"/>
          <w:szCs w:val="18"/>
          <w:i w:val="1"/>
          <w:iCs w:val="1"/>
          <w:color w:val="auto"/>
        </w:rPr>
        <w:t>Commitments and Contingencies—Legal Matters,</w:t>
      </w:r>
      <w:r>
        <w:rPr>
          <w:rFonts w:ascii="Arial" w:cs="Arial" w:eastAsia="Arial" w:hAnsi="Arial"/>
          <w:sz w:val="18"/>
          <w:szCs w:val="18"/>
          <w:color w:val="auto"/>
        </w:rPr>
        <w:t>” including, without limitation, the subsections titled “</w:t>
      </w:r>
      <w:r>
        <w:rPr>
          <w:rFonts w:ascii="Arial" w:cs="Arial" w:eastAsia="Arial" w:hAnsi="Arial"/>
          <w:sz w:val="18"/>
          <w:szCs w:val="18"/>
          <w:u w:val="single" w:color="auto"/>
          <w:color w:val="auto"/>
        </w:rPr>
        <w:t>Title V Air Permit Renewal Litigation</w:t>
      </w:r>
      <w:r>
        <w:rPr>
          <w:rFonts w:ascii="Arial" w:cs="Arial" w:eastAsia="Arial" w:hAnsi="Arial"/>
          <w:sz w:val="18"/>
          <w:szCs w:val="18"/>
          <w:color w:val="auto"/>
        </w:rPr>
        <w:t>” and “</w:t>
      </w:r>
      <w:r>
        <w:rPr>
          <w:rFonts w:ascii="Arial" w:cs="Arial" w:eastAsia="Arial" w:hAnsi="Arial"/>
          <w:sz w:val="18"/>
          <w:szCs w:val="18"/>
          <w:u w:val="single" w:color="auto"/>
          <w:color w:val="auto"/>
        </w:rPr>
        <w:t>Stipulation of Settlement with NYSDEC</w:t>
      </w:r>
      <w:r>
        <w:rPr>
          <w:rFonts w:ascii="Arial" w:cs="Arial" w:eastAsia="Arial" w:hAnsi="Arial"/>
          <w:sz w:val="18"/>
          <w:szCs w:val="18"/>
          <w:color w:val="auto"/>
        </w:rPr>
        <w:t>,” in the Notes to our Unaudited Condensed Consolidated Financial Statements for further information.</w:t>
      </w:r>
    </w:p>
    <w:p>
      <w:pPr>
        <w:spacing w:after="0" w:line="71" w:lineRule="exact"/>
        <w:rPr>
          <w:rFonts w:ascii="Arial" w:cs="Arial" w:eastAsia="Arial" w:hAnsi="Arial"/>
          <w:sz w:val="18"/>
          <w:szCs w:val="18"/>
          <w:color w:val="auto"/>
        </w:rPr>
      </w:pPr>
    </w:p>
    <w:p>
      <w:pPr>
        <w:ind w:left="660" w:hanging="328"/>
        <w:spacing w:after="0" w:line="254"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extinguished approximately 47.3% of the original $72,200,000 aggregate principal amount of our 8.50% Senior Notes due October 2026 (the “Senior Notes”), totaling $34,124,700 in principal amount (or 1,364,988 Senior Notes, each with a $25 principal value), for either cash or shares of our Class A common stock, in the aggregate, from October 24, 2024 through the date of this filing. On November 6, 2025, pursuant to our third offering of separate concurrent offers to purchase for cash, or issue a new series of 10.00% Senior Notes Due due 2030 (each with a $11 principal value) (collectively, the “New Notes”) in exchange for, the Senior Notes (such transaction, the “Third Tender/Exchange Offer”), we purchased $0.3 million in aggregate principal amount of the Senior Notes for a total of $0.1 million in cash and exchanged $0.1 million in aggregate principal amount of the Senior Notes for less than 0.1 million in aggregate principal amount of the New Notes. Following the conclusion of our Third Tender/Exchange Offer, we had $38.1 million in aggregate principal amount of Senior Notes outstanding and $2.3 million in aggregate principal amount of New Notes outstanding. See Note 5,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ind w:left="328" w:right="740"/>
        <w:spacing w:after="0" w:line="287" w:lineRule="auto"/>
        <w:rPr>
          <w:sz w:val="20"/>
          <w:szCs w:val="20"/>
          <w:color w:val="auto"/>
        </w:rPr>
      </w:pPr>
      <w:r>
        <w:rPr>
          <w:rFonts w:ascii="Arial" w:cs="Arial" w:eastAsia="Arial" w:hAnsi="Arial"/>
          <w:sz w:val="18"/>
          <w:szCs w:val="18"/>
          <w:color w:val="auto"/>
        </w:rPr>
        <w:t>and Note 9, “</w:t>
      </w:r>
      <w:r>
        <w:rPr>
          <w:rFonts w:ascii="Arial" w:cs="Arial" w:eastAsia="Arial" w:hAnsi="Arial"/>
          <w:sz w:val="18"/>
          <w:szCs w:val="18"/>
          <w:i w:val="1"/>
          <w:iCs w:val="1"/>
          <w:color w:val="auto"/>
        </w:rPr>
        <w:t>Stockholders’ Deficit</w:t>
      </w:r>
      <w:r>
        <w:rPr>
          <w:rFonts w:ascii="Arial" w:cs="Arial" w:eastAsia="Arial" w:hAnsi="Arial"/>
          <w:sz w:val="18"/>
          <w:szCs w:val="18"/>
          <w:color w:val="auto"/>
        </w:rPr>
        <w:t>,” in the Notes to our Unaudited Condensed Consolidated Financial Statements for further information.</w:t>
      </w:r>
    </w:p>
    <w:p>
      <w:pPr>
        <w:spacing w:after="0" w:line="45" w:lineRule="exact"/>
        <w:rPr>
          <w:sz w:val="20"/>
          <w:szCs w:val="20"/>
          <w:color w:val="auto"/>
        </w:rPr>
      </w:pPr>
    </w:p>
    <w:p>
      <w:pPr>
        <w:ind w:left="328" w:hanging="328"/>
        <w:spacing w:after="0" w:line="257" w:lineRule="auto"/>
        <w:tabs>
          <w:tab w:leader="none" w:pos="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August 1, 2025, Greenidge Mississippi LLC, our wholly owned subsidiary of the Company, entered into an Asset Purchase Agreement (the “APA”) to sell certain assets comprising our plant in Columbus, Mississippi, excluding any bitcoin miners and the adjoining 5.6 acre tract of land with over 73,000 square feet of industrial warehouse space, to US Digital Mining Mississippi LLC, a wholly owned subsidiary of LM Funding America, Inc. (collectively, the “Buyer”), for a purchase price of $3.9 million in cash. On September 16, 2025, concurrent with the closing of the transaction, we sold certain miners to the Buyer for an additional $0.3 million. We continue to evaluate potential uses for the retained industrial warehouse space, including a possible sale or lease.</w:t>
      </w:r>
    </w:p>
    <w:p>
      <w:pPr>
        <w:spacing w:after="0" w:line="74" w:lineRule="exact"/>
        <w:rPr>
          <w:rFonts w:ascii="Arial" w:cs="Arial" w:eastAsia="Arial" w:hAnsi="Arial"/>
          <w:sz w:val="18"/>
          <w:szCs w:val="18"/>
          <w:color w:val="auto"/>
        </w:rPr>
      </w:pPr>
    </w:p>
    <w:p>
      <w:pPr>
        <w:ind w:left="328" w:hanging="328"/>
        <w:spacing w:after="0" w:line="259" w:lineRule="auto"/>
        <w:tabs>
          <w:tab w:leader="none" w:pos="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three months ended September 30, 2025, we did not issue any shares of our Class A common stock under the Common Stock Purchase Agreement with B. Riley Principal Capital II, LLC (See Note 9,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Deficit - Common Stock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with B. Riley Principal Capital II, LLC</w:t>
      </w:r>
      <w:r>
        <w:rPr>
          <w:rFonts w:ascii="Arial" w:cs="Arial" w:eastAsia="Arial" w:hAnsi="Arial"/>
          <w:sz w:val="18"/>
          <w:szCs w:val="18"/>
          <w:color w:val="auto"/>
        </w:rPr>
        <w:t>”). As of the filing date of this report, we do not plan to sell any shares of our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pursuant to the Common Stock Purchase Agreement; however, there can be no assurance that we will not do so at, above or below prevailing market prices for our shares of Class A common stock as of the date of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039"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Results from Operations - Three Months Ended September 30, 2025</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(in thousands) sets forth key components of our results from operations and should be read in conjunction with our condensed consolidated financial statements and related notes. All comparisons below refer to the three months ended September 30, 2025 versus the three months ended September 30, 2024, unless otherwise specified.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17"/>
                <w:szCs w:val="17"/>
                <w:color w:val="auto"/>
              </w:rPr>
            </w:pPr>
          </w:p>
        </w:tc>
      </w:tr>
      <w:tr>
        <w:trPr>
          <w:trHeight w:val="204"/>
        </w:trPr>
        <w:tc>
          <w:tcPr>
            <w:tcW w:w="47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Datacenter hosting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6,304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Cryptocurrency mining</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Power and capacity</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4,738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83 %</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15,220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12,351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(exclusive of depreciation)</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11,023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9,357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3,069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Gain on digital assets</w:t>
            </w:r>
          </w:p>
        </w:tc>
        <w:tc>
          <w:tcPr>
            <w:tcW w:w="26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197 %</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sale of assets</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14,916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17,004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Gain on troubled debt restructuring</w:t>
            </w:r>
          </w:p>
        </w:tc>
        <w:tc>
          <w:tcPr>
            <w:tcW w:w="26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11,496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11,654</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(736)%</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 before income taxes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11,958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11,958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Financial Data (a)</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15,228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ind w:right="220" w:firstLine="8"/>
        <w:spacing w:after="0" w:line="287"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Metrics under Other Financial Data are non-GAAP performance measures. A reconciliation of reported amounts to adjusted amounts can be found in the “Non-GAAP Measures and Reconciliations” section of this Management’s Discussion and Analysis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related to the three months ended September 30,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1660" w:type="dxa"/>
            <w:vAlign w:val="bottom"/>
            <w:gridSpan w:val="2"/>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 in thousands, except $ per MWh and average bitcoin price</w:t>
            </w:r>
          </w:p>
        </w:tc>
        <w:tc>
          <w:tcPr>
            <w:tcW w:w="280" w:type="dxa"/>
            <w:vAlign w:val="bottom"/>
          </w:tcPr>
          <w:p>
            <w:pPr>
              <w:spacing w:after="0"/>
              <w:rPr>
                <w:sz w:val="17"/>
                <w:szCs w:val="17"/>
                <w:color w:val="auto"/>
              </w:rPr>
            </w:pPr>
          </w:p>
        </w:tc>
        <w:tc>
          <w:tcPr>
            <w:tcW w:w="1340" w:type="dxa"/>
            <w:vAlign w:val="bottom"/>
          </w:tcPr>
          <w:p>
            <w:pPr>
              <w:jc w:val="right"/>
              <w:ind w:right="57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591"/>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1040" w:type="dxa"/>
            <w:vAlign w:val="bottom"/>
          </w:tcPr>
          <w:p>
            <w:pPr>
              <w:jc w:val="right"/>
              <w:ind w:right="6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6,304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6,490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Power and capacity</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4,738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2,594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15,220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12,351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Components of revenue as % of total</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7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Datacenter hosting</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Cryptocurrency mining</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3"/>
          </w:tcPr>
          <w:p>
            <w:pPr>
              <w:ind w:left="1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MWh</w:t>
            </w:r>
          </w:p>
        </w:tc>
        <w:tc>
          <w:tcPr>
            <w:tcW w:w="428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95,217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115,307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(20,090)</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37,997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48,859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46,698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42,554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4,144</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 per MWh</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 (exclusive of depreciation)</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5,587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4,975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612</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2,904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1,777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1,127</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 per MWh (exclusive of depreciation)</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Cryptocurrency Mining Metrics</w:t>
            </w:r>
          </w:p>
        </w:tc>
        <w:tc>
          <w:tcPr>
            <w:tcW w:w="20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Bitcoins produced:</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Datacenter hosting</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Cryptocurrency mining</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bitcoins produced</w:t>
            </w: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bitcoin price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114,402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61,023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53,379</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Average active hash rate (EH/s) Company-owned miners</w:t>
            </w: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826,200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791,533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34,667</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active hash rate (EH/s) Hosted miners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1,331,600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1,663,884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(332,284)</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Average difficulty</w:t>
            </w:r>
          </w:p>
        </w:tc>
        <w:tc>
          <w:tcPr>
            <w:tcW w:w="2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130.0 T</w:t>
            </w:r>
          </w:p>
        </w:tc>
        <w:tc>
          <w:tcPr>
            <w:tcW w:w="360" w:type="dxa"/>
            <w:vAlign w:val="bottom"/>
          </w:tcPr>
          <w:p>
            <w:pPr>
              <w:spacing w:after="0"/>
              <w:rPr>
                <w:sz w:val="20"/>
                <w:szCs w:val="20"/>
                <w:color w:val="auto"/>
              </w:rPr>
            </w:pP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rPr>
              <w:t>85.9 T</w:t>
            </w:r>
          </w:p>
        </w:tc>
        <w:tc>
          <w:tcPr>
            <w:tcW w:w="400" w:type="dxa"/>
            <w:vAlign w:val="bottom"/>
          </w:tcPr>
          <w:p>
            <w:pPr>
              <w:spacing w:after="0"/>
              <w:rPr>
                <w:sz w:val="20"/>
                <w:szCs w:val="20"/>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rPr>
              <w:t>44.1 T</w:t>
            </w:r>
          </w:p>
        </w:tc>
        <w:tc>
          <w:tcPr>
            <w:tcW w:w="104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73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3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During the three months ended September 30, 2025 Greenidge increased power and capacity MWhs due to favorable power and capacity economics, while reducing MWhs dedicated to datacenter hosting. At September 30, 2025, Greenidge datacenter operations consisted of approximately 25,400 miners with approximately 2.9 EH/s of combined capacity for both datacenter hosting and cryptocurrency mining, of which 18,200 miners, or 1.8 EH/s, were associated with datacenter hosting and 7,200 miners, or 1.1 EH/s, were associated with Greenidge’s cryptocurrency mining.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mining revenue</w:t>
      </w:r>
    </w:p>
    <w:p>
      <w:pPr>
        <w:spacing w:after="0" w:line="23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our cryptocurrency mining revenue, we generate revenue in the form of bitcoin by earning bitcoin as rewards and transaction fees for supporting the global bitcoin network with application-specific integrated circuit computers (“ASICs” or “miners”) owned by us. Our cryptocurrency mining revenue increased $0.9 million, or 28%, to $4.2 million.</w:t>
      </w:r>
    </w:p>
    <w:p>
      <w:pPr>
        <w:spacing w:after="0" w:line="18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estimate that approximately 59% of the increase was due to the increase in the average price of bitcoin, partially offset by 34% due to increases in the global bitcoin mining difficulty factor. Bitcoin mining difficulty was 51% higher compared to the prior year due to increases in the difficulty index associated with the complexity of the algorithmic solution required to create a block and receive a bitcoin award, and the average bitcoin price was 87% higher than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2025, the miners associated with Greenidge’s cryptocurrency mining were comprised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82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Vendor and Model</w:t>
            </w:r>
          </w:p>
        </w:tc>
        <w:tc>
          <w:tcPr>
            <w:tcW w:w="160" w:type="dxa"/>
            <w:vAlign w:val="bottom"/>
            <w:tcBorders>
              <w:top w:val="single" w:sz="8" w:color="CCEEFF"/>
            </w:tcBorders>
            <w:shd w:val="clear" w:color="auto" w:fill="CCEEFF"/>
          </w:tcPr>
          <w:p>
            <w:pPr>
              <w:spacing w:after="0"/>
              <w:rPr>
                <w:sz w:val="23"/>
                <w:szCs w:val="23"/>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Number of Miners</w:t>
            </w:r>
          </w:p>
        </w:tc>
      </w:tr>
      <w:tr>
        <w:trPr>
          <w:trHeight w:val="224"/>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Bitmain S19 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S19j Pro</w:t>
            </w:r>
          </w:p>
        </w:tc>
        <w:tc>
          <w:tcPr>
            <w:tcW w:w="16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XP</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Hydro</w:t>
            </w:r>
          </w:p>
        </w:tc>
        <w:tc>
          <w:tcPr>
            <w:tcW w:w="16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6"/>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S21</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52"/>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S21+</w:t>
            </w:r>
          </w:p>
        </w:tc>
        <w:tc>
          <w:tcPr>
            <w:tcW w:w="16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4"/>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AvalonMiner 1566-209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10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7,200</w:t>
            </w:r>
          </w:p>
        </w:tc>
      </w:tr>
      <w:tr>
        <w:trPr>
          <w:trHeight w:val="20"/>
        </w:trPr>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above table excludes 2,300 miners sold to US Digital Mining Mississippi LLC on September 16, 2025. The 2,300 miners contributed to our self-mining operations during the quarter prior to their sale.</w:t>
      </w:r>
    </w:p>
    <w:p>
      <w:pPr>
        <w:spacing w:after="0" w:line="180"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As of September 30, 2025, our fleet of miners ranged in age from 0.5 to 4.1 years and had an average age of approximately 2.1 years. We do not have scheduled downtime for our miners. When we have unscheduled downtime, we may from time to time replace a miner with a substitute miner in order to minimize overall fleet downtime. As of September 30, 2025, our fleet of miners ranged in efficiency from approximately 15.0 to 34.2 joules per terahash (“J/TH”) and had an average efficiency of 21.3 J/TH.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average cost of mining each bitcoin for the three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Cost of Mining - Analysis of Costs to Mine One Bitcoin</w:t>
            </w:r>
          </w:p>
        </w:tc>
        <w:tc>
          <w:tcPr>
            <w:tcW w:w="176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Three Months</w:t>
            </w:r>
          </w:p>
        </w:tc>
        <w:tc>
          <w:tcPr>
            <w:tcW w:w="2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Three Months</w:t>
            </w:r>
          </w:p>
        </w:tc>
      </w:tr>
      <w:tr>
        <w:trPr>
          <w:trHeight w:val="216"/>
        </w:trPr>
        <w:tc>
          <w:tcPr>
            <w:tcW w:w="6280" w:type="dxa"/>
            <w:vAlign w:val="bottom"/>
          </w:tcPr>
          <w:p>
            <w:pPr>
              <w:spacing w:after="0"/>
              <w:rPr>
                <w:sz w:val="18"/>
                <w:szCs w:val="18"/>
                <w:color w:val="auto"/>
              </w:rPr>
            </w:pPr>
          </w:p>
        </w:tc>
        <w:tc>
          <w:tcPr>
            <w:tcW w:w="326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99"/>
              </w:rPr>
              <w:t>Ended September</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Ended September</w:t>
            </w:r>
          </w:p>
        </w:tc>
      </w:tr>
      <w:tr>
        <w:trPr>
          <w:trHeight w:val="248"/>
        </w:trPr>
        <w:tc>
          <w:tcPr>
            <w:tcW w:w="6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30, 2025</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30, 2024</w:t>
            </w:r>
          </w:p>
        </w:tc>
      </w:tr>
      <w:tr>
        <w:trPr>
          <w:trHeight w:val="224"/>
        </w:trPr>
        <w:tc>
          <w:tcPr>
            <w:tcW w:w="62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Cost to mine one bitcoin</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70,333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49,151</w:t>
            </w:r>
          </w:p>
        </w:tc>
      </w:tr>
      <w:tr>
        <w:trPr>
          <w:trHeight w:val="256"/>
        </w:trPr>
        <w:tc>
          <w:tcPr>
            <w:tcW w:w="6280" w:type="dxa"/>
            <w:vAlign w:val="bottom"/>
          </w:tcPr>
          <w:p>
            <w:pPr>
              <w:ind w:left="20"/>
              <w:spacing w:after="0" w:line="256" w:lineRule="exact"/>
              <w:rPr>
                <w:sz w:val="20"/>
                <w:szCs w:val="20"/>
                <w:color w:val="auto"/>
              </w:rPr>
            </w:pPr>
            <w:r>
              <w:rPr>
                <w:rFonts w:ascii="Arial" w:cs="Arial" w:eastAsia="Arial" w:hAnsi="Arial"/>
                <w:sz w:val="18"/>
                <w:szCs w:val="18"/>
                <w:color w:val="auto"/>
              </w:rPr>
              <w:t>Value of each bitcoin mined</w:t>
            </w:r>
            <w:r>
              <w:rPr>
                <w:rFonts w:ascii="Arial" w:cs="Arial" w:eastAsia="Arial" w:hAnsi="Arial"/>
                <w:sz w:val="23"/>
                <w:szCs w:val="23"/>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116,056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61,642</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mine one bitcoin as % of value of bitcoin mined</w:t>
            </w:r>
          </w:p>
        </w:tc>
        <w:tc>
          <w:tcPr>
            <w:tcW w:w="17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60.6 %</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79.7 %</w:t>
            </w:r>
          </w:p>
        </w:tc>
      </w:tr>
    </w:tbl>
    <w:p>
      <w:pPr>
        <w:spacing w:after="0" w:line="8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Computed as cost of revenue of cryptocurrency mining divided by number of bitcoins produced from cryptocurrency mining.</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Computed as cryptocurrency mining revenue divided by number of bitcoins produced from cryptocurrency mining.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4" w:name="page35"/>
    <w:bookmarkEnd w:id="34"/>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Datacenter hosting revenue</w:t>
      </w:r>
    </w:p>
    <w:p>
      <w:pPr>
        <w:spacing w:after="0" w:line="23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Under the hosting services agreement and related orders with affiliates of NYDIG ABL LLC (collectively as in effect from time to time,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 of $ 6.3 million for the three months ended September 30, 2025 and $6.5 million for the three months ended September 30, 2024. This decrease of $ 0.2 million was due to a 51% increase in average difficulty and a 17% decrease in hosting MWhs, partially offset by an 87% increase in the average price of bitcoin. We managed approximately 1.3 EH/s of average active hash rate in our hosting services, which produced approximately 59 bitcoins.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Our power and capacity revenue increased $2.1 million, or 83%, to $4.7 million during the three months ended September 30, 2025. We estimate that higher power and capacity sales volume due to increased demand and higher average power and capacity prices caused revenue increases of approximately 14% and 68%,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 (exclusive of depreciation)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 in thousands</w:t>
            </w:r>
          </w:p>
        </w:tc>
        <w:tc>
          <w:tcPr>
            <w:tcW w:w="260" w:type="dxa"/>
            <w:vAlign w:val="bottom"/>
          </w:tcPr>
          <w:p>
            <w:pPr>
              <w:spacing w:after="0"/>
              <w:rPr>
                <w:sz w:val="17"/>
                <w:szCs w:val="17"/>
                <w:color w:val="auto"/>
              </w:rPr>
            </w:pPr>
          </w:p>
        </w:tc>
        <w:tc>
          <w:tcPr>
            <w:tcW w:w="31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7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Datacenter hosting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4,975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Cryptocurrency mining</w:t>
            </w:r>
          </w:p>
        </w:tc>
        <w:tc>
          <w:tcPr>
            <w:tcW w:w="260" w:type="dxa"/>
            <w:vAlign w:val="bottom"/>
          </w:tcPr>
          <w:p>
            <w:pPr>
              <w:spacing w:after="0"/>
              <w:rPr>
                <w:sz w:val="19"/>
                <w:szCs w:val="19"/>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2,605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and capacity</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2,904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1,777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 cost of revenue (exclusive of depreciation)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9,357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72.4 %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Total cost of revenue, exclusive of depreciation, increased $ 1.7 million, or 18%, to $11.0 million during the three months ended September 30, 2025 as compared to the prior year period. We estimate the increase is composed of approximately 14% due to higher natural gas costs primarily due to a 51% increase in natural gas prices, as well as 4% due to increase in plant repairs and maintenance, partially offset by a 9% decrease in MWh volume at the New York Facility.</w:t>
      </w:r>
    </w:p>
    <w:p>
      <w:pPr>
        <w:spacing w:after="0" w:line="17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New York Facility allocates its cost of revenue between datacenter hosting, cryptocurrency mining and power and capacity based on their respective MWh consumption on a pro rata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expenses</w:t>
      </w:r>
    </w:p>
    <w:p>
      <w:pPr>
        <w:spacing w:after="0" w:line="22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Selling, general and administrative expenses decreased $0.7 million, or 18%, to $3.1 million for the three months ended September 30, 2025 as compared to the prior year period. The main drivers of the decrease in selling, general and administrative expenses were:</w:t>
      </w:r>
    </w:p>
    <w:p>
      <w:pPr>
        <w:spacing w:after="0" w:line="85" w:lineRule="exact"/>
        <w:rPr>
          <w:sz w:val="20"/>
          <w:szCs w:val="20"/>
          <w:color w:val="auto"/>
        </w:rPr>
      </w:pPr>
    </w:p>
    <w:p>
      <w:pPr>
        <w:ind w:left="660" w:right="160" w:hanging="328"/>
        <w:spacing w:after="0" w:line="253"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payroll and benefits and stock compensation expense decreased approximately $0.1 and $0.7 million, respectively, in the third quarter of 2025 compared to the prior year period, as a result of declines in employee expenses related to the corporate overhead cost, decrease in incentive compensation and forfeiture of unvested options;</w:t>
      </w:r>
    </w:p>
    <w:p>
      <w:pPr>
        <w:spacing w:after="0" w:line="195" w:lineRule="exact"/>
        <w:rPr>
          <w:rFonts w:ascii="Arial" w:cs="Arial" w:eastAsia="Arial" w:hAnsi="Arial"/>
          <w:sz w:val="18"/>
          <w:szCs w:val="18"/>
          <w:color w:val="auto"/>
        </w:rPr>
      </w:pPr>
    </w:p>
    <w:p>
      <w:pPr>
        <w:ind w:left="660" w:right="340" w:hanging="328"/>
        <w:spacing w:after="0" w:line="27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insurance expense decreased approximately $0.2 million in the third quarter of 2025 compared to the prior year period, as a result of a decline in coverage costs related to umbrella, property, and liability policies due to a lower asset base;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ind w:left="660" w:right="80" w:hanging="328"/>
        <w:spacing w:after="0" w:line="271"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of approximately $0.5 million primarily due to an increase in legal costs in connection with the Tender/Exchange Offers (as defined below); and</w:t>
      </w:r>
    </w:p>
    <w:p>
      <w:pPr>
        <w:spacing w:after="0" w:line="180" w:lineRule="exact"/>
        <w:rPr>
          <w:rFonts w:ascii="Arial" w:cs="Arial" w:eastAsia="Arial" w:hAnsi="Arial"/>
          <w:sz w:val="18"/>
          <w:szCs w:val="18"/>
          <w:color w:val="auto"/>
        </w:rPr>
      </w:pPr>
    </w:p>
    <w:p>
      <w:pPr>
        <w:ind w:left="660" w:right="640" w:hanging="328"/>
        <w:spacing w:after="0" w:line="271"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of approximately $0.1 million due to less environmental remediation expenses incurred in the third quarter of 2025 compared to the prior year period.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w:t>
      </w:r>
    </w:p>
    <w:p>
      <w:pPr>
        <w:spacing w:after="0" w:line="22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Depreciation expense decreased $0.4 million, or 11%, to $ 3.0 million for the three months ended September 30, 2025 as compared to the prior year period, due to a lower depreciable asset base at the end of the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(gain) on digital assets</w:t>
      </w:r>
    </w:p>
    <w:p>
      <w:pPr>
        <w:spacing w:after="0" w:line="22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recognized a gain on digital assets of $0.5 million for the three months ended September 30, 2025 as a result of an increase in the closing price of bitcoin during the three months ended September 30, 2025, $0.2 million of which was an unrealized gain on bitcoin held in treasury and $0.2 million of which was a realized gain on sale of bitcoin during the quarter. There was a $0.2 million gain on digital assets during the three months ended September 30,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(gain) on sale of assets</w:t>
      </w: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recognized a gain on the sale of assets of $1.7 million for the three months ended September 30, 2025 as a result of selling assets from our Mississippi plant which comprised miner infrastructure, miners and land as well as other long-lived assets during the quarter. We recognized a loss of $0.7 million on the sale of assets during the three months ended September 30,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income (loss) from operations</w:t>
      </w:r>
    </w:p>
    <w:p>
      <w:pPr>
        <w:spacing w:after="0" w:line="22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a result of the factors described above, we reported operating income for the three months ended September 30, 2025 of $0.3 million as compared to an operating loss of $4.7 million in the three months ended September 30,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Total other income (expense), net</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September 30, 2025, total other expense, net decreased by $13.5 million, or 736%, to $11.7 million of other income primarily due to a gain on troubled debt restructuring of $11.5 million, a gain of $0.4 million as a result of a forfeited deposit held in connection with the sale of our South Carolina facility, and a decrease of approximately $ 1.8 million in interest expense on long-term debt as a result of troubled debt restructuring, which was partially offset by $0.2 million of interest expense incurred in connection with the Equity Interest Payment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Benefit from income taxes</w:t>
      </w:r>
    </w:p>
    <w:p>
      <w:pPr>
        <w:spacing w:after="0" w:line="22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effective tax rate for the three months ended September 30, 2025 and 2024 was 0% and 2%, respectively, which was lower than the statutory rate of 21% because we have a full valuation allowance on deferred tax assets, as well as an adjustment for the New York State income tax receivable upon completion of the 2023 tax return. We recorded and will continue to carry a full valuation allowance against our gross deferred tax assets that will not reverse against deferred tax liabilities within the scheduled reversal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income (loss) from operations</w:t>
      </w:r>
    </w:p>
    <w:p>
      <w:pPr>
        <w:spacing w:after="0" w:line="22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As a result of the factors described above, we recognized net income of $12.0 million for the three months ended September 30, 2025 as compared to a net loss of $6.4 million for the three months ended September 30, 2024.</w:t>
      </w: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55"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Principles (“U.S. GAAP”).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EBITDA (loss) and Adjusted EBITDA (loss)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“EBITDA” is defined as earnings from operations before taxes, interest, and depreciation and amortization. “Adjusted EBITDA from operations” is defined as EBITDA from operations adjusted for stock-based compensation and other special items determined by management, including, but not limited to loss on sale of assets, change in fair value of warrant asset and impairment of long-lived assets as they are not indicative of business operations. Adjusted EBITDA is intended as a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 of net loss (income) to EBITDA (loss) and Adjusted EBITDA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1700" w:type="dxa"/>
            <w:vAlign w:val="bottom"/>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spacing w:after="0"/>
              <w:rPr>
                <w:sz w:val="17"/>
                <w:szCs w:val="17"/>
                <w:color w:val="auto"/>
              </w:rPr>
            </w:pPr>
          </w:p>
        </w:tc>
      </w:tr>
      <w:tr>
        <w:trPr>
          <w:trHeight w:val="203"/>
        </w:trPr>
        <w:tc>
          <w:tcPr>
            <w:tcW w:w="49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w:t>
            </w: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 and Adjusted EBITDA</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 from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11,958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920" w:type="dxa"/>
            <w:vAlign w:val="bottom"/>
          </w:tcPr>
          <w:p>
            <w:pPr>
              <w:ind w:left="240"/>
              <w:spacing w:after="0"/>
              <w:rPr>
                <w:sz w:val="20"/>
                <w:szCs w:val="20"/>
                <w:color w:val="auto"/>
              </w:rPr>
            </w:pPr>
            <w:r>
              <w:rPr>
                <w:rFonts w:ascii="Arial" w:cs="Arial" w:eastAsia="Arial" w:hAnsi="Arial"/>
                <w:sz w:val="18"/>
                <w:szCs w:val="18"/>
                <w:color w:val="auto"/>
              </w:rPr>
              <w:t>EBITDA</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(Gain) loss on sale of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troubled debt restructuring</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9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Results from Operations - Nine Months Ended September 30, 2025</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(in thousands) sets forth key components of our results from operations and should be read in conjunction with our condensed consolidated financial statements and related notes. All comparisons below refer to the nine months ended September 30, 2025 versus the nine months ended September 30, 2024, unless otherwise specified.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Pr>
          <w:p>
            <w:pPr>
              <w:spacing w:after="0"/>
              <w:rPr>
                <w:sz w:val="17"/>
                <w:szCs w:val="17"/>
                <w:color w:val="auto"/>
              </w:rPr>
            </w:pP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17"/>
                <w:szCs w:val="17"/>
                <w:color w:val="auto"/>
              </w:rPr>
            </w:pPr>
          </w:p>
        </w:tc>
      </w:tr>
      <w:tr>
        <w:trPr>
          <w:trHeight w:val="203"/>
        </w:trPr>
        <w:tc>
          <w:tcPr>
            <w:tcW w:w="4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1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Datacenter hosting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18,169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22,582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Cryptocurrency mining</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12,639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Power and capacity</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16,515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7,118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132 %</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47,323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44,741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10"/>
        </w:trPr>
        <w:tc>
          <w:tcPr>
            <w:tcW w:w="474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(exclusive of depreciation)</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37,872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31,145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9,909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8,951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13,199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digital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671 %</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(Gain) loss on sale of assets</w:t>
            </w:r>
          </w:p>
        </w:tc>
        <w:tc>
          <w:tcPr>
            <w:tcW w:w="30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insurance proceeds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52,803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54,879</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Loss on liquidation of subsidiary</w:t>
            </w:r>
          </w:p>
        </w:tc>
        <w:tc>
          <w:tcPr>
            <w:tcW w:w="30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troubled debt restructuring</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Change in fair value of warrant asset</w:t>
            </w:r>
          </w:p>
        </w:tc>
        <w:tc>
          <w:tcPr>
            <w:tcW w:w="3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7,712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(5,859)</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 before income taxes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(15,997)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income taxes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w:t>
            </w:r>
          </w:p>
        </w:tc>
      </w:tr>
      <w:tr>
        <w:trPr>
          <w:trHeight w:val="2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2,276</w:t>
            </w: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(15,879)</w:t>
            </w:r>
          </w:p>
        </w:tc>
        <w:tc>
          <w:tcPr>
            <w:tcW w:w="1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7"/>
        </w:trPr>
        <w:tc>
          <w:tcPr>
            <w:tcW w:w="47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Amounts (a)</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ind w:left="340" w:right="340" w:hanging="332"/>
        <w:spacing w:after="0" w:line="287" w:lineRule="auto"/>
        <w:tabs>
          <w:tab w:leader="none" w:pos="3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Amounts and Other Financial Data are non-GAAP performance measures. A reconciliation of reported amounts to adjusted amounts can be found in the “Non-GAAP Measures and Reconciliations” section of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Key Metrics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related to the nine months ended September 30, 2025 and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Pr>
          <w:p>
            <w:pPr>
              <w:spacing w:after="0"/>
              <w:rPr>
                <w:sz w:val="17"/>
                <w:szCs w:val="17"/>
                <w:color w:val="auto"/>
              </w:rPr>
            </w:pPr>
          </w:p>
        </w:tc>
        <w:tc>
          <w:tcPr>
            <w:tcW w:w="1660" w:type="dxa"/>
            <w:vAlign w:val="bottom"/>
            <w:gridSpan w:val="2"/>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 in thousands, except $ per MWh and average bitcoin price</w:t>
            </w:r>
          </w:p>
        </w:tc>
        <w:tc>
          <w:tcPr>
            <w:tcW w:w="300" w:type="dxa"/>
            <w:vAlign w:val="bottom"/>
          </w:tcPr>
          <w:p>
            <w:pPr>
              <w:spacing w:after="0"/>
              <w:rPr>
                <w:sz w:val="17"/>
                <w:szCs w:val="17"/>
                <w:color w:val="auto"/>
              </w:rPr>
            </w:pPr>
          </w:p>
        </w:tc>
        <w:tc>
          <w:tcPr>
            <w:tcW w:w="1320" w:type="dxa"/>
            <w:vAlign w:val="bottom"/>
          </w:tcPr>
          <w:p>
            <w:pPr>
              <w:jc w:val="right"/>
              <w:ind w:right="57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591"/>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1040" w:type="dxa"/>
            <w:vAlign w:val="bottom"/>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31"/>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18,169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22,582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(4,413)</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12,639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15,041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Power and capacity</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16,515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7,118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9,397</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132 %</w:t>
            </w:r>
          </w:p>
        </w:tc>
      </w:tr>
      <w:tr>
        <w:trPr>
          <w:trHeight w:val="223"/>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47,323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44,741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10"/>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Components of revenue as % of total</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Datacenter hosting</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Cryptocurrency mining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20" w:type="dxa"/>
            <w:vAlign w:val="bottom"/>
            <w:gridSpan w:val="3"/>
          </w:tcPr>
          <w:p>
            <w:pPr>
              <w:ind w:left="1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MWh</w:t>
            </w:r>
          </w:p>
        </w:tc>
        <w:tc>
          <w:tcPr>
            <w:tcW w:w="428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0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277,120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326,968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(49,848)</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131,453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139,767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0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160,606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117,321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43,285</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 per MWh</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 (exclusive of depreciation)</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18,355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16,963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1,392</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8,577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9,525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10,940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4,657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6,283</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 per MWh (exclusive of depreciation)</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Cryptocurrency Mining Metrics</w:t>
            </w:r>
          </w:p>
        </w:tc>
        <w:tc>
          <w:tcPr>
            <w:tcW w:w="2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Bitcoins produced:</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Datacenter hosting</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Cryptocurrency mining</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261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bitcoins produced</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793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bitcoin price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102,120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60,028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42,092</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Average active hash rate (EH/s) Company-owned miners</w:t>
            </w:r>
          </w:p>
        </w:tc>
        <w:tc>
          <w:tcPr>
            <w:tcW w:w="30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878,530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790,142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88,388</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active hash rate (EH/s) Hosted miners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1,349,490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1,637,777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(288,287)</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9"/>
        </w:trPr>
        <w:tc>
          <w:tcPr>
            <w:tcW w:w="2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Average difficulty</w:t>
            </w:r>
          </w:p>
        </w:tc>
        <w:tc>
          <w:tcPr>
            <w:tcW w:w="300" w:type="dxa"/>
            <w:vAlign w:val="bottom"/>
          </w:tcPr>
          <w:p>
            <w:pPr>
              <w:spacing w:after="0"/>
              <w:rPr>
                <w:sz w:val="20"/>
                <w:szCs w:val="20"/>
                <w:color w:val="auto"/>
              </w:rPr>
            </w:pP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121.4 T</w:t>
            </w:r>
          </w:p>
        </w:tc>
        <w:tc>
          <w:tcPr>
            <w:tcW w:w="360" w:type="dxa"/>
            <w:vAlign w:val="bottom"/>
          </w:tcPr>
          <w:p>
            <w:pPr>
              <w:spacing w:after="0"/>
              <w:rPr>
                <w:sz w:val="20"/>
                <w:szCs w:val="20"/>
                <w:color w:val="auto"/>
              </w:rPr>
            </w:pP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rPr>
              <w:t>82.6 T</w:t>
            </w:r>
          </w:p>
        </w:tc>
        <w:tc>
          <w:tcPr>
            <w:tcW w:w="400" w:type="dxa"/>
            <w:vAlign w:val="bottom"/>
          </w:tcPr>
          <w:p>
            <w:pPr>
              <w:spacing w:after="0"/>
              <w:rPr>
                <w:sz w:val="20"/>
                <w:szCs w:val="20"/>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rPr>
              <w:t>38.8 T</w:t>
            </w:r>
          </w:p>
        </w:tc>
        <w:tc>
          <w:tcPr>
            <w:tcW w:w="1040" w:type="dxa"/>
            <w:vAlign w:val="bottom"/>
          </w:tcPr>
          <w:p>
            <w:pPr>
              <w:jc w:val="right"/>
              <w:spacing w:after="0"/>
              <w:rPr>
                <w:sz w:val="20"/>
                <w:szCs w:val="20"/>
                <w:color w:val="auto"/>
              </w:rPr>
            </w:pPr>
            <w:r>
              <w:rPr>
                <w:rFonts w:ascii="Arial" w:cs="Arial" w:eastAsia="Arial" w:hAnsi="Arial"/>
                <w:sz w:val="18"/>
                <w:szCs w:val="18"/>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nine months ended September 30, 2025, Greenidge increased power and capacity MWhs due to favorable power and capacity economics, while reducing MWhs dedicated to hosting services. At September 30, 2025, Greenidge datacenter operations consisted of approximately 25,400 miners with approximately 2.9 EH/s of combined capacity for both datacenter hosting and cryptocurrency mining, of which 18,200 miners, or 1.8 EH/s, is associated with datacenter hosting and 7,200 miners, or 1.1 EH/s, is associated with Greenidge’s cryptocurrency mining.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mining revenue</w:t>
      </w:r>
    </w:p>
    <w:p>
      <w:pPr>
        <w:spacing w:after="0" w:line="23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For our cryptocurrency mining revenue, we generate revenue in the form of bitcoin by earning bitcoin as rewards and transaction fees for supporting the global bitcoin network with ASICs owned or leased by us. Our cryptocurrency mining revenue decreased $ 2.4 million, or 16%, to $ 12.6 million. We estimate that approximately 47% of the decrease was due to the increase in the global bitcoin mining difficulty factor and the bitcoin halving that occurred in April 2024, which was partially offset by 35% due to the increase in the average price of bitcoin. Bitcoin mining difficulty was 47% higher compared to the prior year due to increases in the difficulty index associated with the complexity of the algorithmic solution required to create a block and receive a bitcoin award, the average bitcoin price was 70% higher and our average hash rate increased 11%, primarily attributable to the addition of more efficient miners to our fleet.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2025, the miners associated with Greenidge’s cryptocurrency mining were comprised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82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Vendor and Model</w:t>
            </w:r>
          </w:p>
        </w:tc>
        <w:tc>
          <w:tcPr>
            <w:tcW w:w="160" w:type="dxa"/>
            <w:vAlign w:val="bottom"/>
            <w:tcBorders>
              <w:top w:val="single" w:sz="8" w:color="CCEEFF"/>
            </w:tcBorders>
            <w:shd w:val="clear" w:color="auto" w:fill="CCEEFF"/>
          </w:tcPr>
          <w:p>
            <w:pPr>
              <w:spacing w:after="0"/>
              <w:rPr>
                <w:sz w:val="23"/>
                <w:szCs w:val="23"/>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Number of Miners</w:t>
            </w:r>
          </w:p>
        </w:tc>
      </w:tr>
      <w:tr>
        <w:trPr>
          <w:trHeight w:val="224"/>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Bitmain S19 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S19j Pro</w:t>
            </w:r>
          </w:p>
        </w:tc>
        <w:tc>
          <w:tcPr>
            <w:tcW w:w="16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XP</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Hydro</w:t>
            </w:r>
          </w:p>
        </w:tc>
        <w:tc>
          <w:tcPr>
            <w:tcW w:w="16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6"/>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S21</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52"/>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S21+</w:t>
            </w:r>
          </w:p>
        </w:tc>
        <w:tc>
          <w:tcPr>
            <w:tcW w:w="16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4"/>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AvalonMiner 1566-209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10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7,200</w:t>
            </w:r>
          </w:p>
        </w:tc>
      </w:tr>
      <w:tr>
        <w:trPr>
          <w:trHeight w:val="20"/>
        </w:trPr>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above table excludes 2,300 miners sold to US Digital Mining Mississippi LLC on September 16, 2025. The 2,300 miners contributed to our self-mining operations during the period prior to their sale.</w:t>
      </w:r>
    </w:p>
    <w:p>
      <w:pPr>
        <w:spacing w:after="0" w:line="180"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As of September 30, 2025, our fleet of miners ranged in age from 0.5 to 4.1 years and had an average age of approximately 2.1 years. We do not have scheduled downtime for our miners. When we have unscheduled downtime, we may from time to time replace a miner with a substitute miner in order to minimize overall fleet downtime. As of September 30, 2025, our fleet of miners ranged in efficiency from approximately 15.0 to 34.0 J/TH and had an average efficiency of 21.3J/TH.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average cost of mining each bitcoin for the nine months ended September 30, 2025: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ind w:right="110"/>
              <w:spacing w:after="0" w:line="197" w:lineRule="exact"/>
              <w:rPr>
                <w:sz w:val="20"/>
                <w:szCs w:val="20"/>
                <w:color w:val="auto"/>
              </w:rPr>
            </w:pPr>
            <w:r>
              <w:rPr>
                <w:rFonts w:ascii="Arial" w:cs="Arial" w:eastAsia="Arial" w:hAnsi="Arial"/>
                <w:sz w:val="18"/>
                <w:szCs w:val="18"/>
                <w:b w:val="1"/>
                <w:bCs w:val="1"/>
                <w:color w:val="auto"/>
                <w:w w:val="99"/>
              </w:rPr>
              <w:t>Nine Months</w:t>
            </w:r>
          </w:p>
        </w:tc>
        <w:tc>
          <w:tcPr>
            <w:tcW w:w="1740" w:type="dxa"/>
            <w:vAlign w:val="bottom"/>
            <w:tcBorders>
              <w:top w:val="single" w:sz="8" w:color="CCEEFF"/>
            </w:tcBorders>
            <w:gridSpan w:val="2"/>
            <w:shd w:val="clear" w:color="auto" w:fill="CCEEFF"/>
          </w:tcPr>
          <w:p>
            <w:pPr>
              <w:ind w:left="120"/>
              <w:spacing w:after="0" w:line="197" w:lineRule="exact"/>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181"/>
        </w:trPr>
        <w:tc>
          <w:tcPr>
            <w:tcW w:w="7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Cost of Mining - Analysis of Costs to Mine One Bitcoin</w:t>
            </w:r>
          </w:p>
        </w:tc>
        <w:tc>
          <w:tcPr>
            <w:tcW w:w="164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8"/>
                <w:szCs w:val="18"/>
                <w:b w:val="1"/>
                <w:bCs w:val="1"/>
                <w:color w:val="auto"/>
                <w:w w:val="99"/>
              </w:rPr>
              <w:t>Ended September</w:t>
            </w:r>
          </w:p>
        </w:tc>
        <w:tc>
          <w:tcPr>
            <w:tcW w:w="174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8"/>
                <w:szCs w:val="18"/>
                <w:b w:val="1"/>
                <w:bCs w:val="1"/>
                <w:color w:val="auto"/>
              </w:rPr>
              <w:t>Ended September</w:t>
            </w:r>
          </w:p>
        </w:tc>
        <w:tc>
          <w:tcPr>
            <w:tcW w:w="0" w:type="dxa"/>
            <w:vAlign w:val="bottom"/>
          </w:tcPr>
          <w:p>
            <w:pPr>
              <w:spacing w:after="0"/>
              <w:rPr>
                <w:sz w:val="1"/>
                <w:szCs w:val="1"/>
                <w:color w:val="auto"/>
              </w:rPr>
            </w:pPr>
          </w:p>
        </w:tc>
      </w:tr>
      <w:tr>
        <w:trPr>
          <w:trHeight w:val="230"/>
        </w:trPr>
        <w:tc>
          <w:tcPr>
            <w:tcW w:w="7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9"/>
              </w:rPr>
              <w:t>30, 2025</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30, 2024</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color w:val="auto"/>
              </w:rPr>
              <w:t>Cost to mine one bitcoin</w:t>
            </w:r>
            <w:r>
              <w:rPr>
                <w:rFonts w:ascii="Arial" w:cs="Arial" w:eastAsia="Arial" w:hAnsi="Arial"/>
                <w:sz w:val="23"/>
                <w:szCs w:val="23"/>
                <w:color w:val="auto"/>
                <w:vertAlign w:val="superscript"/>
              </w:rPr>
              <w:t>(1)</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68,616</w:t>
            </w:r>
          </w:p>
        </w:tc>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36,494</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Value of each bitcoin mined</w:t>
            </w:r>
            <w:r>
              <w:rPr>
                <w:rFonts w:ascii="Arial" w:cs="Arial" w:eastAsia="Arial" w:hAnsi="Arial"/>
                <w:sz w:val="23"/>
                <w:szCs w:val="23"/>
                <w:color w:val="auto"/>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101,112</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57,628</w:t>
            </w:r>
          </w:p>
        </w:tc>
        <w:tc>
          <w:tcPr>
            <w:tcW w:w="0" w:type="dxa"/>
            <w:vAlign w:val="bottom"/>
          </w:tcPr>
          <w:p>
            <w:pPr>
              <w:spacing w:after="0"/>
              <w:rPr>
                <w:sz w:val="1"/>
                <w:szCs w:val="1"/>
                <w:color w:val="auto"/>
              </w:rPr>
            </w:pPr>
          </w:p>
        </w:tc>
      </w:tr>
      <w:tr>
        <w:trPr>
          <w:trHeight w:val="23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Cost to mine one bitcoin as % of value of bitcoin mined</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67.9 %</w:t>
            </w:r>
          </w:p>
        </w:tc>
        <w:tc>
          <w:tcPr>
            <w:tcW w:w="8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63.3 %</w:t>
            </w:r>
          </w:p>
        </w:tc>
        <w:tc>
          <w:tcPr>
            <w:tcW w:w="0" w:type="dxa"/>
            <w:vAlign w:val="bottom"/>
          </w:tcPr>
          <w:p>
            <w:pPr>
              <w:spacing w:after="0"/>
              <w:rPr>
                <w:sz w:val="1"/>
                <w:szCs w:val="1"/>
                <w:color w:val="auto"/>
              </w:rPr>
            </w:pPr>
          </w:p>
        </w:tc>
      </w:tr>
    </w:tbl>
    <w:p>
      <w:pPr>
        <w:ind w:left="240" w:hanging="214"/>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Computed as cost of revenue of cryptocurrency mining divided by number of bitcoins produced from cryptocurrency mining.</w:t>
      </w:r>
    </w:p>
    <w:p>
      <w:pPr>
        <w:spacing w:after="0" w:line="36" w:lineRule="exact"/>
        <w:rPr>
          <w:rFonts w:ascii="Arial" w:cs="Arial" w:eastAsia="Arial" w:hAnsi="Arial"/>
          <w:sz w:val="14"/>
          <w:szCs w:val="14"/>
          <w:color w:val="auto"/>
        </w:rPr>
      </w:pPr>
    </w:p>
    <w:p>
      <w:pPr>
        <w:ind w:left="240" w:hanging="214"/>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Computed as cryptocurrency mining revenue divided by number of bitcoins produced from cryptocurrency mining.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Datacenter hosting revenue</w:t>
      </w:r>
    </w:p>
    <w:p>
      <w:pPr>
        <w:spacing w:after="0" w:line="23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Under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 of $18.2 million for the nine months ended September 30, 2025 and $22.6 million for the nine months ended September 30, 2024. This decrease of $4.4 million was due to a 47% increase in average difficulty, a 15% decrease in hosting MWhs due to the shift to more power and capacity volumes primarily in Q1 2025, as well as a decrease in bitcoin rewards due to the bitcoin halving in April 2024, partially offset by a 70% increase in the average price of bitcoin. We managed approximately 1.3 EH/s of average active hash rate in our hosting services, of which produced approximately 193 bitcoins.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Power and capacity revenue at our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power and capacity revenue increased $ 9.4 million, or 132%, to $16.5 million during the nine months ended September 30, 2025. We estimate higher average power and capacity prices and higher power and capacity sales volume caused revenue increases of approximately 37% and 95%, respectively, as compared to the prior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 (exclusive of depreciation)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 in thousands</w:t>
            </w:r>
          </w:p>
        </w:tc>
        <w:tc>
          <w:tcPr>
            <w:tcW w:w="280" w:type="dxa"/>
            <w:vAlign w:val="bottom"/>
          </w:tcPr>
          <w:p>
            <w:pPr>
              <w:spacing w:after="0"/>
              <w:rPr>
                <w:sz w:val="17"/>
                <w:szCs w:val="17"/>
                <w:color w:val="auto"/>
              </w:rPr>
            </w:pPr>
          </w:p>
        </w:tc>
        <w:tc>
          <w:tcPr>
            <w:tcW w:w="30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Pr>
          <w:p>
            <w:pPr>
              <w:spacing w:after="0"/>
              <w:rPr>
                <w:sz w:val="17"/>
                <w:szCs w:val="17"/>
                <w:color w:val="auto"/>
              </w:rPr>
            </w:pP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7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Datacenter hosting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16,963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Cryptocurrency mining</w:t>
            </w:r>
          </w:p>
        </w:tc>
        <w:tc>
          <w:tcPr>
            <w:tcW w:w="280" w:type="dxa"/>
            <w:vAlign w:val="bottom"/>
          </w:tcPr>
          <w:p>
            <w:pPr>
              <w:spacing w:after="0"/>
              <w:rPr>
                <w:sz w:val="19"/>
                <w:szCs w:val="19"/>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8,577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9,525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and capacity</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10,940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4,657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 cost of revenue (exclusive of depreciation)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37,872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31,145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Total cost of revenue, exclusive of depreciation, increased $ 6.7 million, or 22%, to $37.9 million during the nine months ended September 30, 2025 as compared to the prior year period. We estimate the increase is composed of approximately 31% due to higher natural gas costs primarily due to a 52% increase in natural gas prices, as well as a 6% increase due to higher electricity costs compared to the prior period. This was partially offset by 15% due to the reduction in monthly hosting fees paid to third parties for hosting Company-owned miners.</w:t>
      </w:r>
    </w:p>
    <w:p>
      <w:pPr>
        <w:spacing w:after="0" w:line="17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New York Facility allocates its cost of revenue between datacenter hosting, cryptocurrency mining and power and capacity based on their respective MWh consumption on a pro rata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expenses</w:t>
      </w:r>
    </w:p>
    <w:p>
      <w:pPr>
        <w:spacing w:after="0" w:line="2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Selling, general and administrative expenses decreased $4.2 million, or 32%, to $9.0 million for the nine months ended September 30, 2025 as compared to the prior year period. The main drivers of the decrease in selling, general and administrative expenses were:</w:t>
      </w:r>
    </w:p>
    <w:p>
      <w:pPr>
        <w:spacing w:after="0" w:line="85" w:lineRule="exact"/>
        <w:rPr>
          <w:sz w:val="20"/>
          <w:szCs w:val="20"/>
          <w:color w:val="auto"/>
        </w:rPr>
      </w:pPr>
    </w:p>
    <w:p>
      <w:pPr>
        <w:ind w:left="660" w:right="200" w:hanging="328"/>
        <w:spacing w:after="0" w:line="253"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insurance expense decreased approximately $1.6 million during the nine months ended September 30, 2025 compared to the prior year period, as a result of declines in coverage costs related to umbrella, property, and liability policies due to a lower asset base;</w:t>
      </w:r>
    </w:p>
    <w:p>
      <w:pPr>
        <w:spacing w:after="0" w:line="114" w:lineRule="exact"/>
        <w:rPr>
          <w:rFonts w:ascii="Arial" w:cs="Arial" w:eastAsia="Arial" w:hAnsi="Arial"/>
          <w:sz w:val="18"/>
          <w:szCs w:val="18"/>
          <w:color w:val="auto"/>
        </w:rPr>
      </w:pPr>
    </w:p>
    <w:p>
      <w:pPr>
        <w:ind w:left="660" w:right="520" w:hanging="328"/>
        <w:spacing w:after="0" w:line="271"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of approximately $0.5 million due to reductions in professional fees and consulting expenses caused by reductions in discretionary costs, primarily related to tax preparation services;</w:t>
      </w:r>
    </w:p>
    <w:p>
      <w:pPr>
        <w:spacing w:after="0" w:line="113" w:lineRule="exact"/>
        <w:rPr>
          <w:rFonts w:ascii="Arial" w:cs="Arial" w:eastAsia="Arial" w:hAnsi="Arial"/>
          <w:sz w:val="18"/>
          <w:szCs w:val="18"/>
          <w:color w:val="auto"/>
        </w:rPr>
      </w:pPr>
    </w:p>
    <w:p>
      <w:pPr>
        <w:ind w:left="660" w:right="180" w:hanging="328"/>
        <w:spacing w:after="0" w:line="268"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payroll and benefits and stock compensation decreased approximately $0.4 million and $1.2 million, respectively, during the nine months ended September 30, 2025 compared to the prior year period, as a result of declines in employee expenses related to the corporate overhead cost as well as a decrease in incentive compensation and the forfeiture of unvested stock options;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1" w:name="page42"/>
    <w:bookmarkEnd w:id="41"/>
    <w:p>
      <w:pPr>
        <w:ind w:left="660" w:right="48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of approximately $0.3 million due to less environmental remediation expenses incurred during the nine months ended September 30, 2025 compared to the prior year period.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w:t>
      </w:r>
    </w:p>
    <w:p>
      <w:pPr>
        <w:spacing w:after="0" w:line="22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Depreciation expense decreased $0.6 million, or 6%, to $9.3 million for the nine months ended September 30, 2025 as compared to the prior year period, due to a lower asset base.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Gain on digital assets</w:t>
      </w:r>
    </w:p>
    <w:p>
      <w:pPr>
        <w:spacing w:after="0" w:line="22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recognized a gain on digital assets of $1.6 million for the nine months ended September 30, 2025 as a result of an increase in the price of bitcoin during the nine months ended September 30, 2025, which comprised a $0.6 million unrealized gain on digital assets held in treasury and a $0.9 million realized gain on sales of bitcoin during the year. There was a $ 0.1 million unrealized gain on digital assets and a $0.1 million realized gain on sales of bitcoin during the nine months ended September 30,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(gain) on sale of assets</w:t>
      </w:r>
    </w:p>
    <w:p>
      <w:pPr>
        <w:spacing w:after="0" w:line="22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recognized a gain on the sale of assets of $1.4 million for the nine months ended September 30, 2025, which was primarily as a result of selling assets from our Mississippi plant, which comprised miner infrastructure, miners and land as well as other long-lived assets during the year. During the nine months ended September 30, 2024, we recognized a $0.7 million loss on the sale of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loss from operations</w:t>
      </w:r>
    </w:p>
    <w:p>
      <w:pPr>
        <w:spacing w:after="0" w:line="22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As a result of the factors described above, we reported an operating loss for the nine months ended September 30, 2025 of $5.5 million compared with an operating loss of $10.1 million in the nine months ended September 30,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Total other income (expense), net</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nine months ended September 30, 2025, we incurred a decrease of $13.6 million, or 232%, to $7.7 million of other income, primarily due to a gain on troubled debt restructuring of $ 11.5 million, a gain of $0.4 million as a result of a forfeited deposit held in connection with the sale of our South Carolina facility, a decrease of approximately $3.4 million in interest expense on long-term debt as a result of troubled debt restructuring, and a decrease in the change in fair value of warrant asset of $0.4 million, which was partially offset by $1.8 million of interest expense incurred in connection with the Equity Interest Payment Agreement and a loss on liquidation of a foreign subsidiary of $0.3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Benefit from income taxes</w:t>
      </w:r>
    </w:p>
    <w:p>
      <w:pPr>
        <w:spacing w:after="0" w:line="22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effective tax rate for the nine months ended September 30, 2025 and 2024 was 2% and 1%, which was lower than the statutory rate of 21% because we have a full valuation allowance on deferred tax assets, as well as tax refunds related to prior tax years received during the nine months ended September 30, 2025, and an adjustment for the New York State income tax receivable upon completion of the 2023 tax return. We recorded and will continue to carry a full valuation allowance against our gross deferred tax assets that will not reverse against deferred tax liabilities within the scheduled reversal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income (loss)</w:t>
      </w:r>
    </w:p>
    <w:p>
      <w:pPr>
        <w:spacing w:after="0" w:line="22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 a result of the factors described above, we recognized a net income of $2.3 million for the nine months ended September 30, 2025 as compared to a net loss of $15.9 million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Pr>
          <w:p>
            <w:pPr>
              <w:spacing w:after="0"/>
              <w:rPr>
                <w:sz w:val="17"/>
                <w:szCs w:val="17"/>
                <w:color w:val="auto"/>
              </w:rPr>
            </w:pPr>
          </w:p>
        </w:tc>
        <w:tc>
          <w:tcPr>
            <w:tcW w:w="1820" w:type="dxa"/>
            <w:vAlign w:val="bottom"/>
            <w:gridSpan w:val="3"/>
          </w:tcPr>
          <w:p>
            <w:pPr>
              <w:ind w:left="980"/>
              <w:spacing w:after="0"/>
              <w:rPr>
                <w:sz w:val="20"/>
                <w:szCs w:val="20"/>
                <w:color w:val="auto"/>
              </w:rPr>
            </w:pPr>
            <w:r>
              <w:rPr>
                <w:rFonts w:ascii="Arial" w:cs="Arial" w:eastAsia="Arial" w:hAnsi="Arial"/>
                <w:sz w:val="14"/>
                <w:szCs w:val="14"/>
                <w:b w:val="1"/>
                <w:bCs w:val="1"/>
                <w:color w:val="auto"/>
              </w:rPr>
              <w:t>Variance</w:t>
            </w:r>
          </w:p>
        </w:tc>
        <w:tc>
          <w:tcPr>
            <w:tcW w:w="1180" w:type="dxa"/>
            <w:vAlign w:val="bottom"/>
          </w:tcPr>
          <w:p>
            <w:pPr>
              <w:spacing w:after="0"/>
              <w:rPr>
                <w:sz w:val="17"/>
                <w:szCs w:val="17"/>
                <w:color w:val="auto"/>
              </w:rPr>
            </w:pPr>
          </w:p>
        </w:tc>
      </w:tr>
      <w:tr>
        <w:trPr>
          <w:trHeight w:val="203"/>
        </w:trPr>
        <w:tc>
          <w:tcPr>
            <w:tcW w:w="48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w:t>
            </w: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 and Adjusted EBITDA</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Net income (loss) from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(15,879)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18,155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800" w:type="dxa"/>
            <w:vAlign w:val="bottom"/>
          </w:tcPr>
          <w:p>
            <w:pPr>
              <w:ind w:left="240"/>
              <w:spacing w:after="0"/>
              <w:rPr>
                <w:sz w:val="20"/>
                <w:szCs w:val="20"/>
                <w:color w:val="auto"/>
              </w:rPr>
            </w:pPr>
            <w:r>
              <w:rPr>
                <w:rFonts w:ascii="Arial" w:cs="Arial" w:eastAsia="Arial" w:hAnsi="Arial"/>
                <w:sz w:val="18"/>
                <w:szCs w:val="18"/>
                <w:color w:val="auto"/>
              </w:rPr>
              <w:t>EBITDA</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(Gain) loss on sale of assets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insurance proceeds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Gain on troubled debt restructuring</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liquidation of subsidiary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Change in fair value of warrant asset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80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1"/>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As of September 30, 2025, we had cash and cash equivalents of $7.6 million and digital assets of $6.1 million. To date, we have primarily relied on debt and equity financing to fund our operations, including meeting ongoing working capital needs.</w:t>
      </w:r>
    </w:p>
    <w:p>
      <w:pPr>
        <w:spacing w:after="0" w:line="139"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Management has taken certain actions since 2022 to improve our liquidity, including, among other things, the sale of assets, the proceeds of which were used to extinguish $80.3 million of debt, and significant restructuring activities to materially reduce selling, general and administrative expenses. In addition to these actions taken in prior years, we completed the following transactions in 2025 to continue to improve our liquidity position:</w:t>
      </w:r>
    </w:p>
    <w:p>
      <w:pPr>
        <w:spacing w:after="0" w:line="182" w:lineRule="exact"/>
        <w:rPr>
          <w:sz w:val="20"/>
          <w:szCs w:val="20"/>
          <w:color w:val="auto"/>
        </w:rPr>
      </w:pPr>
    </w:p>
    <w:p>
      <w:pPr>
        <w:ind w:left="660" w:right="380" w:hanging="328"/>
        <w:spacing w:after="0" w:line="238"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On August 1, 2025, we entered into an Asset Purchase Agreement (the “APA”) and certain ancillary agreements to sell the Mississippi Facility, other than the adjoining 5.6 acre tract of land with over 73,000 square feet of industrial warehouse space, for $4.2 million in cash, which closed on September 16, 2025 (see Note 4, </w:t>
      </w:r>
      <w:r>
        <w:rPr>
          <w:rFonts w:ascii="Arial" w:cs="Arial" w:eastAsia="Arial" w:hAnsi="Arial"/>
          <w:sz w:val="18"/>
          <w:szCs w:val="18"/>
          <w:i w:val="1"/>
          <w:iCs w:val="1"/>
          <w:color w:val="auto"/>
        </w:rPr>
        <w:t>"Property and Equipment"</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660" w:right="240" w:hanging="328"/>
        <w:spacing w:after="0" w:line="238"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nine months ended September 30, 2025, we entered into privately negotiated exchange agreements, pursuant to which we issued an aggregate of 1,242,456 shares of our Class A common stock and paid an aggregate of $2.7 million in cash in exchange for $10.5 million in aggregate principal amount of the Senior Notes.</w:t>
      </w:r>
    </w:p>
    <w:p>
      <w:pPr>
        <w:spacing w:after="0" w:line="167" w:lineRule="exact"/>
        <w:rPr>
          <w:rFonts w:ascii="Arial" w:cs="Arial" w:eastAsia="Arial" w:hAnsi="Arial"/>
          <w:sz w:val="18"/>
          <w:szCs w:val="18"/>
          <w:color w:val="auto"/>
        </w:rPr>
      </w:pPr>
    </w:p>
    <w:p>
      <w:pPr>
        <w:ind w:left="660" w:right="200" w:hanging="328"/>
        <w:spacing w:after="0" w:line="233"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three months ended September 30, 2025, we completed two separate tender/exchange offers (the "Tender/Exchange Offers"), each of which consisted of separate concurrent offers to purchase for cash, or issue a new series of 10.00% Senior Notes due 2030 (collectively, the “New Notes”) in exchange for, the Senior Notes. Pursuant to the Tender/Exchange Offer, the Company purchased $14.7 million in aggregate principal amount of the Senior Notes for a total of $5.5 million in cash and exchanged $4.9 million in aggregate principal amount of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the Senior Notes for $2.2 million in aggregate principal amount of Senior Unsecured Notes due 2030 (the "New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projected operating cash flows are not sufficient to meet our existing debt obligations, specifically the remaining $38.4 million aggregate</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principal amount of the Senior Notes, which mature on October 31, 2026, and payment of all outstanding principal shall be due on October 31,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considering various items to address the Senior Notes obligations, </w:t>
      </w:r>
      <w:r>
        <w:rPr>
          <w:rFonts w:ascii="Arial" w:cs="Arial" w:eastAsia="Arial" w:hAnsi="Arial"/>
          <w:sz w:val="18"/>
          <w:szCs w:val="18"/>
          <w:color w:val="auto"/>
          <w:strike w:val="1"/>
        </w:rPr>
        <w:t>i</w:t>
      </w:r>
      <w:r>
        <w:rPr>
          <w:rFonts w:ascii="Arial" w:cs="Arial" w:eastAsia="Arial" w:hAnsi="Arial"/>
          <w:sz w:val="18"/>
          <w:szCs w:val="18"/>
          <w:color w:val="auto"/>
        </w:rPr>
        <w:t>ncluding:</w:t>
      </w:r>
    </w:p>
    <w:p>
      <w:pPr>
        <w:spacing w:after="0" w:line="198" w:lineRule="exact"/>
        <w:rPr>
          <w:sz w:val="20"/>
          <w:szCs w:val="20"/>
          <w:color w:val="auto"/>
        </w:rPr>
      </w:pPr>
    </w:p>
    <w:p>
      <w:pPr>
        <w:ind w:left="660" w:right="40" w:hanging="328"/>
        <w:spacing w:after="0" w:line="233"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retirement or purchase of our outstanding debt through cash purchases and/or exchanges for equity or other debt, which may be conducted in open-market purchases, privately negotiated transactions or other transactions. Such repurchases or exchanges, if any will be upon such terms and at such prices as we may determine, and will depend on prevailing market conditions, liquidity requirements, contractual restrictions and other factors. The amounts involved may be material and to the extent equity is used, dilutive.</w:t>
      </w:r>
    </w:p>
    <w:p>
      <w:pPr>
        <w:spacing w:after="0" w:line="18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Issuances of new debt to refinance or fully settle the existing Senior Notes.</w:t>
      </w:r>
    </w:p>
    <w:p>
      <w:pPr>
        <w:spacing w:after="0" w:line="198" w:lineRule="exact"/>
        <w:rPr>
          <w:rFonts w:ascii="Arial" w:cs="Arial" w:eastAsia="Arial" w:hAnsi="Arial"/>
          <w:sz w:val="18"/>
          <w:szCs w:val="18"/>
          <w:color w:val="auto"/>
        </w:rPr>
      </w:pPr>
    </w:p>
    <w:p>
      <w:pPr>
        <w:ind w:left="660" w:right="120" w:hanging="328"/>
        <w:spacing w:after="0" w:line="256"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sale of assets, including the South Carolina land, which remains held for sale, and we anticipate completing a sale for within the next 12 months.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projections indicate that we will have sufficient liquidity to meet our cash requirements through the third quarter of 2026, but</w:t>
      </w:r>
    </w:p>
    <w:p>
      <w:pPr>
        <w:spacing w:after="0" w:line="36"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will not be sufficient to meet the debt payments due in October 2026. Our cash flows are highly dependent on bitcoin mining economics commonly measured by hashprice. Increases in the price of bitcoin benefit us by increasing the amount of revenue earned for each bitcoin earned. Increases in the difficulty to mine a bitcoin adversely affect us by decreasing the number of bitcoin earned. Increases in the costs of</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electricity, natural gas, and emissions credits adversely affect us by increasing operating costs. Depending on our assumptions regarding the bitcoin hashprice and energy price inputs, the estimates of the amounts of required liquidity vary significantly. There can be no assurances that these assumptions used to estimate liquidity requirements and future cash burn rates will be correct, and the ability to be predictive is uncertain due to the limited ability to predict future bitcoin and energy prices. Additionally, the inability to procure and comply with the permits</w:t>
      </w:r>
    </w:p>
    <w:p>
      <w:pPr>
        <w:spacing w:after="0" w:line="1" w:lineRule="exact"/>
        <w:rPr>
          <w:sz w:val="20"/>
          <w:szCs w:val="20"/>
          <w:color w:val="auto"/>
        </w:rPr>
      </w:pPr>
    </w:p>
    <w:p>
      <w:pPr>
        <w:ind w:right="740"/>
        <w:spacing w:after="0" w:line="231" w:lineRule="auto"/>
        <w:rPr>
          <w:sz w:val="20"/>
          <w:szCs w:val="20"/>
          <w:color w:val="auto"/>
        </w:rPr>
      </w:pPr>
      <w:r>
        <w:rPr>
          <w:rFonts w:ascii="Arial" w:cs="Arial" w:eastAsia="Arial" w:hAnsi="Arial"/>
          <w:sz w:val="18"/>
          <w:szCs w:val="18"/>
          <w:color w:val="auto"/>
        </w:rPr>
        <w:t>and licenses required to operate our facilities, including the Title V Air Permit for the New York Facility, which is currently subject to a Stipulation of Settlement but may still face legal challenges by third party environmental groups (see Note 10,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may have an adverse impact on its ability to meet cash flow forecasts.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Given the uncertainty regarding our financial condition over the next 12 months from the date our financial statements in this Quarterly</w:t>
      </w:r>
    </w:p>
    <w:p>
      <w:pPr>
        <w:spacing w:after="0" w:line="1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Report on Form 10-Q were issued, we have concluded that there is substantial doubt about our ability to continue as a going concern for a reasonable period of time. Our consolidated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following table summarizes our contractual obligations and other commitments at September 30, 2025, and the years in which these obligations are due: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7"/>
                <w:szCs w:val="17"/>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2026-2027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2028-2029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payments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30"/>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Self-mining capacity obligation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Environmental obligations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10,120</w:t>
            </w: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 transportation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2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99,613</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13,900</w:t>
            </w: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11"/>
        </w:trPr>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3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4" w:name="page45"/>
    <w:bookmarkEnd w:id="44"/>
    <w:p>
      <w:pPr>
        <w:ind w:right="20"/>
        <w:spacing w:after="0" w:line="257" w:lineRule="auto"/>
        <w:rPr>
          <w:sz w:val="20"/>
          <w:szCs w:val="20"/>
          <w:color w:val="auto"/>
        </w:rPr>
      </w:pPr>
      <w:r>
        <w:rPr>
          <w:rFonts w:ascii="Arial" w:cs="Arial" w:eastAsia="Arial" w:hAnsi="Arial"/>
          <w:sz w:val="18"/>
          <w:szCs w:val="18"/>
          <w:color w:val="auto"/>
        </w:rPr>
        <w:t>The debt payments included in the table above include the principal and interest amounts due. The lease payments include fixed monthly rental payments and exclude any variable payments. Self-mining capacity obligation is based on minimum power usage required at the North Dakota Facility.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net cash flow for the nine months ended September 30, 2025 and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for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cash flow provided by (used for) investing activities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for)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for operating activities was $10.4 million for the nine months ended September 30, 2025, as compared to net cash used of $8.3 million for the nine months ended September 30, 2024. The variance in the operating cash flow during the first nine months of 2025 as compared to 2024 was driven primarily by funding a trust for environmental obligations and the purchase of additional Regional Greenhouse Gas Initiative (“RGGI”) credits during the nine months ended September 30, 2024, which was required to settle the accrued emissions liability for the three-year control period ended December 31, 2023. Non-cash adjustments included a gain on troubled debt restructuring, stock-based compensation, a gain on digital assets due to fluctuations in the price of bitcoin, a gain on the sale of long-lived assets and a gain on insurance proceeds. This was partially offset by a less favorable net loss and us retaining bitcoin in connection with our bitcoin self-mining retention strategy.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investing activities was $18.0 million for the nine months ended September 30, 2025, as compared to net cash used for investing activities of $4.4 million for the nine months ended September 30, 2024. The variance was primarily related to an increase in proceeds from the sale of bitcoin coin of $14.4 million, an increase in proceeds from the sale of long-lived assets of $3.1 million, insurance proceeds received of $0.4 million on miners damaged as a result of a severe weather event and a decrease in purchase of and deposits for property and equipment of $4.5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There was $8.6 million net cash used for financing activities for the nine months ended September 30, 2025, as compared to $7.0 million provided by financing activities for the nine months ended September 30, 2024. The variance was a result of making principal payments on long-term debt of $8.6 million and not engaging in any financing activities that resulted in cash inflows during the nine months ended September 30,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7"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See Note 5, “</w:t>
      </w:r>
      <w:r>
        <w:rPr>
          <w:rFonts w:ascii="Arial" w:cs="Arial" w:eastAsia="Arial" w:hAnsi="Arial"/>
          <w:sz w:val="18"/>
          <w:szCs w:val="18"/>
          <w:i w:val="1"/>
          <w:iCs w:val="1"/>
          <w:color w:val="auto"/>
        </w:rPr>
        <w:t>Debt</w:t>
      </w:r>
      <w:r>
        <w:rPr>
          <w:rFonts w:ascii="Arial" w:cs="Arial" w:eastAsia="Arial" w:hAnsi="Arial"/>
          <w:sz w:val="18"/>
          <w:szCs w:val="18"/>
          <w:color w:val="auto"/>
        </w:rPr>
        <w:t>,” and Note 9, “</w:t>
      </w:r>
      <w:r>
        <w:rPr>
          <w:rFonts w:ascii="Arial" w:cs="Arial" w:eastAsia="Arial" w:hAnsi="Arial"/>
          <w:sz w:val="18"/>
          <w:szCs w:val="18"/>
          <w:i w:val="1"/>
          <w:iCs w:val="1"/>
          <w:color w:val="auto"/>
        </w:rPr>
        <w:t>Stockholders’ Deficit</w:t>
      </w:r>
      <w:r>
        <w:rPr>
          <w:rFonts w:ascii="Arial" w:cs="Arial" w:eastAsia="Arial" w:hAnsi="Arial"/>
          <w:sz w:val="18"/>
          <w:szCs w:val="18"/>
          <w:color w:val="auto"/>
        </w:rPr>
        <w:t>” in the Notes to our Unaudited Condensed Consolidated Financial Statements for details regarding our financing arrangements for further details regarding our financing arrangements.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our environmental obligations. There were no adjustments to the environmental liabilities for the nine months ended September 30, 2025. Management evaluates its policies and assumptions on an ongoing basis.</w:t>
      </w:r>
    </w:p>
    <w:p>
      <w:pPr>
        <w:spacing w:after="0" w:line="17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significant accounting policies related to these accounts in the preparation of our condensed consolidated financial statements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our Annual Report on Form 10-K for the year ended December 31, 2024. As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Part I, Item 1 herein, there have been no material changes to our significant accounting policies for the nine months ended September 30,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spacing w:after="0" w:line="171" w:lineRule="exact"/>
        <w:rPr>
          <w:sz w:val="20"/>
          <w:szCs w:val="20"/>
          <w:color w:val="auto"/>
        </w:rPr>
      </w:pPr>
    </w:p>
    <w:p>
      <w:pPr>
        <w:ind w:left="940" w:hanging="608"/>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 404(b) of the Sarbanes-Oxley Act;</w:t>
      </w:r>
    </w:p>
    <w:p>
      <w:pPr>
        <w:spacing w:after="0" w:line="225" w:lineRule="exact"/>
        <w:rPr>
          <w:rFonts w:ascii="Arial" w:cs="Arial" w:eastAsia="Arial" w:hAnsi="Arial"/>
          <w:sz w:val="18"/>
          <w:szCs w:val="18"/>
          <w:color w:val="auto"/>
        </w:rPr>
      </w:pPr>
    </w:p>
    <w:p>
      <w:pPr>
        <w:ind w:left="980" w:right="420" w:hanging="648"/>
        <w:spacing w:after="0" w:line="268" w:lineRule="auto"/>
        <w:tabs>
          <w:tab w:leader="none" w:pos="9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0" w:lineRule="exact"/>
        <w:rPr>
          <w:rFonts w:ascii="Arial" w:cs="Arial" w:eastAsia="Arial" w:hAnsi="Arial"/>
          <w:sz w:val="18"/>
          <w:szCs w:val="18"/>
          <w:color w:val="auto"/>
        </w:rPr>
      </w:pPr>
    </w:p>
    <w:p>
      <w:pPr>
        <w:ind w:left="980" w:right="80" w:hanging="648"/>
        <w:spacing w:after="0" w:line="287" w:lineRule="auto"/>
        <w:tabs>
          <w:tab w:leader="none" w:pos="9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pay ratio; and</w:t>
      </w:r>
    </w:p>
    <w:p>
      <w:pPr>
        <w:spacing w:after="0" w:line="152" w:lineRule="exact"/>
        <w:rPr>
          <w:rFonts w:ascii="Arial" w:cs="Arial" w:eastAsia="Arial" w:hAnsi="Arial"/>
          <w:sz w:val="18"/>
          <w:szCs w:val="18"/>
          <w:color w:val="auto"/>
        </w:rPr>
      </w:pPr>
    </w:p>
    <w:p>
      <w:pPr>
        <w:ind w:left="980" w:hanging="648"/>
        <w:spacing w:after="0" w:line="287" w:lineRule="auto"/>
        <w:tabs>
          <w:tab w:leader="none" w:pos="9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5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remain an “emerging growth company” for up to five years (which will expire in 2026),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including our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our Chief Executive Officer and Chief Financial Officer concluded as of September 30, 2025,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nine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other than as described below. For information on legal proceedings,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t>
      </w:r>
      <w:r>
        <w:rPr>
          <w:rFonts w:ascii="Arial" w:cs="Arial" w:eastAsia="Arial" w:hAnsi="Arial"/>
          <w:sz w:val="18"/>
          <w:szCs w:val="18"/>
          <w:i w:val="1"/>
          <w:iCs w:val="1"/>
          <w:color w:val="auto"/>
        </w:rPr>
        <w:t>Legal Matters,</w:t>
      </w:r>
      <w:r>
        <w:rPr>
          <w:rFonts w:ascii="Arial" w:cs="Arial" w:eastAsia="Arial" w:hAnsi="Arial"/>
          <w:sz w:val="18"/>
          <w:szCs w:val="18"/>
          <w:color w:val="auto"/>
        </w:rPr>
        <w:t>” including, without limitation, the subsection titled “</w:t>
      </w:r>
      <w:r>
        <w:rPr>
          <w:rFonts w:ascii="Arial" w:cs="Arial" w:eastAsia="Arial" w:hAnsi="Arial"/>
          <w:sz w:val="18"/>
          <w:szCs w:val="18"/>
          <w:u w:val="single" w:color="auto"/>
          <w:color w:val="auto"/>
        </w:rPr>
        <w:t>Title V Air Permit Renewal Litigation</w:t>
      </w:r>
      <w:r>
        <w:rPr>
          <w:rFonts w:ascii="Arial" w:cs="Arial" w:eastAsia="Arial" w:hAnsi="Arial"/>
          <w:sz w:val="18"/>
          <w:szCs w:val="18"/>
          <w:color w:val="auto"/>
        </w:rPr>
        <w:t>,” in our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elsewhere in this report.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In evaluating our company and our business, you should carefully consider the risks and uncertainties described in Part I, Item 1A, “Risk Factors” in our most recent Annual Report on Form 10-K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 There have been no material changes to the risk factors identified in our most recent Annual Report on Form 10-K, other than as set forth below.</w:t>
      </w:r>
    </w:p>
    <w:p>
      <w:pPr>
        <w:spacing w:after="0" w:line="178"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Because our current projected operating cash flows are not sufficient in the long term to meet our existing long-term debt obligations, an investment in our common stock is highly speculative. Holders of our common stock could suffer a total loss of their investment.</w:t>
      </w:r>
    </w:p>
    <w:p>
      <w:pPr>
        <w:spacing w:after="0" w:line="18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ability to meet our existing long-term debt obligations is dependent upon generating profitable operations, obtaining necessary financing to meet our obligations, repaying our liabilities when they come due and/or successfully executing on our debt restructuring efforts. Our operating cash flows are affected by several factors including the price of bitcoin and cost of electricity and natural gas and emissions credits. During the years ended December 31, 2023 and 2024, we took certain actions to improve our liquidity, including the settlement of our debt with NYDIG, selling the South Carolina Facility, marketing the remaining 152 acres in South Carolina for sale, completing an equity financing with Armistice, and executing certain privately negotiated debt-for-equity exchange agreements. See “Business—Corporate History and Structure,” and “Management’s Discussion and Analysis of Financial Condition and Results of Operations—Liquidity and Capital Resources” in our Annual Report on Form 10-K for the year ended December 31, 2024. During the nine months ended September 30, 2025, we took additional actions to improve our liquidity, including executing certain privately negotiated debt-for-equity exchange agreements and completing the Tender/Exchange Offers. See “Management’s Discussion and Analysis of Financial Condition and Results of Operations— Liquidity and Capital Resources”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8" w:name="page49"/>
    <w:bookmarkEnd w:id="48"/>
    <w:p>
      <w:pPr>
        <w:ind w:right="20"/>
        <w:spacing w:after="0" w:line="245" w:lineRule="auto"/>
        <w:rPr>
          <w:sz w:val="20"/>
          <w:szCs w:val="20"/>
          <w:color w:val="auto"/>
        </w:rPr>
      </w:pPr>
      <w:r>
        <w:rPr>
          <w:rFonts w:ascii="Arial" w:cs="Arial" w:eastAsia="Arial" w:hAnsi="Arial"/>
          <w:sz w:val="18"/>
          <w:szCs w:val="18"/>
          <w:color w:val="auto"/>
        </w:rPr>
        <w:t>Depending on our assumptions regarding the timing of and our ability to achieve more normalized levels of operating revenue, the estimated amount of required liquidity will vary significantly. Similarly, while bitcoin prices have risen in the fourth quarter of 2024 and remain relatively high as of the third quarter of 2025, we cannot predict if bitcoin prices will continue to rise or remain at recent levels, or volatility in energy costs. While we continue to work to implement the options to improve liquidity, we can provide no assurance that these efforts will be successful. Our ability to successfully implement these options could be negatively impacted by items outside of our control, in particular, significant decreases in the price of bitcoin, regulatory changes concerning cryptocurrency, the possibility of ongoing adjudicatory proceedings with respect to the New York Facility’s Title V Air Permit notwithstanding the entry into a Stipulation of Settlement with NYSDEC, increases in energy costs or other macroeconomic conditions. There is uncertainty regarding our financial condition in the long term if we are not able to increase our current projected operating cash flows sufficiently.</w:t>
      </w:r>
    </w:p>
    <w:p>
      <w:pPr>
        <w:spacing w:after="0" w:line="206"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Our Class A common stock has recently been subject to Nasdaq delisting proceedings. While we have regained compliance with Nasdaq’s listing requirements, there can be no assurance that our Class A common stock will not be subject to delisting proceedings in the future. The delisting of our shares could negatively affect us and the price and liquidity of our Class A common stock.</w:t>
      </w:r>
    </w:p>
    <w:p>
      <w:pPr>
        <w:spacing w:after="0" w:line="19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Compliance with certain Nasdaq listing requirements depends upon the price of our Class A common stock, which may be impacted by market factors not within our control. We have previously received and resolved noncompliance notices from the Nasdaq listing qualifications department but can provide no assurance that we will be able to continue to maintain compliance with Nasdaq’s listing requirements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 March 26, 2025, we received a letter from the Nasdaq listing qualifications department notifying us that for the prior 30 consecutive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business days, our MVPHS had been below the listing requirement of $15 million. On July 21, 2025, we received written notice from Nasdaq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notifying us that the staff had determined that for the 12 consecutive business days preceding July 21, 2025, the MVPHS had been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$15,000,000 or greater. Accordingly, we regained compliance with Nasdaq’s minimum bid price requirement for continued listing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 and the staff indicated that the matter was closed.</w:t>
      </w: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9, 2025, we received a letter from the Nasdaq listing qualifications department notifying us that for the prior 30 consecutive business days, the bid price for our Class A common stock had closed below the listing requirement of $1.00 per share. On June 3, 2025, we received written notice from the Nasdaq listing qualifications department notifying us that the staff determined that for the 10 consecutive business days preceding June 3, 2025, the closing bid price of our Class A common stock had been at $1.00 per share or greater. Accordingly, we regained compliance with Nasdaq’s minimum bid price requirement for continued listing on The Nasdaq Global Select Market, and the staff indicated that the matter was closed.</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if our Class A common stock were to be delisted from Nasdaq and we are not able to list our Class A common stock on another national securities exchange, we expect our securities could be quoted on an over-the-counter market. If this were to occur, we could face significant material adverse consequences, including, among other things: decreasing availability of market quotations for our Class A common stock; resulting in a determination that our Class A common stock is a “penny stock” which will require brokers trading in our Class A common stock to adhere to more stringent rules and possibly result in a reduced level of trading activity in the secondary trading market for our securities; reducing the liquidity and market price of our Class A common stock; reducing the number of investors willing to hold or acquire our Class A common stock, which could negatively impact our ability to raise equity financing; limiting our ability to issue additional securities or obtain additional financing in the future; decreasing the amount of news and analyst coverage of us; and causing us reputational harm with investors, our employees, and parties conducting business with us.</w:t>
      </w:r>
    </w:p>
    <w:p>
      <w:pPr>
        <w:spacing w:after="0" w:line="183"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We may not have sufficient resources to repay our Senior Notes upon their maturity in October 2026, and the incurrence of additional indebtedness, including the issuance of our New Notes, increases the risks we face in meeting our debt obligations.</w:t>
      </w:r>
    </w:p>
    <w:p>
      <w:pPr>
        <w:spacing w:after="0" w:line="16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As of September 30, 2025, prior to the conclusion of our Third Tender/Exchange Offer on November 5, 2025, we had $38.4 million of the Senior Notes outstanding, all of which was unsecured. In connection with the Tender/Exchange Offers completed in the third quarter of 2025, we issued New Notes in an aggregate principal amount of $ 2.2 million, all of which is also unsecured. Following the completion of the Tender/Exchange Offers, we had $38.1 million in aggregate principal amount of Senior Notes outstanding and $2.2 million in aggregate principal amount of New Notes outstanding. Given our current financial condition and liquidity position, we may not have sufficient resources to repay the Senior Notes, in whole or in part, upon their maturity on October 31, 2026, and our ability to earlier redeem or repurchase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9" w:name="page50"/>
    <w:bookmarkEnd w:id="49"/>
    <w:p>
      <w:pPr>
        <w:ind w:right="60"/>
        <w:spacing w:after="0" w:line="248" w:lineRule="auto"/>
        <w:rPr>
          <w:sz w:val="20"/>
          <w:szCs w:val="20"/>
          <w:color w:val="auto"/>
        </w:rPr>
      </w:pPr>
      <w:r>
        <w:rPr>
          <w:rFonts w:ascii="Arial" w:cs="Arial" w:eastAsia="Arial" w:hAnsi="Arial"/>
          <w:sz w:val="18"/>
          <w:szCs w:val="18"/>
          <w:color w:val="auto"/>
        </w:rPr>
        <w:t>Senior Notes, is uncertain. The indentures for the Senior Notes and the New Notes do not limit the amount of indebtedness that we or our subsidiaries may issue. As a result, we and our subsidiaries may be able to incur significant additional indebtedness, which would increase the risks associated with our debt obligations and could impair our ability to meet the repayment obligations under both the Senior Notes and the New Notes. If we incur any additional debt that is secured, the holders of that debt will be entitled to share in the proceeds distributed in connection with any enforcement against the collateral or an insolvency, liquidation, reorganization, dissolution, or other winding-up of the applicable obligor prior to applying any such proceeds to the Senior Notes and the New Notes.</w:t>
      </w:r>
    </w:p>
    <w:p>
      <w:pPr>
        <w:spacing w:after="0" w:line="204"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An active trading market for our New Notes may not be sustained, which could limit the market price of the New Notes or your ability to sell them.</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November 7, 2025, we issued less than $0.1 million in aggregate principal amount of New Notes following the conclusion of our Third Tender/Exchange Offer. As of the filing date of this report, we intend to list the New Notes subject to applicable listing requirements, however, we cannot provide any assurances that an active trading market will develop for the New Notes or that you will be able to sell your New Notes. If the New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Accordingly, we cannot assure you that a liquid trading market for the New Notes will be sustained, that you will be able to sell your New Notes at a particular time or that the price you receive when you sell will be favorable. To the extent an active trading market is not sustained, the liquidity and trading price for the New Notes may be harmed. Accordingly, you may be required to bear the financial risk of an investment in the New Notes for an indefinite period of time. In addition, there may be a limited number of buyers when you decide to sell your New Notes. This may affect the price, if any, offered for your New Notes or your ability to sell your New Notes when desired or at all.</w:t>
      </w:r>
    </w:p>
    <w:p>
      <w:pPr>
        <w:spacing w:after="0" w:line="20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Our issuance of a significant number of additional shares of Class A common stock in connection with any future financings, acquisitions, investments, commercial arrangements, under our stock incentive plans, or otherwise will dilute all other shareholders and our stock price could decline as a result.</w:t>
      </w:r>
    </w:p>
    <w:p>
      <w:pPr>
        <w:spacing w:after="0" w:line="17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July 2024, we entered into the Common Stock Purchase Agreement with B. Riley Principal II pursuant to which we issued an aggregate of 7,300,000 shares of Class A common stock for a 36-month period beginning on the Effective Date. We issued 1,595,855 shares under the Common Stock Purchase Agreement through the date of filing.</w:t>
      </w:r>
    </w:p>
    <w:p>
      <w:pPr>
        <w:spacing w:after="0" w:line="189"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In 2022, we entered into the ATM Agreement with B. Riley, pursuant to which we issued an aggregate of 4,167,463 shares of Class A common stock through the date of filing.</w:t>
      </w:r>
    </w:p>
    <w:p>
      <w:pPr>
        <w:spacing w:after="0" w:line="16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December 2023, we entered into the Equity Exchange Agreement with Infinite Reality under which we issued 180,000 shares of Class A common stock, and a one-year warrant to purchase 180,000 shares of Class A common stock.</w:t>
      </w:r>
    </w:p>
    <w:p>
      <w:pPr>
        <w:spacing w:after="0" w:line="245" w:lineRule="auto"/>
        <w:rPr>
          <w:sz w:val="20"/>
          <w:szCs w:val="20"/>
          <w:color w:val="auto"/>
        </w:rPr>
      </w:pPr>
      <w:r>
        <w:rPr>
          <w:rFonts w:ascii="Arial" w:cs="Arial" w:eastAsia="Arial" w:hAnsi="Arial"/>
          <w:sz w:val="18"/>
          <w:szCs w:val="18"/>
          <w:color w:val="auto"/>
        </w:rPr>
        <w:t>In February 2024, we entered into the Armistice SPA, pursuant to which we issued 450,300 shares of Class A common stock as SPA Shares, the Pre-Funded Warrant to purchase 810,205 shares of Class A common stock, which has been exercised in full, and the Armistice Warrant to purchase up to 1,260,505 shares of Class A common stock. We may continue to raise capital by selling shares of Class A common stock, or instruments convertible or exercisable for Class A common stock, through future equity offerings.</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addition, we have issued equity compensation pursuant to our 2021 Equity Plan, as amended and restated, and received stockholder approval to increase the number of shares of Class A common stock authorized for issuance thereunder by 1,000,000 at our 2025 annual meeting of stockholders held on June 17, 2025, and have issued certain inducement grants, and shares of Class A common stock to a related party in connection with the Equity Interest Payment Agreement, as described under Note 9, “</w:t>
      </w:r>
      <w:r>
        <w:rPr>
          <w:rFonts w:ascii="Arial" w:cs="Arial" w:eastAsia="Arial" w:hAnsi="Arial"/>
          <w:sz w:val="17"/>
          <w:szCs w:val="17"/>
          <w:i w:val="1"/>
          <w:iCs w:val="1"/>
          <w:color w:val="auto"/>
        </w:rPr>
        <w:t>Stockholders’ Deficit—Equity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Agreement</w:t>
      </w:r>
      <w:r>
        <w:rPr>
          <w:rFonts w:ascii="Arial" w:cs="Arial" w:eastAsia="Arial" w:hAnsi="Arial"/>
          <w:sz w:val="17"/>
          <w:szCs w:val="17"/>
          <w:color w:val="auto"/>
        </w:rPr>
        <w:t>,” Note 12 “</w:t>
      </w:r>
      <w:r>
        <w:rPr>
          <w:rFonts w:ascii="Arial" w:cs="Arial" w:eastAsia="Arial" w:hAnsi="Arial"/>
          <w:sz w:val="17"/>
          <w:szCs w:val="17"/>
          <w:i w:val="1"/>
          <w:iCs w:val="1"/>
          <w:color w:val="auto"/>
        </w:rPr>
        <w:t>Related Party Transactions—Equity Interest Payment Agreement</w:t>
      </w:r>
      <w:r>
        <w:rPr>
          <w:rFonts w:ascii="Arial" w:cs="Arial" w:eastAsia="Arial" w:hAnsi="Arial"/>
          <w:sz w:val="17"/>
          <w:szCs w:val="17"/>
          <w:color w:val="auto"/>
        </w:rPr>
        <w:t>” and Note 17, “</w:t>
      </w:r>
      <w:r>
        <w:rPr>
          <w:rFonts w:ascii="Arial" w:cs="Arial" w:eastAsia="Arial" w:hAnsi="Arial"/>
          <w:sz w:val="17"/>
          <w:szCs w:val="17"/>
          <w:i w:val="1"/>
          <w:iCs w:val="1"/>
          <w:color w:val="auto"/>
        </w:rPr>
        <w:t>Subsequent Events—Equity Interest Payment</w:t>
      </w:r>
      <w:r>
        <w:rPr>
          <w:rFonts w:ascii="Arial" w:cs="Arial" w:eastAsia="Arial" w:hAnsi="Arial"/>
          <w:sz w:val="17"/>
          <w:szCs w:val="17"/>
          <w:color w:val="auto"/>
        </w:rPr>
        <w:t>,” and in exchange for our debt pursuant to certain privately negotiated exchange agreements, as described under Note 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and Note 9, “</w:t>
      </w:r>
      <w:r>
        <w:rPr>
          <w:rFonts w:ascii="Arial" w:cs="Arial" w:eastAsia="Arial" w:hAnsi="Arial"/>
          <w:sz w:val="18"/>
          <w:szCs w:val="18"/>
          <w:i w:val="1"/>
          <w:iCs w:val="1"/>
          <w:color w:val="auto"/>
        </w:rPr>
        <w:t>Stockholder’' Deficit.</w:t>
      </w:r>
      <w:r>
        <w:rPr>
          <w:rFonts w:ascii="Arial" w:cs="Arial" w:eastAsia="Arial" w:hAnsi="Arial"/>
          <w:sz w:val="18"/>
          <w:szCs w:val="18"/>
          <w:color w:val="auto"/>
        </w:rPr>
        <w:t>”</w:t>
      </w:r>
    </w:p>
    <w:p>
      <w:pPr>
        <w:spacing w:after="0" w:line="2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adversely affect the market price of our Class A common stock.</w:t>
      </w:r>
    </w:p>
    <w:p>
      <w:pPr>
        <w:spacing w:after="0" w:line="19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A significant portion of our total outstanding shares of Class A common stock are or will be registered for resale or will become eligible for resale under Rule 144, and may be sold into the market in the future. This could cause the market price of our Class A common stock to drop significantly, even if our business is doing well.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ind w:right="320"/>
        <w:spacing w:after="0" w:line="271" w:lineRule="auto"/>
        <w:rPr>
          <w:sz w:val="20"/>
          <w:szCs w:val="20"/>
          <w:color w:val="auto"/>
        </w:rPr>
      </w:pPr>
      <w:r>
        <w:rPr>
          <w:rFonts w:ascii="Arial" w:cs="Arial" w:eastAsia="Arial" w:hAnsi="Arial"/>
          <w:sz w:val="18"/>
          <w:szCs w:val="18"/>
          <w:color w:val="auto"/>
        </w:rPr>
        <w:t>Sales of a substantial number of our Class A common stock could occur at any time. These sales, or the perception in the market that the holders of a large number of shares intend to sell shares, could reduce the market price of our Class A common stock.</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the date of this filing, we have registered in a registration statement on Form S-1 up to 7,300,000 shares of Class A common stock issuable pursuant to the Common Stock Purchase Agreement that may be resold from time to time, over a 36-month period commencing on September 24, 2024, by B. Riley Principal II, in a registration statement on Form S-8 up to 307,684 shares of Class A common stock issuable upon the vesting and exercise of non-qualified stock option inducement grants, in four registration statements on Form S-8 an aggregate of up to 2,583,111 shares of Class A common stock that may be delivered from time to time pursuant to past and future awards under our 2021 Equity Plan, as amended and restated, and in a registration statement on Form S-3 up to 2,521,010 shares of Class A common stock issuable pursuant to the SPA that may be resold from time to time by Armistice.</w:t>
      </w:r>
    </w:p>
    <w:p>
      <w:pPr>
        <w:spacing w:after="0" w:line="20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As the shares of Class A common stock registered or to be registered pursuant to these registration statements can be freely sold in the public market, the market price of our Class A common stock could decline if the stockholders sell their shares or are perceived by the market as intending to sell them.</w:t>
      </w:r>
    </w:p>
    <w:p>
      <w:pPr>
        <w:spacing w:after="0" w:line="18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addition, we have issued 180,000 shares of Class A common stock and a one-year warrant to purchase 180,000 shares of Class A common stock to Infinite Reality as restricted securities in private placements under Section 4(a)(2) of the Securities Act, which shares became eligible for resale under Rule 144 under the Securities Act in June 2024, as well as shares of Class A common stock in exchange for our Senior Notes pursuant to certain privately negotiated exchange agreements, as described under Note 5, “</w:t>
      </w:r>
      <w:r>
        <w:rPr>
          <w:rFonts w:ascii="Arial" w:cs="Arial" w:eastAsia="Arial" w:hAnsi="Arial"/>
          <w:sz w:val="18"/>
          <w:szCs w:val="18"/>
          <w:i w:val="1"/>
          <w:iCs w:val="1"/>
          <w:color w:val="auto"/>
        </w:rPr>
        <w:t>Debt</w:t>
      </w:r>
      <w:r>
        <w:rPr>
          <w:rFonts w:ascii="Arial" w:cs="Arial" w:eastAsia="Arial" w:hAnsi="Arial"/>
          <w:sz w:val="18"/>
          <w:szCs w:val="18"/>
          <w:color w:val="auto"/>
        </w:rPr>
        <w:t>,” and Note 9, “</w:t>
      </w:r>
      <w:r>
        <w:rPr>
          <w:rFonts w:ascii="Arial" w:cs="Arial" w:eastAsia="Arial" w:hAnsi="Arial"/>
          <w:sz w:val="18"/>
          <w:szCs w:val="18"/>
          <w:i w:val="1"/>
          <w:iCs w:val="1"/>
          <w:color w:val="auto"/>
        </w:rPr>
        <w:t>Stockholders’ Deficit</w:t>
      </w:r>
      <w:r>
        <w:rPr>
          <w:rFonts w:ascii="Arial" w:cs="Arial" w:eastAsia="Arial" w:hAnsi="Arial"/>
          <w:sz w:val="18"/>
          <w:szCs w:val="18"/>
          <w:color w:val="auto"/>
        </w:rPr>
        <w:t>.”</w:t>
      </w:r>
    </w:p>
    <w:p>
      <w:pPr>
        <w:spacing w:after="0" w:line="219"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We have material environmental liabilities, and costs of compliance with existing and new environmental laws could have a material adverse effect on us.</w:t>
      </w:r>
    </w:p>
    <w:p>
      <w:pPr>
        <w:spacing w:after="0" w:line="16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and our affiliates are subject to extensive environmental regulation by governmental authorities, including the U.S. Environmental Protection Agency (the “EPA”), and state environmental agencies such as the NYSDEC and/or attorneys general, and have material environmental liabilities, including a coal combustion (“CCR”) residual liability of $17.3 million as of September 30, 2025 and December 31, 2024 associated with the closure of a coal ash point located on the New York Facility property and an environmental liability of $13.4 million as of September 30, 2025 and December 31, 2024 associated with the Lockwood Hills Landfill. See “Business—Governmental Regulation— Environmental Liability” and Note 10, “Commitments and Contingencies—Environmental Liabilities”, in the Notes to Consolidated Financial Statements. We may incur significant additional costs beyond those currently contemplated to comply with these regulatory requirements. If we fail to comply with these and future regulatory requirements, we could be forced to reduce or discontinue operations or become subject to administrative, civil, or criminal liabilities and fines.</w:t>
      </w:r>
    </w:p>
    <w:p>
      <w:pPr>
        <w:spacing w:after="0" w:line="2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2015, EPA finalized federal regulations (the “CCR Rule”) that establish technical requirements for the disposal of CCR. The EPA subsequently published revisions to the CCR Rule, effective November 8, 2024 (the “revised CCR regulations”). The revised CCR regulations impose certain compliance and other obligations on certain previously unregulated CCR sites. The revised CCR regulations require, among other things, electric utilities and independent power producers to investigate and identify previously unregulated CCR sites and demonstrate that the sites were closed in accordance with the closure performance standards in the CCR Rule. Pursuant to the revised CCR regulations, the required investigation is conducted in phases, with the Phase 1 facility evaluation report due on February 9, 2026; however, on July 22, 2025, EPA published for public comment a direct final rule (the “Proposed Direct Final Rule”) and a parallel proposed rule (the “Parallel Proposed Rule”, and, together with the Proposed Direct Final Rule, the “Proposed Rules”), providing that owners and operators may opt to submit the required facility evaluation reports for each of Phase 1 and Phase 2 concurrently on the Phase 2 deadline of February 9, 2027 enumerated in the revised CCR regulations. Any required closure obligation would commence on May 8, 2029, which pursuant to the Proposed Rules would be extended to August 8, 2030, unless exceptions apply that would defer the closure obligation to a permitting process. The Proposed Direct Final Rule was subsequently withdrawn by the EPA on September 4, 2025, maintaining the original deadlines for compliance enumerated in the revised CCR regulations; however, the Parallel Proposed Rule remains in place subject to an extended comment period which expired on September 15, 2025 and EPA’s final rulemaking. In accordance with the revised CCR regulations and the Proposed Rules, as applicable, phased evaluations of the Lockwood Hills and Greenidge Generation facilities will be conducted to determine if any previously unregulated CCR sites must be addressed under the new regulation. We make no assurances as to the status of any CCR sites at either facility that could be subject to regulation under the revised CCR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1" w:name="page52"/>
    <w:bookmarkEnd w:id="51"/>
    <w:p>
      <w:pPr>
        <w:spacing w:after="0" w:line="244" w:lineRule="auto"/>
        <w:rPr>
          <w:sz w:val="20"/>
          <w:szCs w:val="20"/>
          <w:color w:val="auto"/>
        </w:rPr>
      </w:pPr>
      <w:r>
        <w:rPr>
          <w:rFonts w:ascii="Arial" w:cs="Arial" w:eastAsia="Arial" w:hAnsi="Arial"/>
          <w:sz w:val="18"/>
          <w:szCs w:val="18"/>
          <w:color w:val="auto"/>
        </w:rPr>
        <w:t>Additionally, the EPA has recently finalized or proposed several regulatory actions establishing new requirements for control of certain air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We can provide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our results of operations and financial condition.</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results of operations and financial condition.</w:t>
      </w:r>
    </w:p>
    <w:p>
      <w:pPr>
        <w:spacing w:after="0" w:line="19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may not be able to obtain or maintain all required environmental regulatory approvals. For example, while we have entered into a Stipulation of Settlement with NYSDEC concerning the renewal of our Title V Air Permit for the continued operation of our natural gas power generation facility in Torrey, New York, such renewal may become the subject of further administrative and state judicial proceedings brought by third party environmental groups . There can be no assurance that our efforts will be successful.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our results of operations and financial condition.</w:t>
      </w:r>
    </w:p>
    <w:p>
      <w:pPr>
        <w:spacing w:after="0" w:line="220"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Such event could have an adverse effect on our results of operations and financial condition.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right="40" w:firstLine="648"/>
        <w:spacing w:after="0" w:line="260" w:lineRule="auto"/>
        <w:rPr>
          <w:sz w:val="20"/>
          <w:szCs w:val="20"/>
          <w:color w:val="auto"/>
        </w:rPr>
      </w:pPr>
      <w:r>
        <w:rPr>
          <w:rFonts w:ascii="Arial" w:cs="Arial" w:eastAsia="Arial" w:hAnsi="Arial"/>
          <w:sz w:val="18"/>
          <w:szCs w:val="18"/>
          <w:b w:val="1"/>
          <w:bCs w:val="1"/>
          <w:color w:val="auto"/>
        </w:rPr>
        <w:t>Equity Interest Payment Agreement</w:t>
      </w:r>
      <w:r>
        <w:rPr>
          <w:rFonts w:ascii="Arial" w:cs="Arial" w:eastAsia="Arial" w:hAnsi="Arial"/>
          <w:sz w:val="18"/>
          <w:szCs w:val="18"/>
          <w:color w:val="auto"/>
        </w:rPr>
        <w:t>. On October 9, 2025, we issued an aggregate of 102,286 shares of Class A common stock to</w:t>
      </w:r>
      <w:r>
        <w:rPr>
          <w:rFonts w:ascii="Arial" w:cs="Arial" w:eastAsia="Arial" w:hAnsi="Arial"/>
          <w:sz w:val="18"/>
          <w:szCs w:val="18"/>
          <w:b w:val="1"/>
          <w:bCs w:val="1"/>
          <w:color w:val="auto"/>
        </w:rPr>
        <w:t xml:space="preserve"> </w:t>
      </w:r>
      <w:r>
        <w:rPr>
          <w:rFonts w:ascii="Arial" w:cs="Arial" w:eastAsia="Arial" w:hAnsi="Arial"/>
          <w:sz w:val="18"/>
          <w:szCs w:val="18"/>
          <w:color w:val="auto"/>
        </w:rPr>
        <w:t>a related party to settle the interest payment obligation for the third quarter of 2025 in the amount of $166,164 pursuant to the Equity Interest</w:t>
      </w:r>
    </w:p>
    <w:p>
      <w:pPr>
        <w:spacing w:after="0" w:line="2" w:lineRule="exact"/>
        <w:rPr>
          <w:sz w:val="20"/>
          <w:szCs w:val="20"/>
          <w:color w:val="auto"/>
        </w:rPr>
      </w:pPr>
    </w:p>
    <w:p>
      <w:pPr>
        <w:jc w:val="both"/>
        <w:ind w:right="480"/>
        <w:spacing w:after="0" w:line="258" w:lineRule="auto"/>
        <w:rPr>
          <w:sz w:val="20"/>
          <w:szCs w:val="20"/>
          <w:color w:val="auto"/>
        </w:rPr>
      </w:pPr>
      <w:r>
        <w:rPr>
          <w:rFonts w:ascii="Arial" w:cs="Arial" w:eastAsia="Arial" w:hAnsi="Arial"/>
          <w:sz w:val="18"/>
          <w:szCs w:val="18"/>
          <w:color w:val="auto"/>
        </w:rPr>
        <w:t>Payment Agreement, as described under Note 9, “</w:t>
      </w:r>
      <w:r>
        <w:rPr>
          <w:rFonts w:ascii="Arial" w:cs="Arial" w:eastAsia="Arial" w:hAnsi="Arial"/>
          <w:sz w:val="18"/>
          <w:szCs w:val="18"/>
          <w:i w:val="1"/>
          <w:iCs w:val="1"/>
          <w:color w:val="auto"/>
        </w:rPr>
        <w:t>Stockholders’ Deficit—Equity Interest Payment Agreement</w:t>
      </w:r>
      <w:r>
        <w:rPr>
          <w:rFonts w:ascii="Arial" w:cs="Arial" w:eastAsia="Arial" w:hAnsi="Arial"/>
          <w:sz w:val="18"/>
          <w:szCs w:val="18"/>
          <w:color w:val="auto"/>
        </w:rPr>
        <w:t>,” Note 12 “</w:t>
      </w:r>
      <w:r>
        <w:rPr>
          <w:rFonts w:ascii="Arial" w:cs="Arial" w:eastAsia="Arial" w:hAnsi="Arial"/>
          <w:sz w:val="18"/>
          <w:szCs w:val="18"/>
          <w:i w:val="1"/>
          <w:iCs w:val="1"/>
          <w:color w:val="auto"/>
        </w:rPr>
        <w:t>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Transactions—Equity Interest Payment Agreement</w:t>
      </w:r>
      <w:r>
        <w:rPr>
          <w:rFonts w:ascii="Arial" w:cs="Arial" w:eastAsia="Arial" w:hAnsi="Arial"/>
          <w:sz w:val="18"/>
          <w:szCs w:val="18"/>
          <w:color w:val="auto"/>
        </w:rPr>
        <w:t>” and Note 17, “</w:t>
      </w:r>
      <w:r>
        <w:rPr>
          <w:rFonts w:ascii="Arial" w:cs="Arial" w:eastAsia="Arial" w:hAnsi="Arial"/>
          <w:sz w:val="18"/>
          <w:szCs w:val="18"/>
          <w:i w:val="1"/>
          <w:iCs w:val="1"/>
          <w:color w:val="auto"/>
        </w:rPr>
        <w:t>Subsequent Events—Equity Interest Payment.</w:t>
      </w:r>
      <w:r>
        <w:rPr>
          <w:rFonts w:ascii="Arial" w:cs="Arial" w:eastAsia="Arial" w:hAnsi="Arial"/>
          <w:sz w:val="18"/>
          <w:szCs w:val="18"/>
          <w:color w:val="auto"/>
        </w:rPr>
        <w:t>” The transaction was</w:t>
      </w:r>
      <w:r>
        <w:rPr>
          <w:rFonts w:ascii="Arial" w:cs="Arial" w:eastAsia="Arial" w:hAnsi="Arial"/>
          <w:sz w:val="18"/>
          <w:szCs w:val="18"/>
          <w:i w:val="1"/>
          <w:iCs w:val="1"/>
          <w:color w:val="auto"/>
        </w:rPr>
        <w:t xml:space="preserve"> </w:t>
      </w:r>
      <w:r>
        <w:rPr>
          <w:rFonts w:ascii="Arial" w:cs="Arial" w:eastAsia="Arial" w:hAnsi="Arial"/>
          <w:sz w:val="18"/>
          <w:szCs w:val="18"/>
          <w:color w:val="auto"/>
        </w:rPr>
        <w:t>exempt from registration in reliance upon Section 4(a)(2) of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filed or furnished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52" w:name="page53"/>
    <w:bookmarkEnd w:id="52"/>
    <w:tbl>
      <w:tblPr>
        <w:tblLayout w:type="fixed"/>
        <w:tblInd w:w="2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0" w:type="dxa"/>
            <w:vAlign w:val="bottom"/>
            <w:gridSpan w:val="9"/>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4.1</w:t>
            </w:r>
          </w:p>
        </w:tc>
        <w:tc>
          <w:tcPr>
            <w:tcW w:w="9720" w:type="dxa"/>
            <w:vAlign w:val="bottom"/>
            <w:gridSpan w:val="12"/>
          </w:tcPr>
          <w:p>
            <w:pPr>
              <w:spacing w:after="0"/>
              <w:rPr>
                <w:rFonts w:ascii="Arial" w:cs="Arial" w:eastAsia="Arial" w:hAnsi="Arial"/>
                <w:sz w:val="18"/>
                <w:szCs w:val="18"/>
                <w:color w:val="0000FF"/>
              </w:rPr>
            </w:pPr>
            <w:hyperlink r:id="rId70">
              <w:r>
                <w:rPr>
                  <w:rFonts w:ascii="Arial" w:cs="Arial" w:eastAsia="Arial" w:hAnsi="Arial"/>
                  <w:sz w:val="18"/>
                  <w:szCs w:val="18"/>
                  <w:color w:val="0000FF"/>
                </w:rPr>
                <w:t>Indenture dated as of October 13, 2021 between Greenidge Generation Holdings Inc. and Wilmington Savings Fund</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gridSpan w:val="12"/>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Society, FSB, as trustee (incorporated by reference to Exhibit 4.1 to the Current Report on Form 8-K filed on October 13,</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2021).</w:t>
              </w:r>
            </w:hyperlink>
          </w:p>
        </w:tc>
        <w:tc>
          <w:tcPr>
            <w:tcW w:w="68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4.2</w:t>
            </w:r>
          </w:p>
        </w:tc>
        <w:tc>
          <w:tcPr>
            <w:tcW w:w="9720" w:type="dxa"/>
            <w:vAlign w:val="bottom"/>
            <w:gridSpan w:val="12"/>
          </w:tcPr>
          <w:p>
            <w:pPr>
              <w:spacing w:after="0"/>
              <w:rPr>
                <w:rFonts w:ascii="Arial" w:cs="Arial" w:eastAsia="Arial" w:hAnsi="Arial"/>
                <w:sz w:val="18"/>
                <w:szCs w:val="18"/>
                <w:color w:val="0000FF"/>
              </w:rPr>
            </w:pPr>
            <w:hyperlink r:id="rId71">
              <w:r>
                <w:rPr>
                  <w:rFonts w:ascii="Arial" w:cs="Arial" w:eastAsia="Arial" w:hAnsi="Arial"/>
                  <w:sz w:val="18"/>
                  <w:szCs w:val="18"/>
                  <w:color w:val="0000FF"/>
                </w:rPr>
                <w:t>Second Supplemental Indenture dated as of July 21, 2025 between Greenidge Generation Holdings Inc. and Wilmington</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tcBorders>
              <w:bottom w:val="single" w:sz="8" w:color="0000FF"/>
            </w:tcBorders>
            <w:gridSpan w:val="12"/>
          </w:tcPr>
          <w:p>
            <w:pPr>
              <w:spacing w:after="0" w:line="196"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Savings Fund Society, FSB, as trustee (incorporated by reference to Exhibit 4.2 to the Current Report on Form 8-K filed on</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180" w:type="dxa"/>
            <w:vAlign w:val="bottom"/>
            <w:tcBorders>
              <w:bottom w:val="single" w:sz="8" w:color="0000FF"/>
            </w:tcBorders>
            <w:gridSpan w:val="2"/>
          </w:tcPr>
          <w:p>
            <w:pPr>
              <w:spacing w:after="0" w:line="196" w:lineRule="exact"/>
              <w:rPr>
                <w:rFonts w:ascii="Arial" w:cs="Arial" w:eastAsia="Arial" w:hAnsi="Arial"/>
                <w:sz w:val="18"/>
                <w:szCs w:val="18"/>
                <w:color w:val="0000FF"/>
                <w:w w:val="98"/>
              </w:rPr>
            </w:pPr>
            <w:hyperlink r:id="rId71">
              <w:r>
                <w:rPr>
                  <w:rFonts w:ascii="Arial" w:cs="Arial" w:eastAsia="Arial" w:hAnsi="Arial"/>
                  <w:sz w:val="18"/>
                  <w:szCs w:val="18"/>
                  <w:color w:val="0000FF"/>
                  <w:w w:val="98"/>
                </w:rPr>
                <w:t>July 21, 2025).</w:t>
              </w:r>
            </w:hyperlink>
          </w:p>
        </w:tc>
        <w:tc>
          <w:tcPr>
            <w:tcW w:w="8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4.3</w:t>
            </w:r>
          </w:p>
        </w:tc>
        <w:tc>
          <w:tcPr>
            <w:tcW w:w="6600" w:type="dxa"/>
            <w:vAlign w:val="bottom"/>
            <w:tcBorders>
              <w:bottom w:val="single" w:sz="8" w:color="0000FF"/>
            </w:tcBorders>
            <w:gridSpan w:val="4"/>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Form of 10.00% Senior Note due 2030 (included as Exhibit A to Exhibit 4.2 above).</w:t>
              </w:r>
            </w:hyperlink>
          </w:p>
        </w:tc>
        <w:tc>
          <w:tcPr>
            <w:tcW w:w="31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9340" w:type="dxa"/>
            <w:vAlign w:val="bottom"/>
            <w:tcBorders>
              <w:bottom w:val="single" w:sz="8" w:color="0000FF"/>
            </w:tcBorders>
            <w:gridSpan w:val="7"/>
          </w:tcPr>
          <w:p>
            <w:pPr>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Asset Purchase Agreement, dated August 1, 2025, by and between Greenidge Mississippi LLC and US Digital Mining</w:t>
              </w:r>
            </w:hyperlink>
          </w:p>
        </w:tc>
        <w:tc>
          <w:tcPr>
            <w:tcW w:w="3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gridSpan w:val="12"/>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Mississippi LLC (incorporated by reference to Exhibit 10.1 to the Current Report on Form 8-K filed on August 6, 2025).</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2320" w:type="dxa"/>
            <w:vAlign w:val="bottom"/>
            <w:gridSpan w:val="3"/>
            <w:shd w:val="clear" w:color="auto" w:fill="0000FF"/>
          </w:tcPr>
          <w:p>
            <w:pPr>
              <w:spacing w:after="0" w:line="20" w:lineRule="exact"/>
              <w:rPr>
                <w:sz w:val="1"/>
                <w:szCs w:val="1"/>
                <w:color w:val="auto"/>
              </w:rPr>
            </w:pPr>
          </w:p>
        </w:tc>
        <w:tc>
          <w:tcPr>
            <w:tcW w:w="500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vMerge w:val="continue"/>
          </w:tcPr>
          <w:p>
            <w:pPr>
              <w:spacing w:after="0"/>
              <w:rPr>
                <w:sz w:val="21"/>
                <w:szCs w:val="21"/>
                <w:color w:val="auto"/>
              </w:rPr>
            </w:pPr>
          </w:p>
        </w:tc>
        <w:tc>
          <w:tcPr>
            <w:tcW w:w="9560" w:type="dxa"/>
            <w:vAlign w:val="bottom"/>
            <w:tcBorders>
              <w:bottom w:val="single" w:sz="8" w:color="0000FF"/>
            </w:tcBorders>
            <w:gridSpan w:val="10"/>
          </w:tcPr>
          <w:p>
            <w:pPr>
              <w:spacing w:after="0"/>
              <w:rPr>
                <w:rFonts w:ascii="Arial" w:cs="Arial" w:eastAsia="Arial" w:hAnsi="Arial"/>
                <w:sz w:val="18"/>
                <w:szCs w:val="18"/>
                <w:color w:val="0000FF"/>
                <w:w w:val="99"/>
              </w:rPr>
            </w:pPr>
            <w:hyperlink r:id="rId73">
              <w:r>
                <w:rPr>
                  <w:rFonts w:ascii="Arial" w:cs="Arial" w:eastAsia="Arial" w:hAnsi="Arial"/>
                  <w:sz w:val="18"/>
                  <w:szCs w:val="18"/>
                  <w:color w:val="0000FF"/>
                  <w:w w:val="99"/>
                </w:rPr>
                <w:t>Stipulation of Settlement, dated November 7, 2025, by and between Greenidge Generation LLC and the New York State</w:t>
              </w:r>
            </w:hyperlink>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gridSpan w:val="12"/>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Department of Environmental Conservation (incorporated by reference to Exhibit 10.1 to the Current Report on Form 8-K</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filed on November 10, 2025).</w:t>
              </w:r>
            </w:hyperlink>
          </w:p>
        </w:tc>
        <w:tc>
          <w:tcPr>
            <w:tcW w:w="7260" w:type="dxa"/>
            <w:vAlign w:val="bottom"/>
            <w:tcBorders>
              <w:top w:val="single" w:sz="8" w:color="0000FF"/>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94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of the Securities Exchange Act of</w:t>
            </w:r>
          </w:p>
        </w:tc>
        <w:tc>
          <w:tcPr>
            <w:tcW w:w="2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732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9"/>
              </w:rPr>
              <w:t>1934, as amended, as Adopted Pursuant to Section 302 of the Sarbanes-Oxley Act of 2002.</w:t>
            </w:r>
          </w:p>
        </w:tc>
        <w:tc>
          <w:tcPr>
            <w:tcW w:w="2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200"/>
          </w:cols>
          <w:pgMar w:left="320" w:top="1143" w:right="379" w:bottom="1440" w:gutter="0" w:footer="0" w:header="0"/>
        </w:sectPr>
      </w:pPr>
    </w:p>
    <w:p>
      <w:pPr>
        <w:ind w:left="2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ind w:right="300"/>
        <w:spacing w:after="0" w:line="281" w:lineRule="auto"/>
        <w:rPr>
          <w:sz w:val="20"/>
          <w:szCs w:val="20"/>
          <w:color w:val="auto"/>
        </w:rPr>
      </w:pPr>
      <w:r>
        <w:rPr>
          <w:rFonts w:ascii="Arial" w:cs="Arial" w:eastAsia="Arial" w:hAnsi="Arial"/>
          <w:sz w:val="18"/>
          <w:szCs w:val="18"/>
          <w:u w:val="single" w:color="auto"/>
          <w:color w:val="0000FF"/>
        </w:rPr>
        <w:t>Certification of Principal Financial Officer Pursuant to Rules 13a-14(a) and 15d-14(a) of the Securities Exchange Act of 1934, as amended, as Adopted Pursuant to Section 302 of the Sarbanes-Oxley Act of 2002.</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u w:val="single" w:color="auto"/>
          <w:color w:val="0000FF"/>
        </w:rPr>
        <w:t>Certification of Principal Executive Officer Pursuant to 18 U.S.C. Section 1350, as Adopted Pursuant to Section 906 of the Sarbanes-Oxley Act of 2002.</w:t>
      </w:r>
    </w:p>
    <w:p>
      <w:pPr>
        <w:spacing w:after="0" w:line="2" w:lineRule="exact"/>
        <w:rPr>
          <w:sz w:val="20"/>
          <w:szCs w:val="20"/>
          <w:color w:val="auto"/>
        </w:rPr>
      </w:pPr>
    </w:p>
    <w:p>
      <w:pPr>
        <w:sectPr>
          <w:pgSz w:w="11900" w:h="16838" w:orient="portrait"/>
          <w:cols w:equalWidth="0" w:num="2">
            <w:col w:w="760" w:space="720"/>
            <w:col w:w="9720"/>
          </w:cols>
          <w:pgMar w:left="320" w:top="1143" w:right="37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32.2*</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ind w:right="120"/>
        <w:spacing w:after="0" w:line="281" w:lineRule="auto"/>
        <w:rPr>
          <w:sz w:val="20"/>
          <w:szCs w:val="20"/>
          <w:color w:val="auto"/>
        </w:rPr>
      </w:pPr>
      <w:r>
        <w:rPr>
          <w:rFonts w:ascii="Arial" w:cs="Arial" w:eastAsia="Arial" w:hAnsi="Arial"/>
          <w:sz w:val="18"/>
          <w:szCs w:val="18"/>
          <w:u w:val="single" w:color="auto"/>
          <w:color w:val="0000FF"/>
        </w:rPr>
        <w:t>Certification of Principal Financial Officer Pursuant to 18 U.S.C. Section 1350, as Adopted Pursuant to Section 906 of the Sarbanes-Oxley Act of 2002.</w:t>
      </w:r>
    </w:p>
    <w:p>
      <w:pPr>
        <w:spacing w:after="0" w:line="1"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Interactive data files pursuant to Rule 405 of Regulation S-T: (i) the Balance Sheets, (ii) the Statements of Operations, (iii) the Statements of Cash Flows and (iv) the Notes to Unaudited Condensed Interim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131" w:lineRule="exact"/>
        <w:rPr>
          <w:sz w:val="20"/>
          <w:szCs w:val="20"/>
          <w:color w:val="auto"/>
        </w:rPr>
      </w:pPr>
    </w:p>
    <w:p>
      <w:pPr>
        <w:sectPr>
          <w:pgSz w:w="11900" w:h="16838" w:orient="portrait"/>
          <w:cols w:equalWidth="0" w:num="2">
            <w:col w:w="760" w:space="720"/>
            <w:col w:w="9720"/>
          </w:cols>
          <w:pgMar w:left="320" w:top="1143"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49" w:lineRule="exact"/>
        <w:rPr>
          <w:sz w:val="20"/>
          <w:szCs w:val="20"/>
          <w:color w:val="auto"/>
        </w:rPr>
      </w:pPr>
    </w:p>
    <w:p>
      <w:pPr>
        <w:ind w:left="480" w:hanging="454"/>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type w:val="continuous"/>
        </w:sectPr>
      </w:pPr>
    </w:p>
    <w:bookmarkStart w:id="53" w:name="page54"/>
    <w:bookmarkEnd w:id="5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Greenidge Generation Holdings Inc.</w:t>
      </w:r>
    </w:p>
    <w:p>
      <w:pPr>
        <w:spacing w:after="0" w:line="310" w:lineRule="exact"/>
        <w:rPr>
          <w:sz w:val="20"/>
          <w:szCs w:val="20"/>
          <w:color w:val="auto"/>
        </w:rPr>
      </w:pPr>
    </w:p>
    <w:p>
      <w:pPr>
        <w:ind w:left="20"/>
        <w:spacing w:after="0"/>
        <w:tabs>
          <w:tab w:leader="none" w:pos="6460" w:val="left"/>
          <w:tab w:leader="none" w:pos="850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74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Jordan Kovler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83" w:lineRule="exact"/>
        <w:rPr>
          <w:sz w:val="20"/>
          <w:szCs w:val="20"/>
          <w:color w:val="auto"/>
        </w:rPr>
      </w:pPr>
    </w:p>
    <w:p>
      <w:pPr>
        <w:ind w:left="20"/>
        <w:spacing w:after="0"/>
        <w:tabs>
          <w:tab w:leader="none" w:pos="6460" w:val="left"/>
          <w:tab w:leader="none" w:pos="832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74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Christian Mulvihill</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320" w:top="1143" w:right="5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Jordan Kovler, certify that:</w:t>
      </w:r>
    </w:p>
    <w:p>
      <w:pPr>
        <w:spacing w:after="0" w:line="117" w:lineRule="exact"/>
        <w:rPr>
          <w:sz w:val="20"/>
          <w:szCs w:val="20"/>
          <w:color w:val="auto"/>
        </w:rPr>
      </w:pPr>
    </w:p>
    <w:p>
      <w:pPr>
        <w:ind w:left="660" w:right="300" w:hanging="652"/>
        <w:spacing w:after="0" w:line="287" w:lineRule="auto"/>
        <w:tabs>
          <w:tab w:leader="none" w:pos="6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September 30, 2025;</w:t>
      </w:r>
    </w:p>
    <w:p>
      <w:pPr>
        <w:spacing w:after="0" w:line="44" w:lineRule="exact"/>
        <w:rPr>
          <w:rFonts w:ascii="Arial" w:cs="Arial" w:eastAsia="Arial" w:hAnsi="Arial"/>
          <w:sz w:val="18"/>
          <w:szCs w:val="18"/>
          <w:color w:val="auto"/>
        </w:rPr>
      </w:pPr>
    </w:p>
    <w:p>
      <w:pPr>
        <w:ind w:left="660" w:right="80" w:hanging="652"/>
        <w:spacing w:after="0" w:line="268" w:lineRule="auto"/>
        <w:tabs>
          <w:tab w:leader="none" w:pos="6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220" w:hanging="652"/>
        <w:spacing w:after="0" w:line="287" w:lineRule="auto"/>
        <w:tabs>
          <w:tab w:leader="none" w:pos="6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4" w:lineRule="exact"/>
        <w:rPr>
          <w:rFonts w:ascii="Arial" w:cs="Arial" w:eastAsia="Arial" w:hAnsi="Arial"/>
          <w:sz w:val="18"/>
          <w:szCs w:val="18"/>
          <w:color w:val="auto"/>
        </w:rPr>
      </w:pPr>
    </w:p>
    <w:p>
      <w:pPr>
        <w:ind w:left="1300" w:right="100" w:hanging="644"/>
        <w:spacing w:after="0" w:line="268" w:lineRule="auto"/>
        <w:tabs>
          <w:tab w:leader="none" w:pos="13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300" w:hanging="644"/>
        <w:spacing w:after="0" w:line="268" w:lineRule="auto"/>
        <w:tabs>
          <w:tab w:leader="none" w:pos="130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32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300" w:right="420" w:hanging="644"/>
        <w:spacing w:after="0" w:line="268" w:lineRule="auto"/>
        <w:tabs>
          <w:tab w:leader="none" w:pos="13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80"/>
        <w:spacing w:after="0"/>
        <w:tabs>
          <w:tab w:leader="none" w:pos="860" w:val="left"/>
          <w:tab w:leader="none" w:pos="7040" w:val="left"/>
          <w:tab w:leader="none" w:pos="8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26035</wp:posOffset>
            </wp:positionV>
            <wp:extent cx="24517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24517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30"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Jordan Kovler</w:t>
      </w:r>
    </w:p>
    <w:p>
      <w:pPr>
        <w:spacing w:after="0" w:line="40"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3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Christian Mulvihill, certify that:</w:t>
      </w:r>
    </w:p>
    <w:p>
      <w:pPr>
        <w:spacing w:after="0" w:line="117" w:lineRule="exact"/>
        <w:rPr>
          <w:sz w:val="20"/>
          <w:szCs w:val="20"/>
          <w:color w:val="auto"/>
        </w:rPr>
      </w:pPr>
    </w:p>
    <w:p>
      <w:pPr>
        <w:ind w:left="660" w:right="300" w:hanging="652"/>
        <w:spacing w:after="0" w:line="287" w:lineRule="auto"/>
        <w:tabs>
          <w:tab w:leader="none" w:pos="6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September 30, 2025;</w:t>
      </w:r>
    </w:p>
    <w:p>
      <w:pPr>
        <w:spacing w:after="0" w:line="44" w:lineRule="exact"/>
        <w:rPr>
          <w:rFonts w:ascii="Arial" w:cs="Arial" w:eastAsia="Arial" w:hAnsi="Arial"/>
          <w:sz w:val="18"/>
          <w:szCs w:val="18"/>
          <w:color w:val="auto"/>
        </w:rPr>
      </w:pPr>
    </w:p>
    <w:p>
      <w:pPr>
        <w:ind w:left="660" w:right="80" w:hanging="652"/>
        <w:spacing w:after="0" w:line="268" w:lineRule="auto"/>
        <w:tabs>
          <w:tab w:leader="none" w:pos="6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220" w:hanging="652"/>
        <w:spacing w:after="0" w:line="287" w:lineRule="auto"/>
        <w:tabs>
          <w:tab w:leader="none" w:pos="6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4" w:lineRule="exact"/>
        <w:rPr>
          <w:rFonts w:ascii="Arial" w:cs="Arial" w:eastAsia="Arial" w:hAnsi="Arial"/>
          <w:sz w:val="18"/>
          <w:szCs w:val="18"/>
          <w:color w:val="auto"/>
        </w:rPr>
      </w:pPr>
    </w:p>
    <w:p>
      <w:pPr>
        <w:ind w:left="1300" w:right="100" w:hanging="644"/>
        <w:spacing w:after="0" w:line="268" w:lineRule="auto"/>
        <w:tabs>
          <w:tab w:leader="none" w:pos="13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300" w:hanging="644"/>
        <w:spacing w:after="0" w:line="268" w:lineRule="auto"/>
        <w:tabs>
          <w:tab w:leader="none" w:pos="1304"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32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300" w:right="420" w:hanging="644"/>
        <w:spacing w:after="0" w:line="268" w:lineRule="auto"/>
        <w:tabs>
          <w:tab w:leader="none" w:pos="13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80"/>
        <w:spacing w:after="0"/>
        <w:tabs>
          <w:tab w:leader="none" w:pos="860" w:val="left"/>
          <w:tab w:leader="none" w:pos="70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26035</wp:posOffset>
            </wp:positionV>
            <wp:extent cx="24428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44284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3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Christian Mulvihill</w:t>
      </w:r>
    </w:p>
    <w:p>
      <w:pPr>
        <w:spacing w:after="0" w:line="4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3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connection with the Quarterly Report of Greenidge Generation Holdings Inc. (the “Company”) on Form 10-Q for the period ended September 30, 2025, as filed with the Securities and Exchange Commission on the date hereof (the “Report”), I certify, pursuant to 18 U.S.C.</w:t>
      </w:r>
    </w:p>
    <w:p>
      <w:pPr>
        <w:ind w:left="160" w:hanging="152"/>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my knowledge:</w:t>
      </w:r>
    </w:p>
    <w:p>
      <w:pPr>
        <w:spacing w:after="0" w:line="99" w:lineRule="exact"/>
        <w:rPr>
          <w:rFonts w:ascii="Arial" w:cs="Arial" w:eastAsia="Arial" w:hAnsi="Arial"/>
          <w:sz w:val="18"/>
          <w:szCs w:val="18"/>
          <w:color w:val="auto"/>
        </w:rPr>
      </w:pPr>
    </w:p>
    <w:p>
      <w:pPr>
        <w:ind w:left="1320" w:hanging="664"/>
        <w:spacing w:after="0"/>
        <w:tabs>
          <w:tab w:leader="none" w:pos="13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40" w:hanging="644"/>
        <w:spacing w:after="0" w:line="287" w:lineRule="auto"/>
        <w:tabs>
          <w:tab w:leader="none" w:pos="131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p>
      <w:pPr>
        <w:ind w:left="80"/>
        <w:spacing w:after="0"/>
        <w:tabs>
          <w:tab w:leader="none" w:pos="860" w:val="left"/>
          <w:tab w:leader="none" w:pos="7040" w:val="left"/>
          <w:tab w:leader="none" w:pos="8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26035</wp:posOffset>
            </wp:positionV>
            <wp:extent cx="24517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Jordan Kovler</w:t>
      </w:r>
    </w:p>
    <w:p>
      <w:pPr>
        <w:spacing w:after="0" w:line="40"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3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connection with the Quarterly Report of Greenidge Generation Holdings Inc. (the “Company”) on Form 10-Q for the period ended September 30, 2025, as filed with the Securities and Exchange Commission on the date hereof (the “Report”), I certify, pursuant to 18 U.S.C.</w:t>
      </w:r>
    </w:p>
    <w:p>
      <w:pPr>
        <w:ind w:left="160" w:hanging="152"/>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my knowledge:</w:t>
      </w:r>
    </w:p>
    <w:p>
      <w:pPr>
        <w:spacing w:after="0" w:line="99" w:lineRule="exact"/>
        <w:rPr>
          <w:rFonts w:ascii="Arial" w:cs="Arial" w:eastAsia="Arial" w:hAnsi="Arial"/>
          <w:sz w:val="18"/>
          <w:szCs w:val="18"/>
          <w:color w:val="auto"/>
        </w:rPr>
      </w:pPr>
    </w:p>
    <w:p>
      <w:pPr>
        <w:ind w:left="1320" w:hanging="664"/>
        <w:spacing w:after="0"/>
        <w:tabs>
          <w:tab w:leader="none" w:pos="13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40" w:hanging="644"/>
        <w:spacing w:after="0" w:line="287" w:lineRule="auto"/>
        <w:tabs>
          <w:tab w:leader="none" w:pos="131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p>
      <w:pPr>
        <w:ind w:left="80"/>
        <w:spacing w:after="0"/>
        <w:tabs>
          <w:tab w:leader="none" w:pos="860" w:val="left"/>
          <w:tab w:leader="none" w:pos="70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26035</wp:posOffset>
            </wp:positionV>
            <wp:extent cx="24428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Christian Mulvihill</w:t>
      </w:r>
    </w:p>
    <w:p>
      <w:pPr>
        <w:spacing w:after="0" w:line="4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Roman"/>
      <w:start w:val="2"/>
    </w:lvl>
  </w:abstractNum>
  <w:abstractNum w:abstractNumId="5">
    <w:nsid w:val="519B500D"/>
    <w:multiLevelType w:val="hybridMultilevel"/>
    <w:lvl w:ilvl="0">
      <w:lvlJc w:val="left"/>
      <w:lvlText w:val="(%1)"/>
      <w:numFmt w:val="lowerRoman"/>
      <w:start w:val="3"/>
    </w:lvl>
  </w:abstractNum>
  <w:abstractNum w:abstractNumId="6">
    <w:nsid w:val="431BD7B7"/>
    <w:multiLevelType w:val="hybridMultilevel"/>
    <w:lvl w:ilvl="0">
      <w:lvlJc w:val="left"/>
      <w:lvlText w:val="%1."/>
      <w:numFmt w:val="decimal"/>
      <w:start w:val="13"/>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
      <w:numFmt w:val="bullet"/>
      <w:start w:val="1"/>
    </w:lvl>
    <w:lvl w:ilvl="1">
      <w:lvlJc w:val="left"/>
      <w:lvlText w:val="(%2)"/>
      <w:numFmt w:val="decimal"/>
      <w:start w:val="1"/>
    </w:lvl>
  </w:abstractNum>
  <w:abstractNum w:abstractNumId="28">
    <w:nsid w:val="2901D8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70" Type="http://schemas.openxmlformats.org/officeDocument/2006/relationships/hyperlink" Target="https://www.sec.gov/Archives/edgar/data/1844971/000119312521297840/d207492dex41.htm" TargetMode="External"/><Relationship Id="rId71" Type="http://schemas.openxmlformats.org/officeDocument/2006/relationships/hyperlink" Target="https://www.sec.gov/Archives/edgar/data/1844971/000119380525001071/e664703_ex4-2.htm" TargetMode="External"/><Relationship Id="rId72" Type="http://schemas.openxmlformats.org/officeDocument/2006/relationships/hyperlink" Target="https://www.sec.gov/Archives/edgar/data/1844971/000162828025038430/assetpurchaseagreementusdi.htm" TargetMode="External"/><Relationship Id="rId73" Type="http://schemas.openxmlformats.org/officeDocument/2006/relationships/hyperlink" Target="https://www.sec.gov/Archives/edgar/data/1844971/000162828025050782/stipulation-ofxsettl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2025-11-13T07:43:47Z</dcterms:created>
  <dcterms:modified xsi:type="dcterms:W3CDTF">2025-11-13T07:43:47Z</dcterms:modified>
</cp:coreProperties>
</file>