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520" w:right="300" w:hanging="76"/>
        <w:spacing w:after="0" w:line="224"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20" w:right="300" w:hanging="76"/>
        <w:spacing w:after="0" w:line="235"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4"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001-40808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Greenidge Generation Holdings Inc.</w:t>
      </w:r>
    </w:p>
    <w:p>
      <w:pPr>
        <w:sectPr>
          <w:pgSz w:w="11900" w:h="16838" w:orient="portrait"/>
          <w:cols w:equalWidth="0" w:num="1">
            <w:col w:w="11240"/>
          </w:cols>
          <w:pgMar w:left="320" w:top="725"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4"/>
          <w:szCs w:val="14"/>
          <w:b w:val="1"/>
          <w:bCs w:val="1"/>
          <w:color w:val="auto"/>
        </w:rPr>
        <w:t>(State or other jurisdiction of</w:t>
      </w: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86-1746728</w:t>
      </w:r>
    </w:p>
    <w:p>
      <w:pPr>
        <w:spacing w:after="0" w:line="22"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50" w:lineRule="exact"/>
        <w:rPr>
          <w:sz w:val="24"/>
          <w:szCs w:val="24"/>
          <w:color w:val="auto"/>
        </w:rPr>
      </w:pPr>
    </w:p>
    <w:p>
      <w:pPr>
        <w:sectPr>
          <w:pgSz w:w="11900" w:h="16838" w:orient="portrait"/>
          <w:cols w:equalWidth="0" w:num="2">
            <w:col w:w="7700" w:space="220"/>
            <w:col w:w="3320"/>
          </w:cols>
          <w:pgMar w:left="320" w:top="725" w:right="339" w:bottom="1440" w:gutter="0" w:footer="0" w:header="0"/>
          <w:type w:val="continuous"/>
        </w:sectPr>
      </w:pPr>
    </w:p>
    <w:tbl>
      <w:tblPr>
        <w:tblLayout w:type="fixed"/>
        <w:tblInd w:w="1580" w:type="dxa"/>
        <w:tblCellMar>
          <w:top w:w="0" w:type="dxa"/>
          <w:left w:w="0" w:type="dxa"/>
          <w:bottom w:w="0" w:type="dxa"/>
          <w:right w:w="0" w:type="dxa"/>
        </w:tblCellMar>
      </w:tblPr>
      <w:tr>
        <w:trPr>
          <w:trHeight w:val="207"/>
        </w:trPr>
        <w:tc>
          <w:tcPr>
            <w:tcW w:w="4480" w:type="dxa"/>
            <w:vAlign w:val="bottom"/>
          </w:tcPr>
          <w:p>
            <w:pPr>
              <w:jc w:val="center"/>
              <w:ind w:right="2036"/>
              <w:spacing w:after="0"/>
              <w:rPr>
                <w:sz w:val="20"/>
                <w:szCs w:val="20"/>
                <w:color w:val="auto"/>
              </w:rPr>
            </w:pPr>
            <w:r>
              <w:rPr>
                <w:rFonts w:ascii="Arial" w:cs="Arial" w:eastAsia="Arial" w:hAnsi="Arial"/>
                <w:sz w:val="18"/>
                <w:szCs w:val="18"/>
                <w:b w:val="1"/>
                <w:bCs w:val="1"/>
                <w:color w:val="auto"/>
                <w:w w:val="92"/>
              </w:rPr>
              <w:t>135 Rennell Drive, 3rd Floor</w:t>
            </w:r>
          </w:p>
        </w:tc>
        <w:tc>
          <w:tcPr>
            <w:tcW w:w="2760" w:type="dxa"/>
            <w:vAlign w:val="bottom"/>
          </w:tcPr>
          <w:p>
            <w:pPr>
              <w:spacing w:after="0"/>
              <w:rPr>
                <w:sz w:val="17"/>
                <w:szCs w:val="17"/>
                <w:color w:val="auto"/>
              </w:rPr>
            </w:pPr>
          </w:p>
        </w:tc>
      </w:tr>
      <w:tr>
        <w:trPr>
          <w:trHeight w:val="225"/>
        </w:trPr>
        <w:tc>
          <w:tcPr>
            <w:tcW w:w="4480" w:type="dxa"/>
            <w:vAlign w:val="bottom"/>
          </w:tcPr>
          <w:p>
            <w:pPr>
              <w:jc w:val="center"/>
              <w:ind w:right="2036"/>
              <w:spacing w:after="0"/>
              <w:rPr>
                <w:sz w:val="20"/>
                <w:szCs w:val="20"/>
                <w:color w:val="auto"/>
              </w:rPr>
            </w:pPr>
            <w:r>
              <w:rPr>
                <w:rFonts w:ascii="Arial" w:cs="Arial" w:eastAsia="Arial" w:hAnsi="Arial"/>
                <w:sz w:val="18"/>
                <w:szCs w:val="18"/>
                <w:b w:val="1"/>
                <w:bCs w:val="1"/>
                <w:color w:val="auto"/>
                <w:w w:val="96"/>
              </w:rPr>
              <w:t>Fairfield, CT</w:t>
            </w:r>
          </w:p>
        </w:tc>
        <w:tc>
          <w:tcPr>
            <w:tcW w:w="2760" w:type="dxa"/>
            <w:vAlign w:val="bottom"/>
          </w:tcPr>
          <w:p>
            <w:pPr>
              <w:jc w:val="right"/>
              <w:ind w:right="19"/>
              <w:spacing w:after="0"/>
              <w:rPr>
                <w:sz w:val="20"/>
                <w:szCs w:val="20"/>
                <w:color w:val="auto"/>
              </w:rPr>
            </w:pPr>
            <w:r>
              <w:rPr>
                <w:rFonts w:ascii="Arial" w:cs="Arial" w:eastAsia="Arial" w:hAnsi="Arial"/>
                <w:sz w:val="18"/>
                <w:szCs w:val="18"/>
                <w:b w:val="1"/>
                <w:bCs w:val="1"/>
                <w:color w:val="auto"/>
              </w:rPr>
              <w:t>06890</w:t>
            </w:r>
          </w:p>
        </w:tc>
      </w:tr>
      <w:tr>
        <w:trPr>
          <w:trHeight w:val="186"/>
        </w:trPr>
        <w:tc>
          <w:tcPr>
            <w:tcW w:w="4480" w:type="dxa"/>
            <w:vAlign w:val="bottom"/>
          </w:tcPr>
          <w:p>
            <w:pPr>
              <w:jc w:val="center"/>
              <w:ind w:right="201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60" w:type="dxa"/>
            <w:vAlign w:val="bottom"/>
          </w:tcPr>
          <w:p>
            <w:pPr>
              <w:jc w:val="center"/>
              <w:ind w:left="2019"/>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(203) 718-5960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2600" w:type="dxa"/>
            <w:vAlign w:val="bottom"/>
            <w:tcBorders>
              <w:top w:val="single" w:sz="8" w:color="auto"/>
              <w:left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Title of each class</w:t>
            </w:r>
          </w:p>
        </w:tc>
        <w:tc>
          <w:tcPr>
            <w:tcW w:w="1360" w:type="dxa"/>
            <w:vAlign w:val="bottom"/>
            <w:tcBorders>
              <w:top w:val="single" w:sz="8" w:color="auto"/>
              <w:bottom w:val="single" w:sz="8" w:color="auto"/>
              <w:right w:val="single" w:sz="8" w:color="auto"/>
            </w:tcBorders>
          </w:tcPr>
          <w:p>
            <w:pPr>
              <w:spacing w:after="0"/>
              <w:rPr>
                <w:sz w:val="18"/>
                <w:szCs w:val="18"/>
                <w:color w:val="auto"/>
              </w:rPr>
            </w:pP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66"/>
        </w:trPr>
        <w:tc>
          <w:tcPr>
            <w:tcW w:w="3960" w:type="dxa"/>
            <w:vAlign w:val="bottom"/>
            <w:tcBorders>
              <w:left w:val="single" w:sz="8" w:color="auto"/>
              <w:bottom w:val="single" w:sz="8" w:color="auto"/>
              <w:right w:val="single" w:sz="8" w:color="auto"/>
            </w:tcBorders>
            <w:gridSpan w:val="2"/>
          </w:tcPr>
          <w:p>
            <w:pPr>
              <w:jc w:val="right"/>
              <w:ind w:right="499"/>
              <w:spacing w:after="0" w:line="166" w:lineRule="exact"/>
              <w:rPr>
                <w:sz w:val="20"/>
                <w:szCs w:val="20"/>
                <w:color w:val="auto"/>
              </w:rPr>
            </w:pPr>
            <w:r>
              <w:rPr>
                <w:rFonts w:ascii="Arial" w:cs="Arial" w:eastAsia="Arial" w:hAnsi="Arial"/>
                <w:sz w:val="16"/>
                <w:szCs w:val="16"/>
                <w:color w:val="auto"/>
              </w:rPr>
              <w:t>Class A Common Stock, $0.0001 par value</w:t>
            </w:r>
          </w:p>
        </w:tc>
        <w:tc>
          <w:tcPr>
            <w:tcW w:w="336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2"/>
              </w:rPr>
              <w:t>GREE</w:t>
            </w:r>
          </w:p>
        </w:tc>
        <w:tc>
          <w:tcPr>
            <w:tcW w:w="392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2"/>
              </w:rPr>
              <w:t>The Nasdaq Global Select Market</w:t>
            </w:r>
          </w:p>
        </w:tc>
      </w:tr>
      <w:tr>
        <w:trPr>
          <w:trHeight w:val="183"/>
        </w:trPr>
        <w:tc>
          <w:tcPr>
            <w:tcW w:w="2600" w:type="dxa"/>
            <w:vAlign w:val="bottom"/>
            <w:tcBorders>
              <w:left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8.50% Senior Notes due</w:t>
            </w:r>
          </w:p>
        </w:tc>
        <w:tc>
          <w:tcPr>
            <w:tcW w:w="1360" w:type="dxa"/>
            <w:vAlign w:val="bottom"/>
            <w:tcBorders>
              <w:bottom w:val="single" w:sz="8" w:color="auto"/>
              <w:right w:val="single" w:sz="8" w:color="auto"/>
            </w:tcBorders>
          </w:tcPr>
          <w:p>
            <w:pPr>
              <w:jc w:val="right"/>
              <w:ind w:right="939"/>
              <w:spacing w:after="0" w:line="183" w:lineRule="exact"/>
              <w:rPr>
                <w:sz w:val="20"/>
                <w:szCs w:val="20"/>
                <w:color w:val="auto"/>
              </w:rPr>
            </w:pPr>
            <w:r>
              <w:rPr>
                <w:rFonts w:ascii="Arial" w:cs="Arial" w:eastAsia="Arial" w:hAnsi="Arial"/>
                <w:sz w:val="16"/>
                <w:szCs w:val="16"/>
                <w:color w:val="auto"/>
                <w:w w:val="89"/>
              </w:rPr>
              <w:t>2026</w:t>
            </w:r>
          </w:p>
        </w:tc>
        <w:tc>
          <w:tcPr>
            <w:tcW w:w="3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5"/>
              </w:rPr>
              <w:t>GREEL</w:t>
            </w:r>
          </w:p>
        </w:tc>
        <w:tc>
          <w:tcPr>
            <w:tcW w:w="39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2"/>
              </w:rPr>
              <w:t>The Nasdaq Global Select Market</w:t>
            </w:r>
          </w:p>
        </w:tc>
      </w:tr>
    </w:tbl>
    <w:p>
      <w:pPr>
        <w:spacing w:after="0" w:line="85" w:lineRule="exact"/>
        <w:rPr>
          <w:sz w:val="24"/>
          <w:szCs w:val="24"/>
          <w:color w:val="auto"/>
        </w:rPr>
      </w:pPr>
    </w:p>
    <w:p>
      <w:pPr>
        <w:ind w:firstLine="50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180" w:firstLine="509"/>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300" w:firstLine="50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2"/>
        </w:trPr>
        <w:tc>
          <w:tcPr>
            <w:tcW w:w="1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8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8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160" w:firstLine="509"/>
        <w:spacing w:after="0" w:line="20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Securities registered pursuant to Section 12(g) of the Act: None</w:t>
      </w:r>
    </w:p>
    <w:p>
      <w:pPr>
        <w:spacing w:after="0" w:line="24" w:lineRule="exact"/>
        <w:rPr>
          <w:sz w:val="24"/>
          <w:szCs w:val="24"/>
          <w:color w:val="auto"/>
        </w:rPr>
      </w:pPr>
    </w:p>
    <w:p>
      <w:pPr>
        <w:ind w:right="380" w:firstLine="509"/>
        <w:spacing w:after="0" w:line="258" w:lineRule="auto"/>
        <w:rPr>
          <w:sz w:val="20"/>
          <w:szCs w:val="20"/>
          <w:color w:val="auto"/>
        </w:rPr>
      </w:pPr>
      <w:r>
        <w:rPr>
          <w:rFonts w:ascii="Arial" w:cs="Arial" w:eastAsia="Arial" w:hAnsi="Arial"/>
          <w:sz w:val="16"/>
          <w:szCs w:val="16"/>
          <w:color w:val="auto"/>
        </w:rPr>
        <w:t>As of May 13, 2022, the registrant had 12,838,861 shares of Class A common stock, $0.0001 par value per share, outstanding and 28,526,372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393700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40" w:type="dxa"/>
            <w:vAlign w:val="bottom"/>
            <w:gridSpan w:val="20"/>
            <w:vMerge w:val="restart"/>
          </w:tcPr>
          <w:p>
            <w:pPr>
              <w:spacing w:after="0"/>
              <w:rPr>
                <w:rFonts w:ascii="Arial" w:cs="Arial" w:eastAsia="Arial" w:hAnsi="Arial"/>
                <w:sz w:val="18"/>
                <w:szCs w:val="18"/>
                <w:b w:val="1"/>
                <w:bCs w:val="1"/>
                <w:color w:val="0563C1"/>
              </w:rPr>
            </w:pPr>
            <w:hyperlink w:anchor="page4">
              <w:r>
                <w:rPr>
                  <w:rFonts w:ascii="Arial" w:cs="Arial" w:eastAsia="Arial" w:hAnsi="Arial"/>
                  <w:sz w:val="18"/>
                  <w:szCs w:val="18"/>
                  <w:b w:val="1"/>
                  <w:bCs w:val="1"/>
                  <w:color w:val="0563C1"/>
                </w:rPr>
                <w:t>FINANCIAL INFORMATION</w:t>
              </w:r>
            </w:hyperlink>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920" w:type="dxa"/>
            <w:vAlign w:val="bottom"/>
            <w:gridSpan w:val="3"/>
            <w:vMerge w:val="continue"/>
          </w:tcPr>
          <w:p>
            <w:pPr>
              <w:spacing w:after="0"/>
              <w:rPr>
                <w:sz w:val="13"/>
                <w:szCs w:val="13"/>
                <w:color w:val="auto"/>
              </w:rPr>
            </w:pPr>
          </w:p>
        </w:tc>
        <w:tc>
          <w:tcPr>
            <w:tcW w:w="8540" w:type="dxa"/>
            <w:vAlign w:val="bottom"/>
            <w:gridSpan w:val="20"/>
            <w:vMerge w:val="continue"/>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w:t>
            </w:r>
          </w:p>
        </w:tc>
        <w:tc>
          <w:tcPr>
            <w:tcW w:w="2400" w:type="dxa"/>
            <w:vAlign w:val="bottom"/>
            <w:tcBorders>
              <w:top w:val="single" w:sz="8" w:color="0563C1"/>
            </w:tcBorders>
            <w:gridSpan w:val="11"/>
          </w:tcPr>
          <w:p>
            <w:pPr>
              <w:spacing w:after="0" w:line="169" w:lineRule="exact"/>
              <w:rPr>
                <w:rFonts w:ascii="Arial" w:cs="Arial" w:eastAsia="Arial" w:hAnsi="Arial"/>
                <w:sz w:val="18"/>
                <w:szCs w:val="18"/>
                <w:color w:val="0563C1"/>
              </w:rPr>
            </w:pPr>
            <w:hyperlink w:anchor="page4">
              <w:r>
                <w:rPr>
                  <w:rFonts w:ascii="Arial" w:cs="Arial" w:eastAsia="Arial" w:hAnsi="Arial"/>
                  <w:sz w:val="18"/>
                  <w:szCs w:val="18"/>
                  <w:color w:val="0563C1"/>
                </w:rPr>
                <w:t>Financial Statements</w:t>
              </w:r>
            </w:hyperlink>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right w:val="single" w:sz="8" w:color="0000EE"/>
            </w:tcBorders>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60" w:type="dxa"/>
            <w:vAlign w:val="bottom"/>
            <w:tcBorders>
              <w:bottom w:val="single" w:sz="8" w:color="0563C1"/>
            </w:tcBorders>
            <w:gridSpan w:val="12"/>
          </w:tcPr>
          <w:p>
            <w:pPr>
              <w:spacing w:after="0" w:line="169" w:lineRule="exact"/>
              <w:rPr>
                <w:rFonts w:ascii="Arial" w:cs="Arial" w:eastAsia="Arial" w:hAnsi="Arial"/>
                <w:sz w:val="18"/>
                <w:szCs w:val="18"/>
                <w:color w:val="0563C1"/>
                <w:w w:val="88"/>
              </w:rPr>
            </w:pPr>
            <w:hyperlink w:anchor="page4">
              <w:r>
                <w:rPr>
                  <w:rFonts w:ascii="Arial" w:cs="Arial" w:eastAsia="Arial" w:hAnsi="Arial"/>
                  <w:sz w:val="18"/>
                  <w:szCs w:val="18"/>
                  <w:color w:val="0563C1"/>
                  <w:w w:val="88"/>
                </w:rPr>
                <w:t>Condensed Consolidated Balance Sheets (Unaudited)</w:t>
              </w:r>
            </w:hyperlink>
          </w:p>
        </w:tc>
        <w:tc>
          <w:tcPr>
            <w:tcW w:w="4680" w:type="dxa"/>
            <w:vAlign w:val="bottom"/>
            <w:gridSpan w:val="8"/>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40" w:type="dxa"/>
            <w:vAlign w:val="bottom"/>
            <w:gridSpan w:val="20"/>
          </w:tcPr>
          <w:p>
            <w:pPr>
              <w:spacing w:after="0" w:line="169" w:lineRule="exact"/>
              <w:rPr>
                <w:rFonts w:ascii="Arial" w:cs="Arial" w:eastAsia="Arial" w:hAnsi="Arial"/>
                <w:sz w:val="18"/>
                <w:szCs w:val="18"/>
                <w:color w:val="0563C1"/>
              </w:rPr>
            </w:pPr>
            <w:hyperlink w:anchor="page5">
              <w:r>
                <w:rPr>
                  <w:rFonts w:ascii="Arial" w:cs="Arial" w:eastAsia="Arial" w:hAnsi="Arial"/>
                  <w:sz w:val="18"/>
                  <w:szCs w:val="18"/>
                  <w:color w:val="0563C1"/>
                </w:rPr>
                <w:t>Condensed Consolidated Statements of Operations and Comprehensive (Loss) Income (Unaudited)</w:t>
              </w:r>
            </w:hyperlink>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40" w:type="dxa"/>
            <w:vAlign w:val="bottom"/>
            <w:tcBorders>
              <w:top w:val="single" w:sz="8" w:color="0563C1"/>
            </w:tcBorders>
            <w:gridSpan w:val="19"/>
          </w:tcPr>
          <w:p>
            <w:pPr>
              <w:spacing w:after="0" w:line="169" w:lineRule="exact"/>
              <w:rPr>
                <w:rFonts w:ascii="Arial" w:cs="Arial" w:eastAsia="Arial" w:hAnsi="Arial"/>
                <w:sz w:val="18"/>
                <w:szCs w:val="18"/>
                <w:color w:val="0563C1"/>
              </w:rPr>
            </w:pPr>
            <w:hyperlink w:anchor="page6">
              <w:r>
                <w:rPr>
                  <w:rFonts w:ascii="Arial" w:cs="Arial" w:eastAsia="Arial" w:hAnsi="Arial"/>
                  <w:sz w:val="18"/>
                  <w:szCs w:val="18"/>
                  <w:color w:val="0563C1"/>
                </w:rPr>
                <w:t>Condensed Consolidated Statements of Stockholders’ Equity (Unaudited)</w:t>
              </w:r>
            </w:hyperlink>
          </w:p>
        </w:tc>
        <w:tc>
          <w:tcPr>
            <w:tcW w:w="1400" w:type="dxa"/>
            <w:vAlign w:val="bottom"/>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40" w:type="dxa"/>
            <w:vAlign w:val="bottom"/>
            <w:tcBorders>
              <w:top w:val="single" w:sz="8" w:color="0563C1"/>
              <w:bottom w:val="single" w:sz="8" w:color="0563C1"/>
            </w:tcBorders>
            <w:gridSpan w:val="15"/>
          </w:tcPr>
          <w:p>
            <w:pPr>
              <w:spacing w:after="0" w:line="169" w:lineRule="exact"/>
              <w:rPr>
                <w:rFonts w:ascii="Arial" w:cs="Arial" w:eastAsia="Arial" w:hAnsi="Arial"/>
                <w:sz w:val="18"/>
                <w:szCs w:val="18"/>
                <w:color w:val="0563C1"/>
                <w:w w:val="89"/>
              </w:rPr>
            </w:pPr>
            <w:hyperlink w:anchor="page7">
              <w:r>
                <w:rPr>
                  <w:rFonts w:ascii="Arial" w:cs="Arial" w:eastAsia="Arial" w:hAnsi="Arial"/>
                  <w:sz w:val="18"/>
                  <w:szCs w:val="18"/>
                  <w:color w:val="0563C1"/>
                  <w:w w:val="89"/>
                </w:rPr>
                <w:t>Condensed Consolidated Statements of Cash Flows (Unaudited)</w:t>
              </w:r>
            </w:hyperlink>
          </w:p>
        </w:tc>
        <w:tc>
          <w:tcPr>
            <w:tcW w:w="680" w:type="dxa"/>
            <w:vAlign w:val="bottom"/>
            <w:tcBorders>
              <w:top w:val="single" w:sz="8" w:color="0563C1"/>
            </w:tcBorders>
            <w:gridSpan w:val="2"/>
          </w:tcPr>
          <w:p>
            <w:pPr>
              <w:spacing w:after="0"/>
              <w:rPr>
                <w:sz w:val="14"/>
                <w:szCs w:val="14"/>
                <w:color w:val="auto"/>
              </w:rPr>
            </w:pPr>
          </w:p>
        </w:tc>
        <w:tc>
          <w:tcPr>
            <w:tcW w:w="1140" w:type="dxa"/>
            <w:vAlign w:val="bottom"/>
          </w:tcPr>
          <w:p>
            <w:pPr>
              <w:spacing w:after="0"/>
              <w:rPr>
                <w:sz w:val="14"/>
                <w:szCs w:val="14"/>
                <w:color w:val="auto"/>
              </w:rPr>
            </w:pPr>
          </w:p>
        </w:tc>
        <w:tc>
          <w:tcPr>
            <w:tcW w:w="2080" w:type="dxa"/>
            <w:vAlign w:val="bottom"/>
            <w:gridSpan w:val="2"/>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40" w:type="dxa"/>
            <w:vAlign w:val="bottom"/>
            <w:gridSpan w:val="20"/>
          </w:tcPr>
          <w:p>
            <w:pPr>
              <w:spacing w:after="0" w:line="169" w:lineRule="exact"/>
              <w:rPr>
                <w:rFonts w:ascii="Arial" w:cs="Arial" w:eastAsia="Arial" w:hAnsi="Arial"/>
                <w:sz w:val="18"/>
                <w:szCs w:val="18"/>
                <w:color w:val="0563C1"/>
              </w:rPr>
            </w:pPr>
            <w:hyperlink w:anchor="page8">
              <w:r>
                <w:rPr>
                  <w:rFonts w:ascii="Arial" w:cs="Arial" w:eastAsia="Arial" w:hAnsi="Arial"/>
                  <w:sz w:val="18"/>
                  <w:szCs w:val="18"/>
                  <w:color w:val="0563C1"/>
                </w:rPr>
                <w:t>Notes to Condensed Consolidated Financial Statements (Unaudited)</w:t>
              </w:r>
            </w:hyperlink>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2.</w:t>
            </w:r>
          </w:p>
        </w:tc>
        <w:tc>
          <w:tcPr>
            <w:tcW w:w="4920" w:type="dxa"/>
            <w:vAlign w:val="bottom"/>
            <w:tcBorders>
              <w:top w:val="single" w:sz="8" w:color="0563C1"/>
            </w:tcBorders>
            <w:gridSpan w:val="16"/>
          </w:tcPr>
          <w:p>
            <w:pPr>
              <w:spacing w:after="0" w:line="169" w:lineRule="exact"/>
              <w:rPr>
                <w:rFonts w:ascii="Arial" w:cs="Arial" w:eastAsia="Arial" w:hAnsi="Arial"/>
                <w:sz w:val="18"/>
                <w:szCs w:val="18"/>
                <w:color w:val="0563C1"/>
                <w:w w:val="92"/>
              </w:rPr>
            </w:pPr>
            <w:hyperlink w:anchor="page18">
              <w:r>
                <w:rPr>
                  <w:rFonts w:ascii="Arial" w:cs="Arial" w:eastAsia="Arial" w:hAnsi="Arial"/>
                  <w:sz w:val="18"/>
                  <w:szCs w:val="18"/>
                  <w:color w:val="0563C1"/>
                  <w:w w:val="92"/>
                </w:rPr>
                <w:t>Management’s Discussion and Analysis of Financial Condition and</w:t>
              </w:r>
            </w:hyperlink>
          </w:p>
        </w:tc>
        <w:tc>
          <w:tcPr>
            <w:tcW w:w="3620" w:type="dxa"/>
            <w:vAlign w:val="bottom"/>
            <w:gridSpan w:val="4"/>
          </w:tcPr>
          <w:p>
            <w:pPr>
              <w:spacing w:after="0" w:line="169" w:lineRule="exact"/>
              <w:rPr>
                <w:rFonts w:ascii="Arial" w:cs="Arial" w:eastAsia="Arial" w:hAnsi="Arial"/>
                <w:sz w:val="18"/>
                <w:szCs w:val="18"/>
                <w:color w:val="0563C1"/>
              </w:rPr>
            </w:pPr>
            <w:hyperlink w:anchor="page18">
              <w:r>
                <w:rPr>
                  <w:rFonts w:ascii="Arial" w:cs="Arial" w:eastAsia="Arial" w:hAnsi="Arial"/>
                  <w:sz w:val="18"/>
                  <w:szCs w:val="18"/>
                  <w:color w:val="0563C1"/>
                </w:rPr>
                <w:t>Results of Operations</w:t>
              </w:r>
            </w:hyperlink>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18"/>
          </w:tcPr>
          <w:p>
            <w:pPr>
              <w:spacing w:after="0" w:line="169" w:lineRule="exact"/>
              <w:rPr>
                <w:rFonts w:ascii="Arial" w:cs="Arial" w:eastAsia="Arial" w:hAnsi="Arial"/>
                <w:sz w:val="18"/>
                <w:szCs w:val="18"/>
                <w:color w:val="0563C1"/>
              </w:rPr>
            </w:pPr>
            <w:hyperlink w:anchor="page28">
              <w:r>
                <w:rPr>
                  <w:rFonts w:ascii="Arial" w:cs="Arial" w:eastAsia="Arial" w:hAnsi="Arial"/>
                  <w:sz w:val="18"/>
                  <w:szCs w:val="18"/>
                  <w:color w:val="0563C1"/>
                </w:rPr>
                <w:t>Quantitative and Qualitative Disclosures About Market Risk</w:t>
              </w:r>
            </w:hyperlink>
          </w:p>
        </w:tc>
        <w:tc>
          <w:tcPr>
            <w:tcW w:w="2080" w:type="dxa"/>
            <w:vAlign w:val="bottom"/>
            <w:gridSpan w:val="2"/>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7"/>
          </w:tcPr>
          <w:p>
            <w:pPr>
              <w:spacing w:after="0" w:line="169" w:lineRule="exact"/>
              <w:rPr>
                <w:rFonts w:ascii="Arial" w:cs="Arial" w:eastAsia="Arial" w:hAnsi="Arial"/>
                <w:sz w:val="18"/>
                <w:szCs w:val="18"/>
                <w:color w:val="0563C1"/>
                <w:w w:val="88"/>
              </w:rPr>
            </w:pPr>
            <w:hyperlink w:anchor="page28">
              <w:r>
                <w:rPr>
                  <w:rFonts w:ascii="Arial" w:cs="Arial" w:eastAsia="Arial" w:hAnsi="Arial"/>
                  <w:sz w:val="18"/>
                  <w:szCs w:val="18"/>
                  <w:color w:val="0563C1"/>
                  <w:w w:val="88"/>
                </w:rPr>
                <w:t>Controls and Procedures</w:t>
              </w:r>
            </w:hyperlink>
          </w:p>
        </w:tc>
        <w:tc>
          <w:tcPr>
            <w:tcW w:w="20" w:type="dxa"/>
            <w:vAlign w:val="bottom"/>
            <w:tcBorders>
              <w:top w:val="single" w:sz="8" w:color="0563C1"/>
              <w:bottom w:val="single" w:sz="8" w:color="0000EE"/>
            </w:tcBorders>
          </w:tcPr>
          <w:p>
            <w:pPr>
              <w:spacing w:after="0"/>
              <w:rPr>
                <w:sz w:val="14"/>
                <w:szCs w:val="14"/>
                <w:color w:val="auto"/>
              </w:rPr>
            </w:pPr>
          </w:p>
        </w:tc>
        <w:tc>
          <w:tcPr>
            <w:tcW w:w="2580" w:type="dxa"/>
            <w:vAlign w:val="bottom"/>
            <w:tcBorders>
              <w:top w:val="single" w:sz="8" w:color="0563C1"/>
            </w:tcBorders>
            <w:gridSpan w:val="6"/>
          </w:tcPr>
          <w:p>
            <w:pPr>
              <w:spacing w:after="0"/>
              <w:rPr>
                <w:sz w:val="14"/>
                <w:szCs w:val="14"/>
                <w:color w:val="auto"/>
              </w:rPr>
            </w:pPr>
          </w:p>
        </w:tc>
        <w:tc>
          <w:tcPr>
            <w:tcW w:w="4160" w:type="dxa"/>
            <w:vAlign w:val="bottom"/>
            <w:gridSpan w:val="6"/>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563C1"/>
            </w:tcBorders>
            <w:gridSpan w:val="8"/>
          </w:tcPr>
          <w:p>
            <w:pPr>
              <w:spacing w:after="0" w:line="169" w:lineRule="exact"/>
              <w:rPr>
                <w:rFonts w:ascii="Arial" w:cs="Arial" w:eastAsia="Arial" w:hAnsi="Arial"/>
                <w:sz w:val="18"/>
                <w:szCs w:val="18"/>
                <w:b w:val="1"/>
                <w:bCs w:val="1"/>
                <w:color w:val="0563C1"/>
                <w:w w:val="91"/>
              </w:rPr>
            </w:pPr>
            <w:hyperlink w:anchor="page29">
              <w:r>
                <w:rPr>
                  <w:rFonts w:ascii="Arial" w:cs="Arial" w:eastAsia="Arial" w:hAnsi="Arial"/>
                  <w:sz w:val="18"/>
                  <w:szCs w:val="18"/>
                  <w:b w:val="1"/>
                  <w:bCs w:val="1"/>
                  <w:color w:val="0563C1"/>
                  <w:w w:val="91"/>
                </w:rPr>
                <w:t>OTHER INFORMATION</w:t>
              </w:r>
            </w:hyperlink>
          </w:p>
        </w:tc>
        <w:tc>
          <w:tcPr>
            <w:tcW w:w="220" w:type="dxa"/>
            <w:vAlign w:val="bottom"/>
            <w:tcBorders>
              <w:bottom w:val="single" w:sz="8" w:color="0563C1"/>
            </w:tcBorders>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3"/>
          </w:tcPr>
          <w:p>
            <w:pPr>
              <w:spacing w:after="0"/>
              <w:rPr>
                <w:sz w:val="14"/>
                <w:szCs w:val="14"/>
                <w:color w:val="auto"/>
              </w:rPr>
            </w:pPr>
          </w:p>
        </w:tc>
        <w:tc>
          <w:tcPr>
            <w:tcW w:w="4180" w:type="dxa"/>
            <w:vAlign w:val="bottom"/>
            <w:gridSpan w:val="7"/>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w:t>
            </w:r>
          </w:p>
        </w:tc>
        <w:tc>
          <w:tcPr>
            <w:tcW w:w="2020" w:type="dxa"/>
            <w:vAlign w:val="bottom"/>
            <w:gridSpan w:val="9"/>
          </w:tcPr>
          <w:p>
            <w:pPr>
              <w:spacing w:after="0" w:line="169" w:lineRule="exact"/>
              <w:rPr>
                <w:rFonts w:ascii="Arial" w:cs="Arial" w:eastAsia="Arial" w:hAnsi="Arial"/>
                <w:sz w:val="18"/>
                <w:szCs w:val="18"/>
                <w:color w:val="0563C1"/>
              </w:rPr>
            </w:pPr>
            <w:hyperlink w:anchor="page29">
              <w:r>
                <w:rPr>
                  <w:rFonts w:ascii="Arial" w:cs="Arial" w:eastAsia="Arial" w:hAnsi="Arial"/>
                  <w:sz w:val="18"/>
                  <w:szCs w:val="18"/>
                  <w:color w:val="0563C1"/>
                </w:rPr>
                <w:t>Legal Proceedings</w:t>
              </w:r>
            </w:hyperlink>
          </w:p>
        </w:tc>
        <w:tc>
          <w:tcPr>
            <w:tcW w:w="300" w:type="dxa"/>
            <w:vAlign w:val="bottom"/>
          </w:tcPr>
          <w:p>
            <w:pPr>
              <w:spacing w:after="0"/>
              <w:rPr>
                <w:sz w:val="14"/>
                <w:szCs w:val="14"/>
                <w:color w:val="auto"/>
              </w:rPr>
            </w:pPr>
          </w:p>
        </w:tc>
        <w:tc>
          <w:tcPr>
            <w:tcW w:w="2040" w:type="dxa"/>
            <w:vAlign w:val="bottom"/>
            <w:gridSpan w:val="3"/>
          </w:tcPr>
          <w:p>
            <w:pPr>
              <w:spacing w:after="0"/>
              <w:rPr>
                <w:sz w:val="14"/>
                <w:szCs w:val="14"/>
                <w:color w:val="auto"/>
              </w:rPr>
            </w:pPr>
          </w:p>
        </w:tc>
        <w:tc>
          <w:tcPr>
            <w:tcW w:w="4180" w:type="dxa"/>
            <w:vAlign w:val="bottom"/>
            <w:gridSpan w:val="7"/>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5"/>
          </w:tcPr>
          <w:p>
            <w:pPr>
              <w:spacing w:after="0" w:line="169" w:lineRule="exact"/>
              <w:rPr>
                <w:rFonts w:ascii="Arial" w:cs="Arial" w:eastAsia="Arial" w:hAnsi="Arial"/>
                <w:sz w:val="18"/>
                <w:szCs w:val="18"/>
                <w:color w:val="0563C1"/>
              </w:rPr>
            </w:pPr>
            <w:hyperlink w:anchor="page29">
              <w:r>
                <w:rPr>
                  <w:rFonts w:ascii="Arial" w:cs="Arial" w:eastAsia="Arial" w:hAnsi="Arial"/>
                  <w:sz w:val="18"/>
                  <w:szCs w:val="18"/>
                  <w:color w:val="0563C1"/>
                </w:rPr>
                <w:t>Risk Factors</w:t>
              </w:r>
            </w:hyperlink>
          </w:p>
        </w:tc>
        <w:tc>
          <w:tcPr>
            <w:tcW w:w="980" w:type="dxa"/>
            <w:vAlign w:val="bottom"/>
            <w:gridSpan w:val="5"/>
          </w:tcPr>
          <w:p>
            <w:pPr>
              <w:spacing w:after="0"/>
              <w:rPr>
                <w:sz w:val="14"/>
                <w:szCs w:val="14"/>
                <w:color w:val="auto"/>
              </w:rPr>
            </w:pPr>
          </w:p>
        </w:tc>
        <w:tc>
          <w:tcPr>
            <w:tcW w:w="2040" w:type="dxa"/>
            <w:vAlign w:val="bottom"/>
            <w:gridSpan w:val="3"/>
          </w:tcPr>
          <w:p>
            <w:pPr>
              <w:spacing w:after="0"/>
              <w:rPr>
                <w:sz w:val="14"/>
                <w:szCs w:val="14"/>
                <w:color w:val="auto"/>
              </w:rPr>
            </w:pPr>
          </w:p>
        </w:tc>
        <w:tc>
          <w:tcPr>
            <w:tcW w:w="4180" w:type="dxa"/>
            <w:vAlign w:val="bottom"/>
            <w:gridSpan w:val="7"/>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2.</w:t>
            </w:r>
          </w:p>
        </w:tc>
        <w:tc>
          <w:tcPr>
            <w:tcW w:w="920" w:type="dxa"/>
            <w:vAlign w:val="bottom"/>
            <w:tcBorders>
              <w:top w:val="single" w:sz="8" w:color="0563C1"/>
            </w:tcBorders>
            <w:gridSpan w:val="3"/>
          </w:tcPr>
          <w:p>
            <w:pPr>
              <w:spacing w:after="0" w:line="169" w:lineRule="exact"/>
              <w:rPr>
                <w:rFonts w:ascii="Arial" w:cs="Arial" w:eastAsia="Arial" w:hAnsi="Arial"/>
                <w:sz w:val="18"/>
                <w:szCs w:val="18"/>
                <w:color w:val="0563C1"/>
                <w:w w:val="87"/>
              </w:rPr>
            </w:pPr>
            <w:hyperlink w:anchor="page29">
              <w:r>
                <w:rPr>
                  <w:rFonts w:ascii="Arial" w:cs="Arial" w:eastAsia="Arial" w:hAnsi="Arial"/>
                  <w:sz w:val="18"/>
                  <w:szCs w:val="18"/>
                  <w:color w:val="0563C1"/>
                  <w:w w:val="87"/>
                </w:rPr>
                <w:t>Unregistered</w:t>
              </w:r>
            </w:hyperlink>
          </w:p>
        </w:tc>
        <w:tc>
          <w:tcPr>
            <w:tcW w:w="7620" w:type="dxa"/>
            <w:vAlign w:val="bottom"/>
            <w:gridSpan w:val="17"/>
          </w:tcPr>
          <w:p>
            <w:pPr>
              <w:ind w:left="60"/>
              <w:spacing w:after="0" w:line="169" w:lineRule="exact"/>
              <w:rPr>
                <w:rFonts w:ascii="Arial" w:cs="Arial" w:eastAsia="Arial" w:hAnsi="Arial"/>
                <w:sz w:val="18"/>
                <w:szCs w:val="18"/>
                <w:color w:val="0563C1"/>
              </w:rPr>
            </w:pPr>
            <w:hyperlink w:anchor="page29">
              <w:r>
                <w:rPr>
                  <w:rFonts w:ascii="Arial" w:cs="Arial" w:eastAsia="Arial" w:hAnsi="Arial"/>
                  <w:sz w:val="18"/>
                  <w:szCs w:val="18"/>
                  <w:color w:val="0563C1"/>
                </w:rPr>
                <w:t>Sales of Equity Securities and Use of Proceeds</w:t>
              </w:r>
            </w:hyperlink>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tcBorders>
            <w:gridSpan w:val="13"/>
          </w:tcPr>
          <w:p>
            <w:pPr>
              <w:spacing w:after="0" w:line="169" w:lineRule="exact"/>
              <w:rPr>
                <w:rFonts w:ascii="Arial" w:cs="Arial" w:eastAsia="Arial" w:hAnsi="Arial"/>
                <w:sz w:val="18"/>
                <w:szCs w:val="18"/>
                <w:color w:val="0563C1"/>
              </w:rPr>
            </w:pPr>
            <w:hyperlink w:anchor="page29">
              <w:r>
                <w:rPr>
                  <w:rFonts w:ascii="Arial" w:cs="Arial" w:eastAsia="Arial" w:hAnsi="Arial"/>
                  <w:sz w:val="18"/>
                  <w:szCs w:val="18"/>
                  <w:color w:val="0563C1"/>
                </w:rPr>
                <w:t>Defaults Upon Senior Securities</w:t>
              </w:r>
            </w:hyperlink>
          </w:p>
        </w:tc>
        <w:tc>
          <w:tcPr>
            <w:tcW w:w="4180" w:type="dxa"/>
            <w:vAlign w:val="bottom"/>
            <w:gridSpan w:val="7"/>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563C1"/>
            </w:tcBorders>
            <w:gridSpan w:val="10"/>
          </w:tcPr>
          <w:p>
            <w:pPr>
              <w:spacing w:after="0" w:line="169" w:lineRule="exact"/>
              <w:rPr>
                <w:rFonts w:ascii="Arial" w:cs="Arial" w:eastAsia="Arial" w:hAnsi="Arial"/>
                <w:sz w:val="18"/>
                <w:szCs w:val="18"/>
                <w:color w:val="0563C1"/>
              </w:rPr>
            </w:pPr>
            <w:hyperlink w:anchor="page29">
              <w:r>
                <w:rPr>
                  <w:rFonts w:ascii="Arial" w:cs="Arial" w:eastAsia="Arial" w:hAnsi="Arial"/>
                  <w:sz w:val="18"/>
                  <w:szCs w:val="18"/>
                  <w:color w:val="0563C1"/>
                </w:rPr>
                <w:t>Mine Safety Disclosures</w:t>
              </w:r>
            </w:hyperlink>
          </w:p>
        </w:tc>
        <w:tc>
          <w:tcPr>
            <w:tcW w:w="6220" w:type="dxa"/>
            <w:vAlign w:val="bottom"/>
            <w:gridSpan w:val="10"/>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7"/>
          </w:tcPr>
          <w:p>
            <w:pPr>
              <w:spacing w:after="0" w:line="169" w:lineRule="exact"/>
              <w:rPr>
                <w:rFonts w:ascii="Arial" w:cs="Arial" w:eastAsia="Arial" w:hAnsi="Arial"/>
                <w:sz w:val="18"/>
                <w:szCs w:val="18"/>
                <w:color w:val="0563C1"/>
              </w:rPr>
            </w:pPr>
            <w:hyperlink w:anchor="page29">
              <w:r>
                <w:rPr>
                  <w:rFonts w:ascii="Arial" w:cs="Arial" w:eastAsia="Arial" w:hAnsi="Arial"/>
                  <w:sz w:val="18"/>
                  <w:szCs w:val="18"/>
                  <w:color w:val="0563C1"/>
                </w:rPr>
                <w:t>Other Information</w:t>
              </w:r>
            </w:hyperlink>
          </w:p>
        </w:tc>
        <w:tc>
          <w:tcPr>
            <w:tcW w:w="6760" w:type="dxa"/>
            <w:vAlign w:val="bottom"/>
            <w:gridSpan w:val="13"/>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4"/>
          </w:tcPr>
          <w:p>
            <w:pPr>
              <w:spacing w:after="0" w:line="169" w:lineRule="exact"/>
              <w:rPr>
                <w:rFonts w:ascii="Arial" w:cs="Arial" w:eastAsia="Arial" w:hAnsi="Arial"/>
                <w:sz w:val="18"/>
                <w:szCs w:val="18"/>
                <w:color w:val="0563C1"/>
              </w:rPr>
            </w:pPr>
            <w:hyperlink w:anchor="page30">
              <w:r>
                <w:rPr>
                  <w:rFonts w:ascii="Arial" w:cs="Arial" w:eastAsia="Arial" w:hAnsi="Arial"/>
                  <w:sz w:val="18"/>
                  <w:szCs w:val="18"/>
                  <w:color w:val="0563C1"/>
                </w:rPr>
                <w:t>Exhibits</w:t>
              </w:r>
            </w:hyperlink>
          </w:p>
        </w:tc>
        <w:tc>
          <w:tcPr>
            <w:tcW w:w="7220" w:type="dxa"/>
            <w:vAlign w:val="bottom"/>
            <w:gridSpan w:val="16"/>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9"/>
        </w:trPr>
        <w:tc>
          <w:tcPr>
            <w:tcW w:w="920" w:type="dxa"/>
            <w:vAlign w:val="bottom"/>
            <w:gridSpan w:val="3"/>
          </w:tcPr>
          <w:p>
            <w:pPr>
              <w:ind w:left="20"/>
              <w:spacing w:after="0" w:line="169" w:lineRule="exact"/>
              <w:rPr>
                <w:rFonts w:ascii="Arial" w:cs="Arial" w:eastAsia="Arial" w:hAnsi="Arial"/>
                <w:sz w:val="18"/>
                <w:szCs w:val="18"/>
                <w:color w:val="0563C1"/>
                <w:w w:val="85"/>
              </w:rPr>
            </w:pPr>
            <w:hyperlink w:anchor="page30">
              <w:r>
                <w:rPr>
                  <w:rFonts w:ascii="Arial" w:cs="Arial" w:eastAsia="Arial" w:hAnsi="Arial"/>
                  <w:sz w:val="18"/>
                  <w:szCs w:val="18"/>
                  <w:color w:val="0563C1"/>
                  <w:w w:val="85"/>
                </w:rPr>
                <w:t>Exhibit Index</w:t>
              </w:r>
            </w:hyperlink>
          </w:p>
        </w:tc>
        <w:tc>
          <w:tcPr>
            <w:tcW w:w="80" w:type="dxa"/>
            <w:vAlign w:val="bottom"/>
            <w:tcBorders>
              <w:top w:val="single" w:sz="8" w:color="0563C1"/>
            </w:tcBorders>
          </w:tcPr>
          <w:p>
            <w:pPr>
              <w:spacing w:after="0"/>
              <w:rPr>
                <w:sz w:val="14"/>
                <w:szCs w:val="14"/>
                <w:color w:val="auto"/>
              </w:rPr>
            </w:pPr>
          </w:p>
        </w:tc>
        <w:tc>
          <w:tcPr>
            <w:tcW w:w="520" w:type="dxa"/>
            <w:vAlign w:val="bottom"/>
            <w:tcBorders>
              <w:top w:val="single" w:sz="8" w:color="0563C1"/>
            </w:tcBorders>
          </w:tcPr>
          <w:p>
            <w:pPr>
              <w:spacing w:after="0"/>
              <w:rPr>
                <w:sz w:val="14"/>
                <w:szCs w:val="14"/>
                <w:color w:val="auto"/>
              </w:rPr>
            </w:pPr>
          </w:p>
        </w:tc>
        <w:tc>
          <w:tcPr>
            <w:tcW w:w="7940" w:type="dxa"/>
            <w:vAlign w:val="bottom"/>
            <w:gridSpan w:val="18"/>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Borders>
              <w:top w:val="single" w:sz="8" w:color="0563C1"/>
            </w:tcBorders>
            <w:gridSpan w:val="2"/>
          </w:tcPr>
          <w:p>
            <w:pPr>
              <w:spacing w:after="0" w:line="169" w:lineRule="exact"/>
              <w:rPr>
                <w:rFonts w:ascii="Arial" w:cs="Arial" w:eastAsia="Arial" w:hAnsi="Arial"/>
                <w:sz w:val="18"/>
                <w:szCs w:val="18"/>
                <w:color w:val="0563C1"/>
              </w:rPr>
            </w:pPr>
            <w:hyperlink w:anchor="page31">
              <w:r>
                <w:rPr>
                  <w:rFonts w:ascii="Arial" w:cs="Arial" w:eastAsia="Arial" w:hAnsi="Arial"/>
                  <w:sz w:val="18"/>
                  <w:szCs w:val="18"/>
                  <w:color w:val="0563C1"/>
                </w:rPr>
                <w:t>Signatures</w:t>
              </w:r>
            </w:hyperlink>
          </w:p>
        </w:tc>
        <w:tc>
          <w:tcPr>
            <w:tcW w:w="80" w:type="dxa"/>
            <w:vAlign w:val="bottom"/>
            <w:tcBorders>
              <w:top w:val="single" w:sz="8" w:color="0563C1"/>
            </w:tcBorders>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80" w:type="dxa"/>
            <w:vAlign w:val="bottom"/>
          </w:tcPr>
          <w:p>
            <w:pPr>
              <w:jc w:val="right"/>
              <w:spacing w:after="0" w:line="16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16"/>
          </w:tcPr>
          <w:p>
            <w:pPr>
              <w:ind w:left="466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E74B5"/>
        </w:rPr>
        <w:t>CAUTIONARY STATEMENT REGARDING FORWARD-LOOKING STATEMENTS</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w:t>
      </w:r>
    </w:p>
    <w:p>
      <w:pPr>
        <w:spacing w:after="0" w:line="16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Greenidge's Form 10-K for the year ended December 31, 2021 filed with the Securities and Exchange Commission ("SEC") on March 31, 2022 and those described from time to time in our future reports filed with the SEC, which should be reviewed carefully. Please consider Greenidge's forward-looking statements in light of those risks.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Greenidge Generation Holdings Inc.</w:t>
      </w:r>
    </w:p>
    <w:p>
      <w:pPr>
        <w:jc w:val="center"/>
        <w:ind w:right="-59"/>
        <w:spacing w:after="0" w:line="234" w:lineRule="auto"/>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share data)</w:t>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4"/>
                <w:szCs w:val="14"/>
                <w:color w:val="auto"/>
              </w:rPr>
            </w:pPr>
          </w:p>
        </w:tc>
        <w:tc>
          <w:tcPr>
            <w:tcW w:w="15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85"/>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D5E6F7"/>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D5E6F7"/>
          </w:tcPr>
          <w:p>
            <w:pPr>
              <w:spacing w:after="0"/>
              <w:rPr>
                <w:sz w:val="17"/>
                <w:szCs w:val="17"/>
                <w:color w:val="auto"/>
              </w:rPr>
            </w:pPr>
          </w:p>
        </w:tc>
        <w:tc>
          <w:tcPr>
            <w:tcW w:w="1480" w:type="dxa"/>
            <w:vAlign w:val="bottom"/>
            <w:tcBorders>
              <w:top w:val="single" w:sz="8" w:color="auto"/>
            </w:tcBorders>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60" w:type="dxa"/>
            <w:vAlign w:val="bottom"/>
            <w:tcBorders>
              <w:top w:val="single" w:sz="8" w:color="auto"/>
            </w:tcBorders>
            <w:shd w:val="clear" w:color="auto" w:fill="D5E6F7"/>
          </w:tcPr>
          <w:p>
            <w:pPr>
              <w:spacing w:after="0"/>
              <w:rPr>
                <w:sz w:val="17"/>
                <w:szCs w:val="17"/>
                <w:color w:val="auto"/>
              </w:rPr>
            </w:pPr>
          </w:p>
        </w:tc>
        <w:tc>
          <w:tcPr>
            <w:tcW w:w="1500" w:type="dxa"/>
            <w:vAlign w:val="bottom"/>
            <w:tcBorders>
              <w:top w:val="single" w:sz="8" w:color="auto"/>
            </w:tcBorders>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D5E6F7"/>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96,453</w:t>
            </w: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82,599</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Short term investments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Digital assets</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393</w:t>
            </w: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476</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5,569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5,524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10,286</w:t>
            </w: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9,146</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D5E6F7"/>
            </w:tcBorders>
          </w:tcPr>
          <w:p>
            <w:pPr>
              <w:ind w:left="180"/>
              <w:spacing w:after="0" w:line="202" w:lineRule="exact"/>
              <w:rPr>
                <w:sz w:val="20"/>
                <w:szCs w:val="20"/>
                <w:color w:val="auto"/>
              </w:rPr>
            </w:pPr>
            <w:r>
              <w:rPr>
                <w:rFonts w:ascii="Arial" w:cs="Arial" w:eastAsia="Arial" w:hAnsi="Arial"/>
                <w:sz w:val="18"/>
                <w:szCs w:val="18"/>
                <w:color w:val="auto"/>
              </w:rPr>
              <w:t>Emissions and carbon offset credits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1,025</w:t>
            </w:r>
          </w:p>
        </w:tc>
        <w:tc>
          <w:tcPr>
            <w:tcW w:w="220" w:type="dxa"/>
            <w:vAlign w:val="bottom"/>
            <w:tcBorders>
              <w:bottom w:val="single" w:sz="8" w:color="D5E6F7"/>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2,361</w:t>
            </w:r>
          </w:p>
        </w:tc>
        <w:tc>
          <w:tcPr>
            <w:tcW w:w="80" w:type="dxa"/>
            <w:vAlign w:val="bottom"/>
            <w:tcBorders>
              <w:bottom w:val="single" w:sz="8" w:color="D5E6F7"/>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D5E6F7"/>
          </w:tcPr>
          <w:p>
            <w:pPr>
              <w:ind w:left="360"/>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113,726</w:t>
            </w: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100,602</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LONG-TERM ASSETS: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292,051</w:t>
            </w: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217,091</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1,375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1,472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3,305</w:t>
            </w: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3,537</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3,062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3,062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16,846</w:t>
            </w: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15,058</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989</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D5E6F7"/>
            </w:tcBorders>
            <w:shd w:val="clear" w:color="auto" w:fill="D5E6F7"/>
          </w:tcPr>
          <w:p>
            <w:pPr>
              <w:ind w:left="360"/>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D5E6F7"/>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431,354</w:t>
            </w:r>
          </w:p>
        </w:tc>
        <w:tc>
          <w:tcPr>
            <w:tcW w:w="220" w:type="dxa"/>
            <w:vAlign w:val="bottom"/>
            <w:tcBorders>
              <w:bottom w:val="single" w:sz="8" w:color="D5E6F7"/>
            </w:tcBorders>
            <w:shd w:val="clear" w:color="auto" w:fill="D5E6F7"/>
          </w:tcPr>
          <w:p>
            <w:pPr>
              <w:spacing w:after="0"/>
              <w:rPr>
                <w:sz w:val="20"/>
                <w:szCs w:val="20"/>
                <w:color w:val="auto"/>
              </w:rPr>
            </w:pPr>
          </w:p>
        </w:tc>
        <w:tc>
          <w:tcPr>
            <w:tcW w:w="160" w:type="dxa"/>
            <w:vAlign w:val="bottom"/>
            <w:tcBorders>
              <w:bottom w:val="single" w:sz="8" w:color="auto"/>
            </w:tcBorders>
            <w:shd w:val="clear" w:color="auto" w:fill="D5E6F7"/>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341,267</w:t>
            </w:r>
          </w:p>
        </w:tc>
        <w:tc>
          <w:tcPr>
            <w:tcW w:w="80" w:type="dxa"/>
            <w:vAlign w:val="bottom"/>
            <w:tcBorders>
              <w:bottom w:val="single" w:sz="8" w:color="D5E6F7"/>
            </w:tcBorders>
            <w:shd w:val="clear" w:color="auto" w:fill="D5E6F7"/>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440" w:type="dxa"/>
            <w:vAlign w:val="bottom"/>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14,823</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5,923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Accrued emissions expense</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2,637</w:t>
            </w: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2,634</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11,676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10,375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D5E6F7"/>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D5E6F7"/>
          </w:tcPr>
          <w:p>
            <w:pPr>
              <w:spacing w:after="0"/>
              <w:rPr>
                <w:sz w:val="18"/>
                <w:szCs w:val="18"/>
                <w:color w:val="auto"/>
              </w:rPr>
            </w:pPr>
          </w:p>
        </w:tc>
        <w:tc>
          <w:tcPr>
            <w:tcW w:w="1480" w:type="dxa"/>
            <w:vAlign w:val="bottom"/>
            <w:shd w:val="clear" w:color="auto" w:fill="D5E6F7"/>
          </w:tcPr>
          <w:p>
            <w:pPr>
              <w:jc w:val="right"/>
              <w:spacing w:after="0" w:line="216" w:lineRule="exact"/>
              <w:rPr>
                <w:sz w:val="20"/>
                <w:szCs w:val="20"/>
                <w:color w:val="auto"/>
              </w:rPr>
            </w:pPr>
            <w:r>
              <w:rPr>
                <w:rFonts w:ascii="Arial" w:cs="Arial" w:eastAsia="Arial" w:hAnsi="Arial"/>
                <w:sz w:val="19"/>
                <w:szCs w:val="19"/>
                <w:color w:val="auto"/>
              </w:rPr>
              <w:t>3,879</w:t>
            </w:r>
          </w:p>
        </w:tc>
        <w:tc>
          <w:tcPr>
            <w:tcW w:w="22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500" w:type="dxa"/>
            <w:vAlign w:val="bottom"/>
            <w:shd w:val="clear" w:color="auto" w:fill="D5E6F7"/>
          </w:tcPr>
          <w:p>
            <w:pPr>
              <w:jc w:val="right"/>
              <w:spacing w:after="0"/>
              <w:rPr>
                <w:sz w:val="20"/>
                <w:szCs w:val="20"/>
                <w:color w:val="auto"/>
              </w:rPr>
            </w:pPr>
            <w:r>
              <w:rPr>
                <w:rFonts w:ascii="Arial" w:cs="Arial" w:eastAsia="Arial" w:hAnsi="Arial"/>
                <w:sz w:val="18"/>
                <w:szCs w:val="18"/>
                <w:color w:val="auto"/>
              </w:rPr>
              <w:t>2,481</w:t>
            </w: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Long-term debt, current portion</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66,729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19,577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D5E6F7"/>
            </w:tcBorders>
            <w:shd w:val="clear" w:color="auto" w:fill="D5E6F7"/>
          </w:tcPr>
          <w:p>
            <w:pPr>
              <w:ind w:left="180"/>
              <w:spacing w:after="0" w:line="202" w:lineRule="exact"/>
              <w:rPr>
                <w:sz w:val="20"/>
                <w:szCs w:val="20"/>
                <w:color w:val="auto"/>
              </w:rPr>
            </w:pPr>
            <w:r>
              <w:rPr>
                <w:rFonts w:ascii="Arial" w:cs="Arial" w:eastAsia="Arial" w:hAnsi="Arial"/>
                <w:sz w:val="18"/>
                <w:szCs w:val="18"/>
                <w:color w:val="auto"/>
              </w:rPr>
              <w:t>Lease obligations, current portion</w:t>
            </w:r>
          </w:p>
        </w:tc>
        <w:tc>
          <w:tcPr>
            <w:tcW w:w="220" w:type="dxa"/>
            <w:vAlign w:val="bottom"/>
            <w:tcBorders>
              <w:bottom w:val="single" w:sz="8" w:color="auto"/>
            </w:tcBorders>
            <w:shd w:val="clear" w:color="auto" w:fill="D5E6F7"/>
          </w:tcPr>
          <w:p>
            <w:pPr>
              <w:spacing w:after="0"/>
              <w:rPr>
                <w:sz w:val="17"/>
                <w:szCs w:val="17"/>
                <w:color w:val="auto"/>
              </w:rPr>
            </w:pPr>
          </w:p>
        </w:tc>
        <w:tc>
          <w:tcPr>
            <w:tcW w:w="14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500</w:t>
            </w:r>
          </w:p>
        </w:tc>
        <w:tc>
          <w:tcPr>
            <w:tcW w:w="220" w:type="dxa"/>
            <w:vAlign w:val="bottom"/>
            <w:tcBorders>
              <w:bottom w:val="single" w:sz="8" w:color="D5E6F7"/>
            </w:tcBorders>
            <w:shd w:val="clear" w:color="auto" w:fill="D5E6F7"/>
          </w:tcPr>
          <w:p>
            <w:pPr>
              <w:spacing w:after="0"/>
              <w:rPr>
                <w:sz w:val="17"/>
                <w:szCs w:val="17"/>
                <w:color w:val="auto"/>
              </w:rPr>
            </w:pPr>
          </w:p>
        </w:tc>
        <w:tc>
          <w:tcPr>
            <w:tcW w:w="160" w:type="dxa"/>
            <w:vAlign w:val="bottom"/>
            <w:tcBorders>
              <w:bottom w:val="single" w:sz="8" w:color="auto"/>
            </w:tcBorders>
            <w:shd w:val="clear" w:color="auto" w:fill="D5E6F7"/>
          </w:tcPr>
          <w:p>
            <w:pPr>
              <w:spacing w:after="0"/>
              <w:rPr>
                <w:sz w:val="17"/>
                <w:szCs w:val="17"/>
                <w:color w:val="auto"/>
              </w:rPr>
            </w:pPr>
          </w:p>
        </w:tc>
        <w:tc>
          <w:tcPr>
            <w:tcW w:w="150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736</w:t>
            </w:r>
          </w:p>
        </w:tc>
        <w:tc>
          <w:tcPr>
            <w:tcW w:w="80" w:type="dxa"/>
            <w:vAlign w:val="bottom"/>
            <w:tcBorders>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360"/>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100,244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41,726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spacing w:after="0" w:line="202" w:lineRule="exact"/>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Long-term debt, net of current portion and deferred financing fees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103,191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75,251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Lease obligations, net of current portion</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195</w:t>
            </w: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193</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Asset retirement obligations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2,691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2,691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Environmental liability</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8,615</w:t>
            </w: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8,615</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D5E6F7"/>
            </w:tcBorders>
          </w:tcPr>
          <w:p>
            <w:pPr>
              <w:ind w:left="180"/>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366</w:t>
            </w:r>
          </w:p>
        </w:tc>
        <w:tc>
          <w:tcPr>
            <w:tcW w:w="220" w:type="dxa"/>
            <w:vAlign w:val="bottom"/>
            <w:tcBorders>
              <w:bottom w:val="single" w:sz="8" w:color="D5E6F7"/>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c>
          <w:tcPr>
            <w:tcW w:w="80" w:type="dxa"/>
            <w:vAlign w:val="bottom"/>
            <w:tcBorders>
              <w:bottom w:val="single" w:sz="8" w:color="D5E6F7"/>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40" w:type="dxa"/>
            <w:vAlign w:val="bottom"/>
            <w:tcBorders>
              <w:bottom w:val="single" w:sz="8" w:color="D5E6F7"/>
            </w:tcBorders>
            <w:shd w:val="clear" w:color="auto" w:fill="D5E6F7"/>
          </w:tcPr>
          <w:p>
            <w:pPr>
              <w:ind w:left="360"/>
              <w:spacing w:after="0" w:line="182"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D5E6F7"/>
          </w:tcPr>
          <w:p>
            <w:pPr>
              <w:spacing w:after="0"/>
              <w:rPr>
                <w:sz w:val="15"/>
                <w:szCs w:val="15"/>
                <w:color w:val="auto"/>
              </w:rPr>
            </w:pPr>
          </w:p>
        </w:tc>
        <w:tc>
          <w:tcPr>
            <w:tcW w:w="148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215,302</w:t>
            </w:r>
          </w:p>
        </w:tc>
        <w:tc>
          <w:tcPr>
            <w:tcW w:w="220" w:type="dxa"/>
            <w:vAlign w:val="bottom"/>
            <w:tcBorders>
              <w:bottom w:val="single" w:sz="8" w:color="D5E6F7"/>
            </w:tcBorders>
            <w:shd w:val="clear" w:color="auto" w:fill="D5E6F7"/>
          </w:tcPr>
          <w:p>
            <w:pPr>
              <w:spacing w:after="0"/>
              <w:rPr>
                <w:sz w:val="15"/>
                <w:szCs w:val="15"/>
                <w:color w:val="auto"/>
              </w:rPr>
            </w:pPr>
          </w:p>
        </w:tc>
        <w:tc>
          <w:tcPr>
            <w:tcW w:w="160" w:type="dxa"/>
            <w:vAlign w:val="bottom"/>
            <w:tcBorders>
              <w:bottom w:val="single" w:sz="8" w:color="auto"/>
            </w:tcBorders>
            <w:shd w:val="clear" w:color="auto" w:fill="D5E6F7"/>
          </w:tcPr>
          <w:p>
            <w:pPr>
              <w:spacing w:after="0"/>
              <w:rPr>
                <w:sz w:val="15"/>
                <w:szCs w:val="15"/>
                <w:color w:val="auto"/>
              </w:rPr>
            </w:pPr>
          </w:p>
        </w:tc>
        <w:tc>
          <w:tcPr>
            <w:tcW w:w="150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128,844</w:t>
            </w:r>
          </w:p>
        </w:tc>
        <w:tc>
          <w:tcPr>
            <w:tcW w:w="80" w:type="dxa"/>
            <w:vAlign w:val="bottom"/>
            <w:tcBorders>
              <w:bottom w:val="single" w:sz="8" w:color="D5E6F7"/>
            </w:tcBorders>
            <w:shd w:val="clear" w:color="auto" w:fill="D5E6F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13)</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shd w:val="clear" w:color="auto" w:fill="D5E6F7"/>
          </w:tcPr>
          <w:p>
            <w:pPr>
              <w:spacing w:after="0"/>
              <w:rPr>
                <w:sz w:val="17"/>
                <w:szCs w:val="17"/>
                <w:color w:val="auto"/>
              </w:rPr>
            </w:pPr>
          </w:p>
        </w:tc>
        <w:tc>
          <w:tcPr>
            <w:tcW w:w="148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80"/>
              <w:spacing w:after="0" w:line="202" w:lineRule="exact"/>
              <w:rPr>
                <w:sz w:val="20"/>
                <w:szCs w:val="20"/>
                <w:color w:val="auto"/>
              </w:rPr>
            </w:pPr>
            <w:r>
              <w:rPr>
                <w:rFonts w:ascii="Arial" w:cs="Arial" w:eastAsia="Arial" w:hAnsi="Arial"/>
                <w:sz w:val="18"/>
                <w:szCs w:val="18"/>
                <w:color w:val="auto"/>
              </w:rPr>
              <w:t>Preferred stock, par value $0.0001, 20,000,000 shares authorized, none outstanding</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D5E6F7"/>
          </w:tcPr>
          <w:p>
            <w:pPr>
              <w:ind w:left="280"/>
              <w:spacing w:after="0" w:line="162" w:lineRule="exact"/>
              <w:rPr>
                <w:sz w:val="20"/>
                <w:szCs w:val="20"/>
                <w:color w:val="auto"/>
              </w:rPr>
            </w:pPr>
            <w:r>
              <w:rPr>
                <w:rFonts w:ascii="Arial" w:cs="Arial" w:eastAsia="Arial" w:hAnsi="Arial"/>
                <w:sz w:val="18"/>
                <w:szCs w:val="18"/>
                <w:color w:val="auto"/>
              </w:rPr>
              <w:t>Common stock, par value $0.0001, 3,000,000,000 shares authorized,</w:t>
            </w:r>
          </w:p>
        </w:tc>
        <w:tc>
          <w:tcPr>
            <w:tcW w:w="220" w:type="dxa"/>
            <w:vAlign w:val="bottom"/>
            <w:shd w:val="clear" w:color="auto" w:fill="D5E6F7"/>
          </w:tcPr>
          <w:p>
            <w:pPr>
              <w:spacing w:after="0"/>
              <w:rPr>
                <w:sz w:val="14"/>
                <w:szCs w:val="14"/>
                <w:color w:val="auto"/>
              </w:rPr>
            </w:pPr>
          </w:p>
        </w:tc>
        <w:tc>
          <w:tcPr>
            <w:tcW w:w="1480" w:type="dxa"/>
            <w:vAlign w:val="bottom"/>
            <w:shd w:val="clear" w:color="auto" w:fill="D5E6F7"/>
          </w:tcPr>
          <w:p>
            <w:pPr>
              <w:spacing w:after="0"/>
              <w:rPr>
                <w:sz w:val="14"/>
                <w:szCs w:val="14"/>
                <w:color w:val="auto"/>
              </w:rPr>
            </w:pPr>
          </w:p>
        </w:tc>
        <w:tc>
          <w:tcPr>
            <w:tcW w:w="220" w:type="dxa"/>
            <w:vAlign w:val="bottom"/>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150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40" w:type="dxa"/>
            <w:vAlign w:val="bottom"/>
            <w:shd w:val="clear" w:color="auto" w:fill="D5E6F7"/>
          </w:tcPr>
          <w:p>
            <w:pPr>
              <w:ind w:left="280"/>
              <w:spacing w:after="0" w:line="176" w:lineRule="exact"/>
              <w:rPr>
                <w:sz w:val="20"/>
                <w:szCs w:val="20"/>
                <w:color w:val="auto"/>
              </w:rPr>
            </w:pPr>
            <w:r>
              <w:rPr>
                <w:rFonts w:ascii="Arial" w:cs="Arial" w:eastAsia="Arial" w:hAnsi="Arial"/>
                <w:sz w:val="18"/>
                <w:szCs w:val="18"/>
                <w:color w:val="auto"/>
              </w:rPr>
              <w:t>41,363,271 and 40,865,336 shares issued and outstanding as of March 31, 2022</w:t>
            </w:r>
          </w:p>
        </w:tc>
        <w:tc>
          <w:tcPr>
            <w:tcW w:w="220" w:type="dxa"/>
            <w:vAlign w:val="bottom"/>
            <w:shd w:val="clear" w:color="auto" w:fill="D5E6F7"/>
          </w:tcPr>
          <w:p>
            <w:pPr>
              <w:spacing w:after="0"/>
              <w:rPr>
                <w:sz w:val="15"/>
                <w:szCs w:val="15"/>
                <w:color w:val="auto"/>
              </w:rPr>
            </w:pPr>
          </w:p>
        </w:tc>
        <w:tc>
          <w:tcPr>
            <w:tcW w:w="148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D5E6F7"/>
          </w:tcPr>
          <w:p>
            <w:pPr>
              <w:spacing w:after="0"/>
              <w:rPr>
                <w:sz w:val="15"/>
                <w:szCs w:val="15"/>
                <w:color w:val="auto"/>
              </w:rPr>
            </w:pPr>
          </w:p>
        </w:tc>
        <w:tc>
          <w:tcPr>
            <w:tcW w:w="160" w:type="dxa"/>
            <w:vAlign w:val="bottom"/>
            <w:shd w:val="clear" w:color="auto" w:fill="D5E6F7"/>
          </w:tcPr>
          <w:p>
            <w:pPr>
              <w:spacing w:after="0"/>
              <w:rPr>
                <w:sz w:val="15"/>
                <w:szCs w:val="15"/>
                <w:color w:val="auto"/>
              </w:rPr>
            </w:pPr>
          </w:p>
        </w:tc>
        <w:tc>
          <w:tcPr>
            <w:tcW w:w="150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D5E6F7"/>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D5E6F7"/>
          </w:tcPr>
          <w:p>
            <w:pPr>
              <w:ind w:left="280"/>
              <w:spacing w:after="0"/>
              <w:rPr>
                <w:sz w:val="20"/>
                <w:szCs w:val="20"/>
                <w:color w:val="auto"/>
              </w:rPr>
            </w:pPr>
            <w:r>
              <w:rPr>
                <w:rFonts w:ascii="Arial" w:cs="Arial" w:eastAsia="Arial" w:hAnsi="Arial"/>
                <w:sz w:val="18"/>
                <w:szCs w:val="18"/>
                <w:color w:val="auto"/>
              </w:rPr>
              <w:t>and December 31, 2021, respectively</w:t>
            </w:r>
          </w:p>
        </w:tc>
        <w:tc>
          <w:tcPr>
            <w:tcW w:w="220" w:type="dxa"/>
            <w:vAlign w:val="bottom"/>
            <w:shd w:val="clear" w:color="auto" w:fill="D5E6F7"/>
          </w:tcPr>
          <w:p>
            <w:pPr>
              <w:spacing w:after="0"/>
              <w:rPr>
                <w:sz w:val="18"/>
                <w:szCs w:val="18"/>
                <w:color w:val="auto"/>
              </w:rPr>
            </w:pPr>
          </w:p>
        </w:tc>
        <w:tc>
          <w:tcPr>
            <w:tcW w:w="1480" w:type="dxa"/>
            <w:vAlign w:val="bottom"/>
            <w:vMerge w:val="continue"/>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160" w:type="dxa"/>
            <w:vAlign w:val="bottom"/>
            <w:shd w:val="clear" w:color="auto" w:fill="D5E6F7"/>
          </w:tcPr>
          <w:p>
            <w:pPr>
              <w:spacing w:after="0"/>
              <w:rPr>
                <w:sz w:val="18"/>
                <w:szCs w:val="18"/>
                <w:color w:val="auto"/>
              </w:rPr>
            </w:pPr>
          </w:p>
        </w:tc>
        <w:tc>
          <w:tcPr>
            <w:tcW w:w="1500" w:type="dxa"/>
            <w:vAlign w:val="bottom"/>
            <w:vMerge w:val="continue"/>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285,905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281,815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6F7"/>
          </w:tcPr>
          <w:p>
            <w:pPr>
              <w:ind w:left="180"/>
              <w:spacing w:after="0" w:line="202" w:lineRule="exact"/>
              <w:rPr>
                <w:sz w:val="20"/>
                <w:szCs w:val="20"/>
                <w:color w:val="auto"/>
              </w:rPr>
            </w:pPr>
            <w:r>
              <w:rPr>
                <w:rFonts w:ascii="Arial" w:cs="Arial" w:eastAsia="Arial" w:hAnsi="Arial"/>
                <w:sz w:val="18"/>
                <w:szCs w:val="18"/>
                <w:color w:val="auto"/>
              </w:rPr>
              <w:t>Cumulative translation adjustment</w:t>
            </w:r>
          </w:p>
        </w:tc>
        <w:tc>
          <w:tcPr>
            <w:tcW w:w="220" w:type="dxa"/>
            <w:vAlign w:val="bottom"/>
            <w:shd w:val="clear" w:color="auto" w:fill="D5E6F7"/>
          </w:tcPr>
          <w:p>
            <w:pPr>
              <w:spacing w:after="0"/>
              <w:rPr>
                <w:sz w:val="17"/>
                <w:szCs w:val="17"/>
                <w:color w:val="auto"/>
              </w:rPr>
            </w:pPr>
          </w:p>
        </w:tc>
        <w:tc>
          <w:tcPr>
            <w:tcW w:w="1700" w:type="dxa"/>
            <w:vAlign w:val="bottom"/>
            <w:gridSpan w:val="2"/>
            <w:shd w:val="clear" w:color="auto" w:fill="D5E6F7"/>
          </w:tcPr>
          <w:p>
            <w:pPr>
              <w:jc w:val="right"/>
              <w:ind w:right="140"/>
              <w:spacing w:after="0" w:line="202" w:lineRule="exact"/>
              <w:rPr>
                <w:sz w:val="20"/>
                <w:szCs w:val="20"/>
                <w:color w:val="auto"/>
              </w:rPr>
            </w:pPr>
            <w:r>
              <w:rPr>
                <w:rFonts w:ascii="Arial" w:cs="Arial" w:eastAsia="Arial" w:hAnsi="Arial"/>
                <w:sz w:val="18"/>
                <w:szCs w:val="18"/>
                <w:color w:val="auto"/>
              </w:rPr>
              <w:t>(32 )</w:t>
            </w:r>
          </w:p>
        </w:tc>
        <w:tc>
          <w:tcPr>
            <w:tcW w:w="160" w:type="dxa"/>
            <w:vAlign w:val="bottom"/>
            <w:shd w:val="clear" w:color="auto" w:fill="D5E6F7"/>
          </w:tcPr>
          <w:p>
            <w:pPr>
              <w:spacing w:after="0"/>
              <w:rPr>
                <w:sz w:val="17"/>
                <w:szCs w:val="17"/>
                <w:color w:val="auto"/>
              </w:rPr>
            </w:pPr>
          </w:p>
        </w:tc>
        <w:tc>
          <w:tcPr>
            <w:tcW w:w="15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30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7"/>
                <w:szCs w:val="17"/>
                <w:color w:val="auto"/>
              </w:rPr>
            </w:pPr>
          </w:p>
        </w:tc>
        <w:tc>
          <w:tcPr>
            <w:tcW w:w="1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(69,825 )</w:t>
            </w:r>
          </w:p>
        </w:tc>
        <w:tc>
          <w:tcPr>
            <w:tcW w:w="160" w:type="dxa"/>
            <w:vAlign w:val="bottom"/>
          </w:tcPr>
          <w:p>
            <w:pPr>
              <w:spacing w:after="0"/>
              <w:rPr>
                <w:sz w:val="17"/>
                <w:szCs w:val="17"/>
                <w:color w:val="auto"/>
              </w:rPr>
            </w:pP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(69,396 )</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D5E6F7"/>
            </w:tcBorders>
            <w:shd w:val="clear" w:color="auto" w:fill="D5E6F7"/>
          </w:tcPr>
          <w:p>
            <w:pPr>
              <w:ind w:left="360"/>
              <w:spacing w:after="0" w:line="196"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D5E6F7"/>
          </w:tcPr>
          <w:p>
            <w:pPr>
              <w:spacing w:after="0"/>
              <w:rPr>
                <w:sz w:val="17"/>
                <w:szCs w:val="17"/>
                <w:color w:val="auto"/>
              </w:rPr>
            </w:pPr>
          </w:p>
        </w:tc>
        <w:tc>
          <w:tcPr>
            <w:tcW w:w="148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216,052</w:t>
            </w:r>
          </w:p>
        </w:tc>
        <w:tc>
          <w:tcPr>
            <w:tcW w:w="220" w:type="dxa"/>
            <w:vAlign w:val="bottom"/>
            <w:tcBorders>
              <w:bottom w:val="single" w:sz="8" w:color="D5E6F7"/>
            </w:tcBorders>
            <w:shd w:val="clear" w:color="auto" w:fill="D5E6F7"/>
          </w:tcPr>
          <w:p>
            <w:pPr>
              <w:spacing w:after="0"/>
              <w:rPr>
                <w:sz w:val="17"/>
                <w:szCs w:val="17"/>
                <w:color w:val="auto"/>
              </w:rPr>
            </w:pPr>
          </w:p>
        </w:tc>
        <w:tc>
          <w:tcPr>
            <w:tcW w:w="160" w:type="dxa"/>
            <w:vAlign w:val="bottom"/>
            <w:tcBorders>
              <w:top w:val="single" w:sz="8" w:color="auto"/>
              <w:bottom w:val="single" w:sz="8" w:color="auto"/>
            </w:tcBorders>
            <w:shd w:val="clear" w:color="auto" w:fill="D5E6F7"/>
          </w:tcPr>
          <w:p>
            <w:pPr>
              <w:spacing w:after="0"/>
              <w:rPr>
                <w:sz w:val="17"/>
                <w:szCs w:val="17"/>
                <w:color w:val="auto"/>
              </w:rPr>
            </w:pPr>
          </w:p>
        </w:tc>
        <w:tc>
          <w:tcPr>
            <w:tcW w:w="150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212,423</w:t>
            </w:r>
          </w:p>
        </w:tc>
        <w:tc>
          <w:tcPr>
            <w:tcW w:w="80" w:type="dxa"/>
            <w:vAlign w:val="bottom"/>
            <w:tcBorders>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431,354</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341,267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-4705350</wp:posOffset>
            </wp:positionV>
            <wp:extent cx="514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-4705350</wp:posOffset>
            </wp:positionV>
            <wp:extent cx="514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-3531235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-3514090</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-3531235</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-3514090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-2465070</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-2465070</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-1572260</wp:posOffset>
            </wp:positionV>
            <wp:extent cx="7683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-1572260</wp:posOffset>
            </wp:positionV>
            <wp:extent cx="7683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-159385</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-159385</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Greenidge Generation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 (UNAUDITED)</w:t>
      </w: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44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80" w:type="dxa"/>
            <w:vAlign w:val="bottom"/>
          </w:tcPr>
          <w:p>
            <w:pPr>
              <w:spacing w:after="0"/>
              <w:rPr>
                <w:sz w:val="16"/>
                <w:szCs w:val="16"/>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REVENUE:</w:t>
            </w:r>
          </w:p>
        </w:tc>
        <w:tc>
          <w:tcPr>
            <w:tcW w:w="1220" w:type="dxa"/>
            <w:vAlign w:val="bottom"/>
            <w:shd w:val="clear" w:color="auto" w:fill="D5E6F7"/>
          </w:tcPr>
          <w:p>
            <w:pPr>
              <w:spacing w:after="0"/>
              <w:rPr>
                <w:sz w:val="17"/>
                <w:szCs w:val="17"/>
                <w:color w:val="auto"/>
              </w:rPr>
            </w:pPr>
          </w:p>
        </w:tc>
        <w:tc>
          <w:tcPr>
            <w:tcW w:w="66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64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20"/>
              <w:spacing w:after="0" w:line="202" w:lineRule="exact"/>
              <w:rPr>
                <w:sz w:val="20"/>
                <w:szCs w:val="20"/>
                <w:color w:val="auto"/>
              </w:rPr>
            </w:pPr>
            <w:r>
              <w:rPr>
                <w:rFonts w:ascii="Arial" w:cs="Arial" w:eastAsia="Arial" w:hAnsi="Arial"/>
                <w:sz w:val="18"/>
                <w:szCs w:val="18"/>
                <w:color w:val="auto"/>
              </w:rPr>
              <w:t>Cryptocurrency datacenter</w:t>
            </w:r>
          </w:p>
        </w:tc>
        <w:tc>
          <w:tcPr>
            <w:tcW w:w="1220" w:type="dxa"/>
            <w:vAlign w:val="bottom"/>
          </w:tcPr>
          <w:p>
            <w:pPr>
              <w:jc w:val="right"/>
              <w:ind w:right="1036"/>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23,232</w:t>
            </w:r>
          </w:p>
        </w:tc>
        <w:tc>
          <w:tcPr>
            <w:tcW w:w="340" w:type="dxa"/>
            <w:vAlign w:val="bottom"/>
          </w:tcPr>
          <w:p>
            <w:pPr>
              <w:spacing w:after="0"/>
              <w:rPr>
                <w:sz w:val="17"/>
                <w:szCs w:val="17"/>
                <w:color w:val="auto"/>
              </w:rPr>
            </w:pPr>
          </w:p>
        </w:tc>
        <w:tc>
          <w:tcPr>
            <w:tcW w:w="1220" w:type="dxa"/>
            <w:vAlign w:val="bottom"/>
          </w:tcPr>
          <w:p>
            <w:pPr>
              <w:jc w:val="right"/>
              <w:ind w:right="1014"/>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8,997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Power and capacity</w:t>
            </w:r>
          </w:p>
        </w:tc>
        <w:tc>
          <w:tcPr>
            <w:tcW w:w="122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5,923</w:t>
            </w:r>
          </w:p>
        </w:tc>
        <w:tc>
          <w:tcPr>
            <w:tcW w:w="34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6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2,066</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20"/>
              <w:spacing w:after="0" w:line="202" w:lineRule="exact"/>
              <w:rPr>
                <w:sz w:val="20"/>
                <w:szCs w:val="20"/>
                <w:color w:val="auto"/>
              </w:rPr>
            </w:pPr>
            <w:r>
              <w:rPr>
                <w:rFonts w:ascii="Arial" w:cs="Arial" w:eastAsia="Arial" w:hAnsi="Arial"/>
                <w:sz w:val="18"/>
                <w:szCs w:val="18"/>
                <w:color w:val="auto"/>
              </w:rPr>
              <w:t>Services and other</w:t>
            </w:r>
          </w:p>
        </w:tc>
        <w:tc>
          <w:tcPr>
            <w:tcW w:w="1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8,500</w:t>
            </w:r>
          </w:p>
        </w:tc>
        <w:tc>
          <w:tcPr>
            <w:tcW w:w="3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Total revenue</w:t>
            </w:r>
          </w:p>
        </w:tc>
        <w:tc>
          <w:tcPr>
            <w:tcW w:w="122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37,655</w:t>
            </w:r>
          </w:p>
        </w:tc>
        <w:tc>
          <w:tcPr>
            <w:tcW w:w="34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6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11,063</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OPERATING COSTS AND EXPENSES:</w:t>
            </w: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D5E6F7"/>
          </w:tcPr>
          <w:p>
            <w:pPr>
              <w:ind w:left="120"/>
              <w:spacing w:after="0" w:line="162" w:lineRule="exact"/>
              <w:rPr>
                <w:sz w:val="20"/>
                <w:szCs w:val="20"/>
                <w:color w:val="auto"/>
              </w:rPr>
            </w:pPr>
            <w:r>
              <w:rPr>
                <w:rFonts w:ascii="Arial" w:cs="Arial" w:eastAsia="Arial" w:hAnsi="Arial"/>
                <w:sz w:val="18"/>
                <w:szCs w:val="18"/>
                <w:color w:val="auto"/>
              </w:rPr>
              <w:t>Cost of revenue - cryptocurrency datacenter (exclusive of</w:t>
            </w:r>
          </w:p>
        </w:tc>
        <w:tc>
          <w:tcPr>
            <w:tcW w:w="1220" w:type="dxa"/>
            <w:vAlign w:val="bottom"/>
            <w:shd w:val="clear" w:color="auto" w:fill="D5E6F7"/>
          </w:tcPr>
          <w:p>
            <w:pPr>
              <w:spacing w:after="0"/>
              <w:rPr>
                <w:sz w:val="14"/>
                <w:szCs w:val="14"/>
                <w:color w:val="auto"/>
              </w:rPr>
            </w:pPr>
          </w:p>
        </w:tc>
        <w:tc>
          <w:tcPr>
            <w:tcW w:w="66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8,456</w:t>
            </w:r>
          </w:p>
        </w:tc>
        <w:tc>
          <w:tcPr>
            <w:tcW w:w="340" w:type="dxa"/>
            <w:vAlign w:val="bottom"/>
            <w:shd w:val="clear" w:color="auto" w:fill="D5E6F7"/>
          </w:tcPr>
          <w:p>
            <w:pPr>
              <w:spacing w:after="0"/>
              <w:rPr>
                <w:sz w:val="14"/>
                <w:szCs w:val="14"/>
                <w:color w:val="auto"/>
              </w:rPr>
            </w:pPr>
          </w:p>
        </w:tc>
        <w:tc>
          <w:tcPr>
            <w:tcW w:w="1220" w:type="dxa"/>
            <w:vAlign w:val="bottom"/>
            <w:shd w:val="clear" w:color="auto" w:fill="D5E6F7"/>
          </w:tcPr>
          <w:p>
            <w:pPr>
              <w:spacing w:after="0"/>
              <w:rPr>
                <w:sz w:val="14"/>
                <w:szCs w:val="14"/>
                <w:color w:val="auto"/>
              </w:rPr>
            </w:pPr>
          </w:p>
        </w:tc>
        <w:tc>
          <w:tcPr>
            <w:tcW w:w="64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2,574</w:t>
            </w:r>
          </w:p>
        </w:tc>
        <w:tc>
          <w:tcPr>
            <w:tcW w:w="8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D5E6F7"/>
          </w:tcPr>
          <w:p>
            <w:pPr>
              <w:ind w:left="24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D5E6F7"/>
          </w:tcPr>
          <w:p>
            <w:pPr>
              <w:spacing w:after="0"/>
              <w:rPr>
                <w:sz w:val="18"/>
                <w:szCs w:val="18"/>
                <w:color w:val="auto"/>
              </w:rPr>
            </w:pPr>
          </w:p>
        </w:tc>
        <w:tc>
          <w:tcPr>
            <w:tcW w:w="660" w:type="dxa"/>
            <w:vAlign w:val="bottom"/>
            <w:vMerge w:val="continue"/>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220" w:type="dxa"/>
            <w:vAlign w:val="bottom"/>
            <w:shd w:val="clear" w:color="auto" w:fill="D5E6F7"/>
          </w:tcPr>
          <w:p>
            <w:pPr>
              <w:spacing w:after="0"/>
              <w:rPr>
                <w:sz w:val="18"/>
                <w:szCs w:val="18"/>
                <w:color w:val="auto"/>
              </w:rPr>
            </w:pPr>
          </w:p>
        </w:tc>
        <w:tc>
          <w:tcPr>
            <w:tcW w:w="640" w:type="dxa"/>
            <w:vAlign w:val="bottom"/>
            <w:vMerge w:val="continue"/>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120"/>
              <w:spacing w:after="0" w:line="162" w:lineRule="exact"/>
              <w:rPr>
                <w:sz w:val="20"/>
                <w:szCs w:val="20"/>
                <w:color w:val="auto"/>
              </w:rPr>
            </w:pPr>
            <w:r>
              <w:rPr>
                <w:rFonts w:ascii="Arial" w:cs="Arial" w:eastAsia="Arial" w:hAnsi="Arial"/>
                <w:sz w:val="18"/>
                <w:szCs w:val="18"/>
                <w:color w:val="auto"/>
              </w:rPr>
              <w:t>Cost of revenue - power and capacity (exclusive of</w:t>
            </w:r>
          </w:p>
        </w:tc>
        <w:tc>
          <w:tcPr>
            <w:tcW w:w="12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4,023</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D5E6F7"/>
          </w:tcPr>
          <w:p>
            <w:pPr>
              <w:ind w:left="120"/>
              <w:spacing w:after="0" w:line="162" w:lineRule="exact"/>
              <w:rPr>
                <w:sz w:val="20"/>
                <w:szCs w:val="20"/>
                <w:color w:val="auto"/>
              </w:rPr>
            </w:pPr>
            <w:r>
              <w:rPr>
                <w:rFonts w:ascii="Arial" w:cs="Arial" w:eastAsia="Arial" w:hAnsi="Arial"/>
                <w:sz w:val="18"/>
                <w:szCs w:val="18"/>
                <w:color w:val="auto"/>
              </w:rPr>
              <w:t>Cost of revenue - services and other (exclusive of</w:t>
            </w:r>
          </w:p>
        </w:tc>
        <w:tc>
          <w:tcPr>
            <w:tcW w:w="1220" w:type="dxa"/>
            <w:vAlign w:val="bottom"/>
            <w:shd w:val="clear" w:color="auto" w:fill="D5E6F7"/>
          </w:tcPr>
          <w:p>
            <w:pPr>
              <w:spacing w:after="0"/>
              <w:rPr>
                <w:sz w:val="14"/>
                <w:szCs w:val="14"/>
                <w:color w:val="auto"/>
              </w:rPr>
            </w:pPr>
          </w:p>
        </w:tc>
        <w:tc>
          <w:tcPr>
            <w:tcW w:w="66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4,071</w:t>
            </w:r>
          </w:p>
        </w:tc>
        <w:tc>
          <w:tcPr>
            <w:tcW w:w="340" w:type="dxa"/>
            <w:vAlign w:val="bottom"/>
            <w:shd w:val="clear" w:color="auto" w:fill="D5E6F7"/>
          </w:tcPr>
          <w:p>
            <w:pPr>
              <w:spacing w:after="0"/>
              <w:rPr>
                <w:sz w:val="14"/>
                <w:szCs w:val="14"/>
                <w:color w:val="auto"/>
              </w:rPr>
            </w:pPr>
          </w:p>
        </w:tc>
        <w:tc>
          <w:tcPr>
            <w:tcW w:w="1220" w:type="dxa"/>
            <w:vAlign w:val="bottom"/>
            <w:shd w:val="clear" w:color="auto" w:fill="D5E6F7"/>
          </w:tcPr>
          <w:p>
            <w:pPr>
              <w:spacing w:after="0"/>
              <w:rPr>
                <w:sz w:val="14"/>
                <w:szCs w:val="14"/>
                <w:color w:val="auto"/>
              </w:rPr>
            </w:pPr>
          </w:p>
        </w:tc>
        <w:tc>
          <w:tcPr>
            <w:tcW w:w="64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D5E6F7"/>
          </w:tcPr>
          <w:p>
            <w:pPr>
              <w:ind w:left="24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D5E6F7"/>
          </w:tcPr>
          <w:p>
            <w:pPr>
              <w:spacing w:after="0"/>
              <w:rPr>
                <w:sz w:val="18"/>
                <w:szCs w:val="18"/>
                <w:color w:val="auto"/>
              </w:rPr>
            </w:pPr>
          </w:p>
        </w:tc>
        <w:tc>
          <w:tcPr>
            <w:tcW w:w="660" w:type="dxa"/>
            <w:vAlign w:val="bottom"/>
            <w:vMerge w:val="continue"/>
            <w:shd w:val="clear" w:color="auto" w:fill="D5E6F7"/>
          </w:tcPr>
          <w:p>
            <w:pPr>
              <w:spacing w:after="0"/>
              <w:rPr>
                <w:sz w:val="18"/>
                <w:szCs w:val="18"/>
                <w:color w:val="auto"/>
              </w:rPr>
            </w:pPr>
          </w:p>
        </w:tc>
        <w:tc>
          <w:tcPr>
            <w:tcW w:w="340" w:type="dxa"/>
            <w:vAlign w:val="bottom"/>
            <w:shd w:val="clear" w:color="auto" w:fill="D5E6F7"/>
          </w:tcPr>
          <w:p>
            <w:pPr>
              <w:spacing w:after="0"/>
              <w:rPr>
                <w:sz w:val="18"/>
                <w:szCs w:val="18"/>
                <w:color w:val="auto"/>
              </w:rPr>
            </w:pPr>
          </w:p>
        </w:tc>
        <w:tc>
          <w:tcPr>
            <w:tcW w:w="1220" w:type="dxa"/>
            <w:vAlign w:val="bottom"/>
            <w:shd w:val="clear" w:color="auto" w:fill="D5E6F7"/>
          </w:tcPr>
          <w:p>
            <w:pPr>
              <w:spacing w:after="0"/>
              <w:rPr>
                <w:sz w:val="18"/>
                <w:szCs w:val="18"/>
                <w:color w:val="auto"/>
              </w:rPr>
            </w:pPr>
          </w:p>
        </w:tc>
        <w:tc>
          <w:tcPr>
            <w:tcW w:w="640" w:type="dxa"/>
            <w:vAlign w:val="bottom"/>
            <w:vMerge w:val="continue"/>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14,392</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Merger and other costs</w:t>
            </w:r>
          </w:p>
        </w:tc>
        <w:tc>
          <w:tcPr>
            <w:tcW w:w="122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213</w:t>
            </w:r>
          </w:p>
        </w:tc>
        <w:tc>
          <w:tcPr>
            <w:tcW w:w="34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6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105</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3,978</w:t>
            </w:r>
          </w:p>
        </w:tc>
        <w:tc>
          <w:tcPr>
            <w:tcW w:w="3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tcBorders>
              <w:bottom w:val="single" w:sz="8" w:color="D5E6F7"/>
            </w:tcBorders>
            <w:shd w:val="clear" w:color="auto" w:fill="D5E6F7"/>
          </w:tcPr>
          <w:p>
            <w:pPr>
              <w:ind w:left="200"/>
              <w:spacing w:after="0" w:line="196" w:lineRule="exact"/>
              <w:rPr>
                <w:sz w:val="20"/>
                <w:szCs w:val="20"/>
                <w:color w:val="auto"/>
              </w:rPr>
            </w:pPr>
            <w:r>
              <w:rPr>
                <w:rFonts w:ascii="Arial" w:cs="Arial" w:eastAsia="Arial" w:hAnsi="Arial"/>
                <w:sz w:val="18"/>
                <w:szCs w:val="18"/>
                <w:color w:val="auto"/>
              </w:rPr>
              <w:t>Total operating costs and expenses</w:t>
            </w:r>
          </w:p>
        </w:tc>
        <w:tc>
          <w:tcPr>
            <w:tcW w:w="1220" w:type="dxa"/>
            <w:vAlign w:val="bottom"/>
            <w:tcBorders>
              <w:bottom w:val="single" w:sz="8" w:color="auto"/>
            </w:tcBorders>
            <w:shd w:val="clear" w:color="auto" w:fill="D5E6F7"/>
          </w:tcPr>
          <w:p>
            <w:pPr>
              <w:spacing w:after="0"/>
              <w:rPr>
                <w:sz w:val="17"/>
                <w:szCs w:val="17"/>
                <w:color w:val="auto"/>
              </w:rPr>
            </w:pPr>
          </w:p>
        </w:tc>
        <w:tc>
          <w:tcPr>
            <w:tcW w:w="66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35,133</w:t>
            </w:r>
          </w:p>
        </w:tc>
        <w:tc>
          <w:tcPr>
            <w:tcW w:w="340" w:type="dxa"/>
            <w:vAlign w:val="bottom"/>
            <w:tcBorders>
              <w:bottom w:val="single" w:sz="8" w:color="D5E6F7"/>
            </w:tcBorders>
            <w:shd w:val="clear" w:color="auto" w:fill="D5E6F7"/>
          </w:tcPr>
          <w:p>
            <w:pPr>
              <w:spacing w:after="0"/>
              <w:rPr>
                <w:sz w:val="17"/>
                <w:szCs w:val="17"/>
                <w:color w:val="auto"/>
              </w:rPr>
            </w:pPr>
          </w:p>
        </w:tc>
        <w:tc>
          <w:tcPr>
            <w:tcW w:w="1220" w:type="dxa"/>
            <w:vAlign w:val="bottom"/>
            <w:tcBorders>
              <w:bottom w:val="single" w:sz="8" w:color="auto"/>
            </w:tcBorders>
            <w:shd w:val="clear" w:color="auto" w:fill="D5E6F7"/>
          </w:tcPr>
          <w:p>
            <w:pPr>
              <w:spacing w:after="0"/>
              <w:rPr>
                <w:sz w:val="17"/>
                <w:szCs w:val="17"/>
                <w:color w:val="auto"/>
              </w:rPr>
            </w:pPr>
          </w:p>
        </w:tc>
        <w:tc>
          <w:tcPr>
            <w:tcW w:w="64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9,178</w:t>
            </w:r>
          </w:p>
        </w:tc>
        <w:tc>
          <w:tcPr>
            <w:tcW w:w="80" w:type="dxa"/>
            <w:vAlign w:val="bottom"/>
            <w:tcBorders>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12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2,522</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1,885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220" w:type="dxa"/>
            <w:vAlign w:val="bottom"/>
            <w:shd w:val="clear" w:color="auto" w:fill="D5E6F7"/>
          </w:tcPr>
          <w:p>
            <w:pPr>
              <w:spacing w:after="0"/>
              <w:rPr>
                <w:sz w:val="17"/>
                <w:szCs w:val="17"/>
                <w:color w:val="auto"/>
              </w:rPr>
            </w:pPr>
          </w:p>
        </w:tc>
        <w:tc>
          <w:tcPr>
            <w:tcW w:w="66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64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7"/>
                <w:szCs w:val="17"/>
                <w:color w:val="auto"/>
              </w:rPr>
            </w:pP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(3,353 )</w:t>
            </w:r>
          </w:p>
        </w:tc>
        <w:tc>
          <w:tcPr>
            <w:tcW w:w="12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03"/>
        </w:trPr>
        <w:tc>
          <w:tcPr>
            <w:tcW w:w="70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Interest expense - related party</w:t>
            </w:r>
          </w:p>
        </w:tc>
        <w:tc>
          <w:tcPr>
            <w:tcW w:w="122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72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(Loss) gain on sale of digital assets</w:t>
            </w:r>
          </w:p>
        </w:tc>
        <w:tc>
          <w:tcPr>
            <w:tcW w:w="1220" w:type="dxa"/>
            <w:vAlign w:val="bottom"/>
          </w:tcPr>
          <w:p>
            <w:pPr>
              <w:spacing w:after="0"/>
              <w:rPr>
                <w:sz w:val="17"/>
                <w:szCs w:val="17"/>
                <w:color w:val="auto"/>
              </w:rPr>
            </w:pP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(5 )</w:t>
            </w:r>
          </w:p>
        </w:tc>
        <w:tc>
          <w:tcPr>
            <w:tcW w:w="1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220" w:type="dxa"/>
            <w:vAlign w:val="bottom"/>
            <w:tcBorders>
              <w:bottom w:val="single" w:sz="8" w:color="auto"/>
            </w:tcBorders>
            <w:shd w:val="clear" w:color="auto" w:fill="D5E6F7"/>
          </w:tcPr>
          <w:p>
            <w:pPr>
              <w:spacing w:after="0"/>
              <w:rPr>
                <w:sz w:val="17"/>
                <w:szCs w:val="17"/>
                <w:color w:val="auto"/>
              </w:rPr>
            </w:pPr>
          </w:p>
        </w:tc>
        <w:tc>
          <w:tcPr>
            <w:tcW w:w="6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39</w:t>
            </w:r>
          </w:p>
        </w:tc>
        <w:tc>
          <w:tcPr>
            <w:tcW w:w="340" w:type="dxa"/>
            <w:vAlign w:val="bottom"/>
            <w:tcBorders>
              <w:bottom w:val="single" w:sz="8" w:color="D5E6F7"/>
            </w:tcBorders>
            <w:shd w:val="clear" w:color="auto" w:fill="D5E6F7"/>
          </w:tcPr>
          <w:p>
            <w:pPr>
              <w:spacing w:after="0"/>
              <w:rPr>
                <w:sz w:val="17"/>
                <w:szCs w:val="17"/>
                <w:color w:val="auto"/>
              </w:rPr>
            </w:pPr>
          </w:p>
        </w:tc>
        <w:tc>
          <w:tcPr>
            <w:tcW w:w="1220" w:type="dxa"/>
            <w:vAlign w:val="bottom"/>
            <w:tcBorders>
              <w:bottom w:val="single" w:sz="8" w:color="auto"/>
            </w:tcBorders>
            <w:shd w:val="clear" w:color="auto" w:fill="D5E6F7"/>
          </w:tcPr>
          <w:p>
            <w:pPr>
              <w:spacing w:after="0"/>
              <w:rPr>
                <w:sz w:val="17"/>
                <w:szCs w:val="17"/>
                <w:color w:val="auto"/>
              </w:rPr>
            </w:pPr>
          </w:p>
        </w:tc>
        <w:tc>
          <w:tcPr>
            <w:tcW w:w="6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19</w:t>
            </w:r>
          </w:p>
        </w:tc>
        <w:tc>
          <w:tcPr>
            <w:tcW w:w="80" w:type="dxa"/>
            <w:vAlign w:val="bottom"/>
            <w:tcBorders>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 income, net</w:t>
            </w:r>
          </w:p>
        </w:tc>
        <w:tc>
          <w:tcPr>
            <w:tcW w:w="1220" w:type="dxa"/>
            <w:vAlign w:val="bottom"/>
          </w:tcPr>
          <w:p>
            <w:pPr>
              <w:spacing w:after="0"/>
              <w:rPr>
                <w:sz w:val="17"/>
                <w:szCs w:val="17"/>
                <w:color w:val="auto"/>
              </w:rPr>
            </w:pPr>
          </w:p>
        </w:tc>
        <w:tc>
          <w:tcPr>
            <w:tcW w:w="100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(3,319 )</w:t>
            </w:r>
          </w:p>
        </w:tc>
        <w:tc>
          <w:tcPr>
            <w:tcW w:w="12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(LOSS) INCOME BEFORE INCOME TAXES</w:t>
            </w:r>
          </w:p>
        </w:tc>
        <w:tc>
          <w:tcPr>
            <w:tcW w:w="1220" w:type="dxa"/>
            <w:vAlign w:val="bottom"/>
            <w:tcBorders>
              <w:top w:val="single" w:sz="8" w:color="auto"/>
            </w:tcBorders>
            <w:shd w:val="clear" w:color="auto" w:fill="D5E6F7"/>
          </w:tcPr>
          <w:p>
            <w:pPr>
              <w:spacing w:after="0"/>
              <w:rPr>
                <w:sz w:val="17"/>
                <w:szCs w:val="17"/>
                <w:color w:val="auto"/>
              </w:rPr>
            </w:pPr>
          </w:p>
        </w:tc>
        <w:tc>
          <w:tcPr>
            <w:tcW w:w="6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(797</w:t>
            </w:r>
          </w:p>
        </w:tc>
        <w:tc>
          <w:tcPr>
            <w:tcW w:w="340" w:type="dxa"/>
            <w:vAlign w:val="bottom"/>
            <w:shd w:val="clear" w:color="auto" w:fill="D5E6F7"/>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D5E6F7"/>
          </w:tcPr>
          <w:p>
            <w:pPr>
              <w:spacing w:after="0"/>
              <w:rPr>
                <w:sz w:val="17"/>
                <w:szCs w:val="17"/>
                <w:color w:val="auto"/>
              </w:rPr>
            </w:pPr>
          </w:p>
        </w:tc>
        <w:tc>
          <w:tcPr>
            <w:tcW w:w="64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2,011</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1220" w:type="dxa"/>
            <w:vAlign w:val="bottom"/>
          </w:tcPr>
          <w:p>
            <w:pPr>
              <w:spacing w:after="0"/>
              <w:rPr>
                <w:sz w:val="17"/>
                <w:szCs w:val="17"/>
                <w:color w:val="auto"/>
              </w:rPr>
            </w:pP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(368 )</w:t>
            </w:r>
          </w:p>
        </w:tc>
        <w:tc>
          <w:tcPr>
            <w:tcW w:w="1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NET (LOSS) INCOME</w:t>
            </w:r>
          </w:p>
        </w:tc>
        <w:tc>
          <w:tcPr>
            <w:tcW w:w="1220" w:type="dxa"/>
            <w:vAlign w:val="bottom"/>
            <w:tcBorders>
              <w:top w:val="single" w:sz="8" w:color="auto"/>
            </w:tcBorders>
            <w:shd w:val="clear" w:color="auto" w:fill="D5E6F7"/>
          </w:tcPr>
          <w:p>
            <w:pPr>
              <w:spacing w:after="0"/>
              <w:rPr>
                <w:sz w:val="17"/>
                <w:szCs w:val="17"/>
                <w:color w:val="auto"/>
              </w:rPr>
            </w:pPr>
          </w:p>
        </w:tc>
        <w:tc>
          <w:tcPr>
            <w:tcW w:w="6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(429</w:t>
            </w:r>
          </w:p>
        </w:tc>
        <w:tc>
          <w:tcPr>
            <w:tcW w:w="340" w:type="dxa"/>
            <w:vAlign w:val="bottom"/>
            <w:shd w:val="clear" w:color="auto" w:fill="D5E6F7"/>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D5E6F7"/>
          </w:tcPr>
          <w:p>
            <w:pPr>
              <w:spacing w:after="0"/>
              <w:rPr>
                <w:sz w:val="17"/>
                <w:szCs w:val="17"/>
                <w:color w:val="auto"/>
              </w:rPr>
            </w:pPr>
          </w:p>
        </w:tc>
        <w:tc>
          <w:tcPr>
            <w:tcW w:w="64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1,279</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20" w:type="dxa"/>
            <w:vAlign w:val="bottom"/>
          </w:tcPr>
          <w:p>
            <w:pPr>
              <w:spacing w:after="0"/>
              <w:rPr>
                <w:sz w:val="17"/>
                <w:szCs w:val="17"/>
                <w:color w:val="auto"/>
              </w:rPr>
            </w:pP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(32 )</w:t>
            </w:r>
          </w:p>
        </w:tc>
        <w:tc>
          <w:tcPr>
            <w:tcW w:w="1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COMPREHENSIVE (LOSS) INCOME</w:t>
            </w:r>
          </w:p>
        </w:tc>
        <w:tc>
          <w:tcPr>
            <w:tcW w:w="1220" w:type="dxa"/>
            <w:vAlign w:val="bottom"/>
            <w:tcBorders>
              <w:top w:val="single" w:sz="8" w:color="auto"/>
            </w:tcBorders>
            <w:shd w:val="clear" w:color="auto" w:fill="D5E6F7"/>
          </w:tcPr>
          <w:p>
            <w:pPr>
              <w:jc w:val="right"/>
              <w:ind w:right="103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(461</w:t>
            </w:r>
          </w:p>
        </w:tc>
        <w:tc>
          <w:tcPr>
            <w:tcW w:w="340" w:type="dxa"/>
            <w:vAlign w:val="bottom"/>
            <w:shd w:val="clear" w:color="auto" w:fill="D5E6F7"/>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D5E6F7"/>
          </w:tcPr>
          <w:p>
            <w:pPr>
              <w:jc w:val="right"/>
              <w:ind w:right="1014"/>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1,279</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(Loss) earnings per share:</w:t>
            </w: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Basic</w:t>
            </w:r>
          </w:p>
        </w:tc>
        <w:tc>
          <w:tcPr>
            <w:tcW w:w="1220" w:type="dxa"/>
            <w:vAlign w:val="bottom"/>
            <w:shd w:val="clear" w:color="auto" w:fill="D5E6F7"/>
          </w:tcPr>
          <w:p>
            <w:pPr>
              <w:jc w:val="right"/>
              <w:ind w:right="1036"/>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D5E6F7"/>
          </w:tcPr>
          <w:p>
            <w:pPr>
              <w:jc w:val="right"/>
              <w:ind w:right="170"/>
              <w:spacing w:after="0" w:line="202" w:lineRule="exact"/>
              <w:rPr>
                <w:sz w:val="20"/>
                <w:szCs w:val="20"/>
                <w:color w:val="auto"/>
              </w:rPr>
            </w:pPr>
            <w:r>
              <w:rPr>
                <w:rFonts w:ascii="Arial" w:cs="Arial" w:eastAsia="Arial" w:hAnsi="Arial"/>
                <w:sz w:val="18"/>
                <w:szCs w:val="18"/>
                <w:color w:val="auto"/>
              </w:rPr>
              <w:t>(0.01 )</w:t>
            </w:r>
          </w:p>
        </w:tc>
        <w:tc>
          <w:tcPr>
            <w:tcW w:w="1220" w:type="dxa"/>
            <w:vAlign w:val="bottom"/>
            <w:shd w:val="clear" w:color="auto" w:fill="D5E6F7"/>
          </w:tcPr>
          <w:p>
            <w:pPr>
              <w:jc w:val="right"/>
              <w:ind w:right="1014"/>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0.02</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Diluted</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(0.01 )</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-1985645</wp:posOffset>
            </wp:positionV>
            <wp:extent cx="5969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-1985645</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-1205865</wp:posOffset>
            </wp:positionV>
            <wp:extent cx="5969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-1205865</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Greenidge Generation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jc w:val="center"/>
        <w:ind w:right="40"/>
        <w:spacing w:after="0"/>
        <w:rPr>
          <w:sz w:val="20"/>
          <w:szCs w:val="20"/>
          <w:color w:val="auto"/>
        </w:rPr>
      </w:pPr>
      <w:r>
        <w:rPr>
          <w:rFonts w:ascii="Arial" w:cs="Arial" w:eastAsia="Arial" w:hAnsi="Arial"/>
          <w:sz w:val="18"/>
          <w:szCs w:val="18"/>
          <w:b w:val="1"/>
          <w:bCs w:val="1"/>
          <w:color w:val="auto"/>
        </w:rPr>
        <w:t>(in thousands, except share and member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2"/>
              </w:rPr>
              <w:t>Additional</w:t>
            </w:r>
          </w:p>
        </w:tc>
        <w:tc>
          <w:tcPr>
            <w:tcW w:w="96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w w:val="99"/>
              </w:rPr>
              <w:t>Common Units</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1"/>
                <w:szCs w:val="11"/>
                <w:b w:val="1"/>
                <w:bCs w:val="1"/>
                <w:color w:val="auto"/>
              </w:rPr>
              <w:t>Preferred Units</w:t>
            </w:r>
          </w:p>
        </w:tc>
        <w:tc>
          <w:tcPr>
            <w:tcW w:w="120" w:type="dxa"/>
            <w:vAlign w:val="bottom"/>
          </w:tcPr>
          <w:p>
            <w:pPr>
              <w:spacing w:after="0"/>
              <w:rPr>
                <w:sz w:val="12"/>
                <w:szCs w:val="12"/>
                <w:color w:val="auto"/>
              </w:rPr>
            </w:pPr>
          </w:p>
        </w:tc>
        <w:tc>
          <w:tcPr>
            <w:tcW w:w="118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1"/>
                <w:szCs w:val="11"/>
                <w:b w:val="1"/>
                <w:bCs w:val="1"/>
                <w:color w:val="auto"/>
                <w:w w:val="99"/>
              </w:rPr>
              <w:t>Senior Priority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Cumulative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200" w:type="dxa"/>
            <w:vAlign w:val="bottom"/>
            <w:gridSpan w:val="3"/>
            <w:vMerge w:val="restart"/>
          </w:tcPr>
          <w:p>
            <w:pPr>
              <w:jc w:val="right"/>
              <w:ind w:right="82"/>
              <w:spacing w:after="0"/>
              <w:rPr>
                <w:sz w:val="20"/>
                <w:szCs w:val="20"/>
                <w:color w:val="auto"/>
              </w:rPr>
            </w:pPr>
            <w:r>
              <w:rPr>
                <w:rFonts w:ascii="Arial" w:cs="Arial" w:eastAsia="Arial" w:hAnsi="Arial"/>
                <w:sz w:val="11"/>
                <w:szCs w:val="11"/>
                <w:b w:val="1"/>
                <w:bCs w:val="1"/>
                <w:color w:val="auto"/>
              </w:rPr>
              <w:t>Preferred Stock</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restart"/>
          </w:tcPr>
          <w:p>
            <w:pPr>
              <w:jc w:val="right"/>
              <w:ind w:right="42"/>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Paid - In</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91"/>
              </w:rPr>
              <w:t>Number</w:t>
            </w:r>
          </w:p>
        </w:tc>
        <w:tc>
          <w:tcPr>
            <w:tcW w:w="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0"/>
              </w:rPr>
              <w:t>Members'</w:t>
            </w:r>
          </w:p>
        </w:tc>
        <w:tc>
          <w:tcPr>
            <w:tcW w:w="100" w:type="dxa"/>
            <w:vAlign w:val="bottom"/>
          </w:tcPr>
          <w:p>
            <w:pPr>
              <w:spacing w:after="0"/>
              <w:rPr>
                <w:sz w:val="7"/>
                <w:szCs w:val="7"/>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Number</w:t>
            </w:r>
          </w:p>
        </w:tc>
        <w:tc>
          <w:tcPr>
            <w:tcW w:w="480" w:type="dxa"/>
            <w:vAlign w:val="bottom"/>
            <w:gridSpan w:val="2"/>
          </w:tcPr>
          <w:p>
            <w:pPr>
              <w:ind w:left="20"/>
              <w:spacing w:after="0" w:line="88" w:lineRule="exact"/>
              <w:rPr>
                <w:sz w:val="20"/>
                <w:szCs w:val="20"/>
                <w:color w:val="auto"/>
              </w:rPr>
            </w:pPr>
            <w:r>
              <w:rPr>
                <w:rFonts w:ascii="Arial" w:cs="Arial" w:eastAsia="Arial" w:hAnsi="Arial"/>
                <w:sz w:val="10"/>
                <w:szCs w:val="10"/>
                <w:b w:val="1"/>
                <w:bCs w:val="1"/>
                <w:color w:val="auto"/>
              </w:rPr>
              <w:t>Members</w:t>
            </w:r>
          </w:p>
        </w:tc>
        <w:tc>
          <w:tcPr>
            <w:tcW w:w="120" w:type="dxa"/>
            <w:vAlign w:val="bottom"/>
          </w:tcPr>
          <w:p>
            <w:pPr>
              <w:spacing w:after="0"/>
              <w:rPr>
                <w:sz w:val="7"/>
                <w:szCs w:val="7"/>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rPr>
              <w:t>Number</w:t>
            </w:r>
          </w:p>
        </w:tc>
        <w:tc>
          <w:tcPr>
            <w:tcW w:w="680" w:type="dxa"/>
            <w:vAlign w:val="bottom"/>
            <w:gridSpan w:val="3"/>
            <w:vMerge w:val="restart"/>
          </w:tcPr>
          <w:p>
            <w:pPr>
              <w:jc w:val="right"/>
              <w:ind w:right="180"/>
              <w:spacing w:after="0"/>
              <w:rPr>
                <w:sz w:val="20"/>
                <w:szCs w:val="20"/>
                <w:color w:val="auto"/>
              </w:rPr>
            </w:pPr>
            <w:r>
              <w:rPr>
                <w:rFonts w:ascii="Arial" w:cs="Arial" w:eastAsia="Arial" w:hAnsi="Arial"/>
                <w:sz w:val="11"/>
                <w:szCs w:val="11"/>
                <w:b w:val="1"/>
                <w:bCs w:val="1"/>
                <w:color w:val="auto"/>
                <w:w w:val="94"/>
              </w:rPr>
              <w:t>Members'</w:t>
            </w:r>
          </w:p>
        </w:tc>
        <w:tc>
          <w:tcPr>
            <w:tcW w:w="66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94"/>
              </w:rPr>
              <w:t>Members'</w:t>
            </w:r>
          </w:p>
        </w:tc>
        <w:tc>
          <w:tcPr>
            <w:tcW w:w="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Translation</w:t>
            </w: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200" w:type="dxa"/>
            <w:vAlign w:val="bottom"/>
            <w:tcBorders>
              <w:bottom w:val="single" w:sz="8" w:color="auto"/>
            </w:tcBorders>
            <w:gridSpan w:val="3"/>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158"/>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800" w:type="dxa"/>
            <w:vAlign w:val="bottom"/>
            <w:vMerge w:val="restart"/>
          </w:tcPr>
          <w:p>
            <w:pPr>
              <w:jc w:val="right"/>
              <w:ind w:right="178"/>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7"/>
                <w:szCs w:val="7"/>
                <w:color w:val="auto"/>
              </w:rPr>
            </w:pPr>
          </w:p>
        </w:tc>
        <w:tc>
          <w:tcPr>
            <w:tcW w:w="660" w:type="dxa"/>
            <w:vAlign w:val="bottom"/>
            <w:vMerge w:val="restart"/>
          </w:tcPr>
          <w:p>
            <w:pPr>
              <w:jc w:val="right"/>
              <w:ind w:right="121"/>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vMerge w:val="restart"/>
          </w:tcPr>
          <w:p>
            <w:pPr>
              <w:spacing w:after="0"/>
              <w:rPr>
                <w:sz w:val="7"/>
                <w:szCs w:val="7"/>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2"/>
              </w:rPr>
              <w:t>of Units</w:t>
            </w:r>
          </w:p>
        </w:tc>
        <w:tc>
          <w:tcPr>
            <w:tcW w:w="100" w:type="dxa"/>
            <w:vAlign w:val="bottom"/>
            <w:vMerge w:val="restart"/>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87"/>
              </w:rPr>
              <w:t>Capital</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jc w:val="right"/>
              <w:ind w:right="2"/>
              <w:spacing w:after="0"/>
              <w:rPr>
                <w:sz w:val="20"/>
                <w:szCs w:val="20"/>
                <w:color w:val="auto"/>
              </w:rPr>
            </w:pPr>
            <w:r>
              <w:rPr>
                <w:rFonts w:ascii="Arial" w:cs="Arial" w:eastAsia="Arial" w:hAnsi="Arial"/>
                <w:sz w:val="11"/>
                <w:szCs w:val="11"/>
                <w:b w:val="1"/>
                <w:bCs w:val="1"/>
                <w:color w:val="auto"/>
                <w:w w:val="97"/>
              </w:rPr>
              <w:t>of Units</w:t>
            </w:r>
          </w:p>
        </w:tc>
        <w:tc>
          <w:tcPr>
            <w:tcW w:w="100" w:type="dxa"/>
            <w:vAlign w:val="bottom"/>
            <w:vMerge w:val="restart"/>
          </w:tcPr>
          <w:p>
            <w:pPr>
              <w:spacing w:after="0"/>
              <w:rPr>
                <w:sz w:val="7"/>
                <w:szCs w:val="7"/>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Capital</w:t>
            </w:r>
          </w:p>
        </w:tc>
        <w:tc>
          <w:tcPr>
            <w:tcW w:w="120" w:type="dxa"/>
            <w:vAlign w:val="bottom"/>
            <w:vMerge w:val="restart"/>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of Units</w:t>
            </w:r>
          </w:p>
        </w:tc>
        <w:tc>
          <w:tcPr>
            <w:tcW w:w="1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vMerge w:val="restart"/>
          </w:tcPr>
          <w:p>
            <w:pPr>
              <w:spacing w:after="0"/>
              <w:rPr>
                <w:sz w:val="7"/>
                <w:szCs w:val="7"/>
                <w:color w:val="auto"/>
              </w:rPr>
            </w:pPr>
          </w:p>
        </w:tc>
        <w:tc>
          <w:tcPr>
            <w:tcW w:w="68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Adjustmen</w:t>
            </w:r>
          </w:p>
        </w:tc>
        <w:tc>
          <w:tcPr>
            <w:tcW w:w="140" w:type="dxa"/>
            <w:vAlign w:val="bottom"/>
          </w:tcPr>
          <w:p>
            <w:pPr>
              <w:spacing w:after="0"/>
              <w:rPr>
                <w:sz w:val="7"/>
                <w:szCs w:val="7"/>
                <w:color w:val="auto"/>
              </w:rPr>
            </w:pPr>
          </w:p>
        </w:tc>
        <w:tc>
          <w:tcPr>
            <w:tcW w:w="54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Deficit</w:t>
            </w:r>
          </w:p>
        </w:tc>
        <w:tc>
          <w:tcPr>
            <w:tcW w:w="12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00" w:type="dxa"/>
            <w:vAlign w:val="bottom"/>
            <w:shd w:val="clear" w:color="auto" w:fill="D5E6F7"/>
          </w:tcPr>
          <w:p>
            <w:pPr>
              <w:ind w:left="20"/>
              <w:spacing w:after="0" w:line="108" w:lineRule="exact"/>
              <w:rPr>
                <w:sz w:val="20"/>
                <w:szCs w:val="20"/>
                <w:color w:val="auto"/>
              </w:rPr>
            </w:pPr>
            <w:r>
              <w:rPr>
                <w:rFonts w:ascii="Arial" w:cs="Arial" w:eastAsia="Arial" w:hAnsi="Arial"/>
                <w:sz w:val="12"/>
                <w:szCs w:val="12"/>
                <w:b w:val="1"/>
                <w:bCs w:val="1"/>
                <w:color w:val="auto"/>
              </w:rPr>
              <w:t>Balance at January 1,</w:t>
            </w:r>
          </w:p>
        </w:tc>
        <w:tc>
          <w:tcPr>
            <w:tcW w:w="8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shd w:val="clear" w:color="auto" w:fill="D5E6F7"/>
          </w:tcPr>
          <w:p>
            <w:pPr>
              <w:jc w:val="right"/>
              <w:ind w:right="162"/>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40,865,336</w:t>
            </w:r>
          </w:p>
        </w:tc>
        <w:tc>
          <w:tcPr>
            <w:tcW w:w="400" w:type="dxa"/>
            <w:vAlign w:val="bottom"/>
            <w:gridSpan w:val="2"/>
            <w:vMerge w:val="restart"/>
            <w:shd w:val="clear" w:color="auto" w:fill="D5E6F7"/>
          </w:tcPr>
          <w:p>
            <w:pPr>
              <w:jc w:val="right"/>
              <w:ind w:right="162"/>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4</w:t>
            </w:r>
          </w:p>
        </w:tc>
        <w:tc>
          <w:tcPr>
            <w:tcW w:w="20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97"/>
              </w:rPr>
              <w:t>281,815</w:t>
            </w:r>
          </w:p>
        </w:tc>
        <w:tc>
          <w:tcPr>
            <w:tcW w:w="120" w:type="dxa"/>
            <w:vAlign w:val="bottom"/>
            <w:shd w:val="clear" w:color="auto" w:fill="D5E6F7"/>
          </w:tcPr>
          <w:p>
            <w:pPr>
              <w:spacing w:after="0"/>
              <w:rPr>
                <w:sz w:val="9"/>
                <w:szCs w:val="9"/>
                <w:color w:val="auto"/>
              </w:rPr>
            </w:pPr>
          </w:p>
        </w:tc>
        <w:tc>
          <w:tcPr>
            <w:tcW w:w="4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9"/>
                <w:szCs w:val="9"/>
                <w:color w:val="auto"/>
              </w:rPr>
            </w:pPr>
          </w:p>
        </w:tc>
        <w:tc>
          <w:tcPr>
            <w:tcW w:w="420" w:type="dxa"/>
            <w:vAlign w:val="bottom"/>
            <w:vMerge w:val="restart"/>
            <w:shd w:val="clear" w:color="auto" w:fill="D5E6F7"/>
          </w:tcPr>
          <w:p>
            <w:pPr>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9"/>
                <w:szCs w:val="9"/>
                <w:color w:val="auto"/>
              </w:rPr>
            </w:pPr>
          </w:p>
        </w:tc>
        <w:tc>
          <w:tcPr>
            <w:tcW w:w="100" w:type="dxa"/>
            <w:vAlign w:val="bottom"/>
            <w:vMerge w:val="restart"/>
            <w:shd w:val="clear" w:color="auto" w:fill="D5E6F7"/>
          </w:tcPr>
          <w:p>
            <w:pPr>
              <w:ind w:left="20"/>
              <w:spacing w:after="0"/>
              <w:rPr>
                <w:sz w:val="20"/>
                <w:szCs w:val="20"/>
                <w:color w:val="auto"/>
              </w:rPr>
            </w:pPr>
            <w:r>
              <w:rPr>
                <w:rFonts w:ascii="Arial" w:cs="Arial" w:eastAsia="Arial" w:hAnsi="Arial"/>
                <w:sz w:val="13"/>
                <w:szCs w:val="13"/>
                <w:color w:val="auto"/>
                <w:w w:val="82"/>
              </w:rPr>
              <w:t>$</w:t>
            </w: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80" w:type="dxa"/>
            <w:vAlign w:val="bottom"/>
            <w:vMerge w:val="restart"/>
            <w:shd w:val="clear" w:color="auto" w:fill="D5E6F7"/>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160" w:type="dxa"/>
            <w:vAlign w:val="bottom"/>
            <w:vMerge w:val="restart"/>
            <w:shd w:val="clear" w:color="auto" w:fill="D5E6F7"/>
          </w:tcPr>
          <w:p>
            <w:pPr>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1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shd w:val="clear" w:color="auto" w:fill="D5E6F7"/>
          </w:tcPr>
          <w:p>
            <w:pPr>
              <w:jc w:val="right"/>
              <w:ind w:right="60"/>
              <w:spacing w:after="0"/>
              <w:rPr>
                <w:sz w:val="20"/>
                <w:szCs w:val="20"/>
                <w:color w:val="auto"/>
              </w:rPr>
            </w:pPr>
            <w:r>
              <w:rPr>
                <w:rFonts w:ascii="Arial" w:cs="Arial" w:eastAsia="Arial" w:hAnsi="Arial"/>
                <w:sz w:val="13"/>
                <w:szCs w:val="13"/>
                <w:color w:val="auto"/>
              </w:rPr>
              <w:t>(69,396 )</w:t>
            </w:r>
          </w:p>
        </w:tc>
        <w:tc>
          <w:tcPr>
            <w:tcW w:w="1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right w:val="single" w:sz="8" w:color="D5E6F7"/>
            </w:tcBorders>
            <w:vMerge w:val="restart"/>
            <w:shd w:val="clear" w:color="auto" w:fill="D5E6F7"/>
          </w:tcPr>
          <w:p>
            <w:pPr>
              <w:jc w:val="right"/>
              <w:spacing w:after="0"/>
              <w:rPr>
                <w:sz w:val="20"/>
                <w:szCs w:val="20"/>
                <w:color w:val="auto"/>
              </w:rPr>
            </w:pPr>
            <w:r>
              <w:rPr>
                <w:rFonts w:ascii="Arial" w:cs="Arial" w:eastAsia="Arial" w:hAnsi="Arial"/>
                <w:sz w:val="13"/>
                <w:szCs w:val="13"/>
                <w:color w:val="auto"/>
                <w:w w:val="93"/>
              </w:rPr>
              <w:t>212,423</w:t>
            </w:r>
          </w:p>
        </w:tc>
        <w:tc>
          <w:tcPr>
            <w:tcW w:w="0" w:type="dxa"/>
            <w:vAlign w:val="bottom"/>
          </w:tcPr>
          <w:p>
            <w:pPr>
              <w:spacing w:after="0"/>
              <w:rPr>
                <w:sz w:val="1"/>
                <w:szCs w:val="1"/>
                <w:color w:val="auto"/>
              </w:rPr>
            </w:pPr>
          </w:p>
        </w:tc>
      </w:tr>
      <w:tr>
        <w:trPr>
          <w:trHeight w:val="162"/>
        </w:trPr>
        <w:tc>
          <w:tcPr>
            <w:tcW w:w="1300" w:type="dxa"/>
            <w:vAlign w:val="bottom"/>
            <w:shd w:val="clear" w:color="auto" w:fill="D5E6F7"/>
          </w:tcPr>
          <w:p>
            <w:pPr>
              <w:ind w:left="20"/>
              <w:spacing w:after="0"/>
              <w:rPr>
                <w:sz w:val="20"/>
                <w:szCs w:val="20"/>
                <w:color w:val="auto"/>
              </w:rPr>
            </w:pPr>
            <w:r>
              <w:rPr>
                <w:rFonts w:ascii="Arial" w:cs="Arial" w:eastAsia="Arial" w:hAnsi="Arial"/>
                <w:sz w:val="13"/>
                <w:szCs w:val="13"/>
                <w:b w:val="1"/>
                <w:bCs w:val="1"/>
                <w:color w:val="auto"/>
              </w:rPr>
              <w:t>2022</w:t>
            </w:r>
          </w:p>
        </w:tc>
        <w:tc>
          <w:tcPr>
            <w:tcW w:w="800" w:type="dxa"/>
            <w:vAlign w:val="bottom"/>
            <w:vMerge w:val="continue"/>
            <w:shd w:val="clear" w:color="auto" w:fill="D5E6F7"/>
          </w:tcPr>
          <w:p>
            <w:pPr>
              <w:spacing w:after="0"/>
              <w:rPr>
                <w:sz w:val="14"/>
                <w:szCs w:val="14"/>
                <w:color w:val="auto"/>
              </w:rPr>
            </w:pPr>
          </w:p>
        </w:tc>
        <w:tc>
          <w:tcPr>
            <w:tcW w:w="400" w:type="dxa"/>
            <w:vAlign w:val="bottom"/>
            <w:gridSpan w:val="2"/>
            <w:vMerge w:val="continue"/>
            <w:shd w:val="clear" w:color="auto" w:fill="D5E6F7"/>
          </w:tcPr>
          <w:p>
            <w:pPr>
              <w:spacing w:after="0"/>
              <w:rPr>
                <w:sz w:val="14"/>
                <w:szCs w:val="14"/>
                <w:color w:val="auto"/>
              </w:rPr>
            </w:pPr>
          </w:p>
        </w:tc>
        <w:tc>
          <w:tcPr>
            <w:tcW w:w="200" w:type="dxa"/>
            <w:vAlign w:val="bottom"/>
            <w:vMerge w:val="continue"/>
            <w:shd w:val="clear" w:color="auto" w:fill="D5E6F7"/>
          </w:tcPr>
          <w:p>
            <w:pPr>
              <w:spacing w:after="0"/>
              <w:rPr>
                <w:sz w:val="14"/>
                <w:szCs w:val="14"/>
                <w:color w:val="auto"/>
              </w:rPr>
            </w:pPr>
          </w:p>
        </w:tc>
        <w:tc>
          <w:tcPr>
            <w:tcW w:w="780" w:type="dxa"/>
            <w:vAlign w:val="bottom"/>
            <w:gridSpan w:val="2"/>
            <w:vMerge w:val="continue"/>
            <w:shd w:val="clear" w:color="auto" w:fill="D5E6F7"/>
          </w:tcPr>
          <w:p>
            <w:pPr>
              <w:spacing w:after="0"/>
              <w:rPr>
                <w:sz w:val="14"/>
                <w:szCs w:val="14"/>
                <w:color w:val="auto"/>
              </w:rPr>
            </w:pPr>
          </w:p>
        </w:tc>
        <w:tc>
          <w:tcPr>
            <w:tcW w:w="400" w:type="dxa"/>
            <w:vAlign w:val="bottom"/>
            <w:gridSpan w:val="2"/>
            <w:vMerge w:val="continue"/>
            <w:shd w:val="clear" w:color="auto" w:fill="D5E6F7"/>
          </w:tcPr>
          <w:p>
            <w:pPr>
              <w:spacing w:after="0"/>
              <w:rPr>
                <w:sz w:val="14"/>
                <w:szCs w:val="14"/>
                <w:color w:val="auto"/>
              </w:rPr>
            </w:pPr>
          </w:p>
        </w:tc>
        <w:tc>
          <w:tcPr>
            <w:tcW w:w="160" w:type="dxa"/>
            <w:vAlign w:val="bottom"/>
            <w:vMerge w:val="continue"/>
            <w:shd w:val="clear" w:color="auto" w:fill="D5E6F7"/>
          </w:tcPr>
          <w:p>
            <w:pPr>
              <w:spacing w:after="0"/>
              <w:rPr>
                <w:sz w:val="14"/>
                <w:szCs w:val="14"/>
                <w:color w:val="auto"/>
              </w:rPr>
            </w:pPr>
          </w:p>
        </w:tc>
        <w:tc>
          <w:tcPr>
            <w:tcW w:w="200" w:type="dxa"/>
            <w:vAlign w:val="bottom"/>
            <w:gridSpan w:val="2"/>
            <w:vMerge w:val="continue"/>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44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420" w:type="dxa"/>
            <w:vAlign w:val="bottom"/>
            <w:vMerge w:val="continue"/>
            <w:shd w:val="clear" w:color="auto" w:fill="D5E6F7"/>
          </w:tcPr>
          <w:p>
            <w:pPr>
              <w:spacing w:after="0"/>
              <w:rPr>
                <w:sz w:val="14"/>
                <w:szCs w:val="14"/>
                <w:color w:val="auto"/>
              </w:rPr>
            </w:pPr>
          </w:p>
        </w:tc>
        <w:tc>
          <w:tcPr>
            <w:tcW w:w="80" w:type="dxa"/>
            <w:vAlign w:val="bottom"/>
            <w:vMerge w:val="continue"/>
            <w:shd w:val="clear" w:color="auto" w:fill="D5E6F7"/>
          </w:tcPr>
          <w:p>
            <w:pPr>
              <w:spacing w:after="0"/>
              <w:rPr>
                <w:sz w:val="14"/>
                <w:szCs w:val="14"/>
                <w:color w:val="auto"/>
              </w:rPr>
            </w:pPr>
          </w:p>
        </w:tc>
        <w:tc>
          <w:tcPr>
            <w:tcW w:w="58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vMerge w:val="continue"/>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vMerge w:val="continue"/>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60" w:type="dxa"/>
            <w:vAlign w:val="bottom"/>
            <w:vMerge w:val="continue"/>
            <w:shd w:val="clear" w:color="auto" w:fill="D5E6F7"/>
          </w:tcPr>
          <w:p>
            <w:pPr>
              <w:spacing w:after="0"/>
              <w:rPr>
                <w:sz w:val="14"/>
                <w:szCs w:val="14"/>
                <w:color w:val="auto"/>
              </w:rPr>
            </w:pPr>
          </w:p>
        </w:tc>
        <w:tc>
          <w:tcPr>
            <w:tcW w:w="4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40" w:type="dxa"/>
            <w:vAlign w:val="bottom"/>
            <w:vMerge w:val="continue"/>
            <w:shd w:val="clear" w:color="auto" w:fill="D5E6F7"/>
          </w:tcPr>
          <w:p>
            <w:pPr>
              <w:spacing w:after="0"/>
              <w:rPr>
                <w:sz w:val="14"/>
                <w:szCs w:val="14"/>
                <w:color w:val="auto"/>
              </w:rPr>
            </w:pPr>
          </w:p>
        </w:tc>
        <w:tc>
          <w:tcPr>
            <w:tcW w:w="660" w:type="dxa"/>
            <w:vAlign w:val="bottom"/>
            <w:gridSpan w:val="2"/>
            <w:vMerge w:val="continue"/>
            <w:shd w:val="clear" w:color="auto" w:fill="D5E6F7"/>
          </w:tcPr>
          <w:p>
            <w:pPr>
              <w:spacing w:after="0"/>
              <w:rPr>
                <w:sz w:val="14"/>
                <w:szCs w:val="14"/>
                <w:color w:val="auto"/>
              </w:rPr>
            </w:pPr>
          </w:p>
        </w:tc>
        <w:tc>
          <w:tcPr>
            <w:tcW w:w="100" w:type="dxa"/>
            <w:vAlign w:val="bottom"/>
            <w:vMerge w:val="continue"/>
            <w:shd w:val="clear" w:color="auto" w:fill="D5E6F7"/>
          </w:tcPr>
          <w:p>
            <w:pPr>
              <w:spacing w:after="0"/>
              <w:rPr>
                <w:sz w:val="14"/>
                <w:szCs w:val="14"/>
                <w:color w:val="auto"/>
              </w:rPr>
            </w:pPr>
          </w:p>
        </w:tc>
        <w:tc>
          <w:tcPr>
            <w:tcW w:w="520" w:type="dxa"/>
            <w:vAlign w:val="bottom"/>
            <w:tcBorders>
              <w:right w:val="single" w:sz="8" w:color="D5E6F7"/>
            </w:tcBorders>
            <w:vMerge w:val="continue"/>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Pr>
          <w:p>
            <w:pPr>
              <w:ind w:left="100"/>
              <w:spacing w:after="0" w:line="108" w:lineRule="exact"/>
              <w:rPr>
                <w:sz w:val="20"/>
                <w:szCs w:val="20"/>
                <w:color w:val="auto"/>
              </w:rPr>
            </w:pPr>
            <w:r>
              <w:rPr>
                <w:rFonts w:ascii="Arial" w:cs="Arial" w:eastAsia="Arial" w:hAnsi="Arial"/>
                <w:sz w:val="12"/>
                <w:szCs w:val="12"/>
                <w:color w:val="auto"/>
              </w:rPr>
              <w:t>Stock-based</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362</w:t>
            </w: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61"/>
        </w:trPr>
        <w:tc>
          <w:tcPr>
            <w:tcW w:w="1300" w:type="dxa"/>
            <w:vAlign w:val="bottom"/>
          </w:tcPr>
          <w:p>
            <w:pPr>
              <w:ind w:left="100"/>
              <w:spacing w:after="0"/>
              <w:rPr>
                <w:sz w:val="20"/>
                <w:szCs w:val="20"/>
                <w:color w:val="auto"/>
              </w:rPr>
            </w:pPr>
            <w:r>
              <w:rPr>
                <w:rFonts w:ascii="Arial" w:cs="Arial" w:eastAsia="Arial" w:hAnsi="Arial"/>
                <w:sz w:val="13"/>
                <w:szCs w:val="13"/>
                <w:color w:val="auto"/>
                <w:w w:val="88"/>
              </w:rPr>
              <w:t>compensation expense</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D5E6F7"/>
          </w:tcPr>
          <w:p>
            <w:pPr>
              <w:ind w:left="100"/>
              <w:spacing w:after="0" w:line="109" w:lineRule="exact"/>
              <w:rPr>
                <w:sz w:val="20"/>
                <w:szCs w:val="20"/>
                <w:color w:val="auto"/>
              </w:rPr>
            </w:pPr>
            <w:r>
              <w:rPr>
                <w:rFonts w:ascii="Arial" w:cs="Arial" w:eastAsia="Arial" w:hAnsi="Arial"/>
                <w:sz w:val="12"/>
                <w:szCs w:val="12"/>
                <w:color w:val="auto"/>
                <w:w w:val="95"/>
              </w:rPr>
              <w:t>Issuance of shares, net</w:t>
            </w:r>
          </w:p>
        </w:tc>
        <w:tc>
          <w:tcPr>
            <w:tcW w:w="8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66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5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44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8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5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54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520" w:type="dxa"/>
            <w:vAlign w:val="bottom"/>
            <w:tcBorders>
              <w:right w:val="single" w:sz="8" w:color="D5E6F7"/>
            </w:tcBorders>
            <w:shd w:val="clear" w:color="auto" w:fill="D5E6F7"/>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0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rPr>
              <w:t>of issuance costs of</w:t>
            </w:r>
          </w:p>
        </w:tc>
        <w:tc>
          <w:tcPr>
            <w:tcW w:w="8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2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415,000</w:t>
            </w: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3,791</w:t>
            </w:r>
          </w:p>
        </w:tc>
        <w:tc>
          <w:tcPr>
            <w:tcW w:w="120" w:type="dxa"/>
            <w:vAlign w:val="bottom"/>
            <w:shd w:val="clear" w:color="auto" w:fill="D5E6F7"/>
          </w:tcPr>
          <w:p>
            <w:pPr>
              <w:spacing w:after="0"/>
              <w:rPr>
                <w:sz w:val="10"/>
                <w:szCs w:val="10"/>
                <w:color w:val="auto"/>
              </w:rPr>
            </w:pPr>
          </w:p>
        </w:tc>
        <w:tc>
          <w:tcPr>
            <w:tcW w:w="4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20" w:type="dxa"/>
            <w:vAlign w:val="bottom"/>
            <w:tcBorders>
              <w:right w:val="single" w:sz="8" w:color="D5E6F7"/>
            </w:tcBorders>
            <w:vMerge w:val="restart"/>
            <w:shd w:val="clear" w:color="auto" w:fill="D5E6F7"/>
          </w:tcPr>
          <w:p>
            <w:pPr>
              <w:jc w:val="right"/>
              <w:spacing w:after="0"/>
              <w:rPr>
                <w:sz w:val="20"/>
                <w:szCs w:val="20"/>
                <w:color w:val="auto"/>
              </w:rPr>
            </w:pPr>
            <w:r>
              <w:rPr>
                <w:rFonts w:ascii="Arial" w:cs="Arial" w:eastAsia="Arial" w:hAnsi="Arial"/>
                <w:sz w:val="13"/>
                <w:szCs w:val="13"/>
                <w:color w:val="auto"/>
              </w:rPr>
              <w:t>3,791</w:t>
            </w:r>
          </w:p>
        </w:tc>
        <w:tc>
          <w:tcPr>
            <w:tcW w:w="0" w:type="dxa"/>
            <w:vAlign w:val="bottom"/>
          </w:tcPr>
          <w:p>
            <w:pPr>
              <w:spacing w:after="0"/>
              <w:rPr>
                <w:sz w:val="1"/>
                <w:szCs w:val="1"/>
                <w:color w:val="auto"/>
              </w:rPr>
            </w:pPr>
          </w:p>
        </w:tc>
      </w:tr>
      <w:tr>
        <w:trPr>
          <w:trHeight w:val="162"/>
        </w:trPr>
        <w:tc>
          <w:tcPr>
            <w:tcW w:w="1300" w:type="dxa"/>
            <w:vAlign w:val="bottom"/>
            <w:shd w:val="clear" w:color="auto" w:fill="D5E6F7"/>
          </w:tcPr>
          <w:p>
            <w:pPr>
              <w:ind w:left="100"/>
              <w:spacing w:after="0"/>
              <w:rPr>
                <w:sz w:val="20"/>
                <w:szCs w:val="20"/>
                <w:color w:val="auto"/>
              </w:rPr>
            </w:pPr>
            <w:r>
              <w:rPr>
                <w:rFonts w:ascii="Arial" w:cs="Arial" w:eastAsia="Arial" w:hAnsi="Arial"/>
                <w:sz w:val="13"/>
                <w:szCs w:val="13"/>
                <w:color w:val="auto"/>
              </w:rPr>
              <w:t>$147</w:t>
            </w:r>
          </w:p>
        </w:tc>
        <w:tc>
          <w:tcPr>
            <w:tcW w:w="80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200" w:type="dxa"/>
            <w:vAlign w:val="bottom"/>
            <w:vMerge w:val="continue"/>
            <w:shd w:val="clear" w:color="auto" w:fill="D5E6F7"/>
          </w:tcPr>
          <w:p>
            <w:pPr>
              <w:spacing w:after="0"/>
              <w:rPr>
                <w:sz w:val="14"/>
                <w:szCs w:val="14"/>
                <w:color w:val="auto"/>
              </w:rPr>
            </w:pPr>
          </w:p>
        </w:tc>
        <w:tc>
          <w:tcPr>
            <w:tcW w:w="78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16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44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420" w:type="dxa"/>
            <w:vAlign w:val="bottom"/>
            <w:shd w:val="clear" w:color="auto" w:fill="D5E6F7"/>
          </w:tcPr>
          <w:p>
            <w:pPr>
              <w:spacing w:after="0"/>
              <w:rPr>
                <w:sz w:val="14"/>
                <w:szCs w:val="14"/>
                <w:color w:val="auto"/>
              </w:rPr>
            </w:pPr>
          </w:p>
        </w:tc>
        <w:tc>
          <w:tcPr>
            <w:tcW w:w="80" w:type="dxa"/>
            <w:vAlign w:val="bottom"/>
            <w:vMerge w:val="continue"/>
            <w:shd w:val="clear" w:color="auto" w:fill="D5E6F7"/>
          </w:tcPr>
          <w:p>
            <w:pPr>
              <w:spacing w:after="0"/>
              <w:rPr>
                <w:sz w:val="14"/>
                <w:szCs w:val="14"/>
                <w:color w:val="auto"/>
              </w:rPr>
            </w:pPr>
          </w:p>
        </w:tc>
        <w:tc>
          <w:tcPr>
            <w:tcW w:w="58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80" w:type="dxa"/>
            <w:vAlign w:val="bottom"/>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40" w:type="dxa"/>
            <w:vAlign w:val="bottom"/>
            <w:shd w:val="clear" w:color="auto" w:fill="D5E6F7"/>
          </w:tcPr>
          <w:p>
            <w:pPr>
              <w:spacing w:after="0"/>
              <w:rPr>
                <w:sz w:val="14"/>
                <w:szCs w:val="14"/>
                <w:color w:val="auto"/>
              </w:rPr>
            </w:pPr>
          </w:p>
        </w:tc>
        <w:tc>
          <w:tcPr>
            <w:tcW w:w="54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520" w:type="dxa"/>
            <w:vAlign w:val="bottom"/>
            <w:tcBorders>
              <w:right w:val="single" w:sz="8" w:color="D5E6F7"/>
            </w:tcBorders>
            <w:vMerge w:val="continue"/>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Pr>
          <w:p>
            <w:pPr>
              <w:ind w:left="100"/>
              <w:spacing w:after="0" w:line="108" w:lineRule="exact"/>
              <w:rPr>
                <w:sz w:val="20"/>
                <w:szCs w:val="20"/>
                <w:color w:val="auto"/>
              </w:rPr>
            </w:pPr>
            <w:r>
              <w:rPr>
                <w:rFonts w:ascii="Arial" w:cs="Arial" w:eastAsia="Arial" w:hAnsi="Arial"/>
                <w:sz w:val="12"/>
                <w:szCs w:val="12"/>
                <w:color w:val="auto"/>
                <w:w w:val="91"/>
              </w:rPr>
              <w:t>Restricted shares award</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100"/>
              <w:spacing w:after="0" w:line="122" w:lineRule="exact"/>
              <w:rPr>
                <w:sz w:val="20"/>
                <w:szCs w:val="20"/>
                <w:color w:val="auto"/>
              </w:rPr>
            </w:pPr>
            <w:r>
              <w:rPr>
                <w:rFonts w:ascii="Arial" w:cs="Arial" w:eastAsia="Arial" w:hAnsi="Arial"/>
                <w:sz w:val="13"/>
                <w:szCs w:val="13"/>
                <w:color w:val="auto"/>
              </w:rPr>
              <w:t>issuance, net of</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82,601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(65 )</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(65 )</w:t>
            </w:r>
          </w:p>
        </w:tc>
        <w:tc>
          <w:tcPr>
            <w:tcW w:w="0" w:type="dxa"/>
            <w:vAlign w:val="bottom"/>
          </w:tcPr>
          <w:p>
            <w:pPr>
              <w:spacing w:after="0"/>
              <w:rPr>
                <w:sz w:val="1"/>
                <w:szCs w:val="1"/>
                <w:color w:val="auto"/>
              </w:rPr>
            </w:pPr>
          </w:p>
        </w:tc>
      </w:tr>
      <w:tr>
        <w:trPr>
          <w:trHeight w:val="161"/>
        </w:trPr>
        <w:tc>
          <w:tcPr>
            <w:tcW w:w="1300" w:type="dxa"/>
            <w:vAlign w:val="bottom"/>
          </w:tcPr>
          <w:p>
            <w:pPr>
              <w:ind w:left="100"/>
              <w:spacing w:after="0"/>
              <w:rPr>
                <w:sz w:val="20"/>
                <w:szCs w:val="20"/>
                <w:color w:val="auto"/>
              </w:rPr>
            </w:pPr>
            <w:r>
              <w:rPr>
                <w:rFonts w:ascii="Arial" w:cs="Arial" w:eastAsia="Arial" w:hAnsi="Arial"/>
                <w:sz w:val="13"/>
                <w:szCs w:val="13"/>
                <w:color w:val="auto"/>
              </w:rPr>
              <w:t>withholdings</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D5E6F7"/>
          </w:tcPr>
          <w:p>
            <w:pPr>
              <w:ind w:left="100"/>
              <w:spacing w:after="0" w:line="109" w:lineRule="exact"/>
              <w:rPr>
                <w:sz w:val="20"/>
                <w:szCs w:val="20"/>
                <w:color w:val="auto"/>
              </w:rPr>
            </w:pPr>
            <w:r>
              <w:rPr>
                <w:rFonts w:ascii="Arial" w:cs="Arial" w:eastAsia="Arial" w:hAnsi="Arial"/>
                <w:sz w:val="12"/>
                <w:szCs w:val="12"/>
                <w:color w:val="auto"/>
              </w:rPr>
              <w:t>Proceeds from stock</w:t>
            </w:r>
          </w:p>
        </w:tc>
        <w:tc>
          <w:tcPr>
            <w:tcW w:w="8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2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334</w:t>
            </w:r>
          </w:p>
        </w:tc>
        <w:tc>
          <w:tcPr>
            <w:tcW w:w="10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1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D5E6F7"/>
          </w:tcPr>
          <w:p>
            <w:pPr>
              <w:spacing w:after="0"/>
              <w:rPr>
                <w:sz w:val="9"/>
                <w:szCs w:val="9"/>
                <w:color w:val="auto"/>
              </w:rPr>
            </w:pPr>
          </w:p>
        </w:tc>
        <w:tc>
          <w:tcPr>
            <w:tcW w:w="4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5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520" w:type="dxa"/>
            <w:vAlign w:val="bottom"/>
            <w:tcBorders>
              <w:right w:val="single" w:sz="8" w:color="D5E6F7"/>
            </w:tcBorders>
            <w:vMerge w:val="restart"/>
            <w:shd w:val="clear" w:color="auto" w:fill="D5E6F7"/>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1300" w:type="dxa"/>
            <w:vAlign w:val="bottom"/>
            <w:shd w:val="clear" w:color="auto" w:fill="D5E6F7"/>
          </w:tcPr>
          <w:p>
            <w:pPr>
              <w:ind w:left="100"/>
              <w:spacing w:after="0"/>
              <w:rPr>
                <w:sz w:val="20"/>
                <w:szCs w:val="20"/>
                <w:color w:val="auto"/>
              </w:rPr>
            </w:pPr>
            <w:r>
              <w:rPr>
                <w:rFonts w:ascii="Arial" w:cs="Arial" w:eastAsia="Arial" w:hAnsi="Arial"/>
                <w:sz w:val="13"/>
                <w:szCs w:val="13"/>
                <w:color w:val="auto"/>
              </w:rPr>
              <w:t>options exercised</w:t>
            </w:r>
          </w:p>
        </w:tc>
        <w:tc>
          <w:tcPr>
            <w:tcW w:w="80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200" w:type="dxa"/>
            <w:vAlign w:val="bottom"/>
            <w:vMerge w:val="continue"/>
            <w:shd w:val="clear" w:color="auto" w:fill="D5E6F7"/>
          </w:tcPr>
          <w:p>
            <w:pPr>
              <w:spacing w:after="0"/>
              <w:rPr>
                <w:sz w:val="14"/>
                <w:szCs w:val="14"/>
                <w:color w:val="auto"/>
              </w:rPr>
            </w:pPr>
          </w:p>
        </w:tc>
        <w:tc>
          <w:tcPr>
            <w:tcW w:w="78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16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44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420" w:type="dxa"/>
            <w:vAlign w:val="bottom"/>
            <w:shd w:val="clear" w:color="auto" w:fill="D5E6F7"/>
          </w:tcPr>
          <w:p>
            <w:pPr>
              <w:spacing w:after="0"/>
              <w:rPr>
                <w:sz w:val="14"/>
                <w:szCs w:val="14"/>
                <w:color w:val="auto"/>
              </w:rPr>
            </w:pPr>
          </w:p>
        </w:tc>
        <w:tc>
          <w:tcPr>
            <w:tcW w:w="80" w:type="dxa"/>
            <w:vAlign w:val="bottom"/>
            <w:vMerge w:val="continue"/>
            <w:shd w:val="clear" w:color="auto" w:fill="D5E6F7"/>
          </w:tcPr>
          <w:p>
            <w:pPr>
              <w:spacing w:after="0"/>
              <w:rPr>
                <w:sz w:val="14"/>
                <w:szCs w:val="14"/>
                <w:color w:val="auto"/>
              </w:rPr>
            </w:pPr>
          </w:p>
        </w:tc>
        <w:tc>
          <w:tcPr>
            <w:tcW w:w="58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80" w:type="dxa"/>
            <w:vAlign w:val="bottom"/>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40" w:type="dxa"/>
            <w:vAlign w:val="bottom"/>
            <w:shd w:val="clear" w:color="auto" w:fill="D5E6F7"/>
          </w:tcPr>
          <w:p>
            <w:pPr>
              <w:spacing w:after="0"/>
              <w:rPr>
                <w:sz w:val="14"/>
                <w:szCs w:val="14"/>
                <w:color w:val="auto"/>
              </w:rPr>
            </w:pPr>
          </w:p>
        </w:tc>
        <w:tc>
          <w:tcPr>
            <w:tcW w:w="54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520" w:type="dxa"/>
            <w:vAlign w:val="bottom"/>
            <w:tcBorders>
              <w:right w:val="single" w:sz="8" w:color="D5E6F7"/>
            </w:tcBorders>
            <w:vMerge w:val="continue"/>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Pr>
          <w:p>
            <w:pPr>
              <w:ind w:left="100"/>
              <w:spacing w:after="0" w:line="108" w:lineRule="exact"/>
              <w:rPr>
                <w:sz w:val="20"/>
                <w:szCs w:val="20"/>
                <w:color w:val="auto"/>
              </w:rPr>
            </w:pPr>
            <w:r>
              <w:rPr>
                <w:rFonts w:ascii="Arial" w:cs="Arial" w:eastAsia="Arial" w:hAnsi="Arial"/>
                <w:sz w:val="12"/>
                <w:szCs w:val="12"/>
                <w:color w:val="auto"/>
              </w:rPr>
              <w:t>Foreign currency</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(32 )</w:t>
            </w: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160"/>
        </w:trPr>
        <w:tc>
          <w:tcPr>
            <w:tcW w:w="1300" w:type="dxa"/>
            <w:vAlign w:val="bottom"/>
          </w:tcPr>
          <w:p>
            <w:pPr>
              <w:ind w:left="100"/>
              <w:spacing w:after="0"/>
              <w:rPr>
                <w:sz w:val="20"/>
                <w:szCs w:val="20"/>
                <w:color w:val="auto"/>
              </w:rPr>
            </w:pPr>
            <w:r>
              <w:rPr>
                <w:rFonts w:ascii="Arial" w:cs="Arial" w:eastAsia="Arial" w:hAnsi="Arial"/>
                <w:sz w:val="13"/>
                <w:szCs w:val="13"/>
                <w:color w:val="auto"/>
                <w:w w:val="92"/>
              </w:rPr>
              <w:t>translation adjustment</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00" w:type="dxa"/>
            <w:vAlign w:val="bottom"/>
            <w:shd w:val="clear" w:color="auto" w:fill="D5E6F7"/>
          </w:tcPr>
          <w:p>
            <w:pPr>
              <w:ind w:left="100"/>
              <w:spacing w:after="0"/>
              <w:rPr>
                <w:sz w:val="20"/>
                <w:szCs w:val="20"/>
                <w:color w:val="auto"/>
              </w:rPr>
            </w:pPr>
            <w:r>
              <w:rPr>
                <w:rFonts w:ascii="Arial" w:cs="Arial" w:eastAsia="Arial" w:hAnsi="Arial"/>
                <w:sz w:val="13"/>
                <w:szCs w:val="13"/>
                <w:color w:val="auto"/>
              </w:rPr>
              <w:t>Net loss</w:t>
            </w:r>
          </w:p>
        </w:tc>
        <w:tc>
          <w:tcPr>
            <w:tcW w:w="80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3"/>
                <w:szCs w:val="13"/>
                <w:color w:val="auto"/>
              </w:rPr>
            </w:pPr>
          </w:p>
        </w:tc>
        <w:tc>
          <w:tcPr>
            <w:tcW w:w="300" w:type="dxa"/>
            <w:vAlign w:val="bottom"/>
            <w:shd w:val="clear" w:color="auto" w:fill="D5E6F7"/>
          </w:tcPr>
          <w:p>
            <w:pPr>
              <w:spacing w:after="0"/>
              <w:rPr>
                <w:sz w:val="13"/>
                <w:szCs w:val="13"/>
                <w:color w:val="auto"/>
              </w:rPr>
            </w:pPr>
          </w:p>
        </w:tc>
        <w:tc>
          <w:tcPr>
            <w:tcW w:w="20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3"/>
                <w:szCs w:val="13"/>
                <w:color w:val="auto"/>
              </w:rPr>
            </w:pPr>
          </w:p>
        </w:tc>
        <w:tc>
          <w:tcPr>
            <w:tcW w:w="66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3"/>
                <w:szCs w:val="13"/>
                <w:color w:val="auto"/>
              </w:rPr>
            </w:pPr>
          </w:p>
        </w:tc>
        <w:tc>
          <w:tcPr>
            <w:tcW w:w="300" w:type="dxa"/>
            <w:vAlign w:val="bottom"/>
            <w:shd w:val="clear" w:color="auto" w:fill="D5E6F7"/>
          </w:tcPr>
          <w:p>
            <w:pPr>
              <w:spacing w:after="0"/>
              <w:rPr>
                <w:sz w:val="13"/>
                <w:szCs w:val="13"/>
                <w:color w:val="auto"/>
              </w:rPr>
            </w:pPr>
          </w:p>
        </w:tc>
        <w:tc>
          <w:tcPr>
            <w:tcW w:w="16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3"/>
                <w:szCs w:val="13"/>
                <w:color w:val="auto"/>
              </w:rPr>
            </w:pPr>
          </w:p>
        </w:tc>
        <w:tc>
          <w:tcPr>
            <w:tcW w:w="80" w:type="dxa"/>
            <w:vAlign w:val="bottom"/>
            <w:shd w:val="clear" w:color="auto" w:fill="D5E6F7"/>
          </w:tcPr>
          <w:p>
            <w:pPr>
              <w:spacing w:after="0"/>
              <w:rPr>
                <w:sz w:val="13"/>
                <w:szCs w:val="13"/>
                <w:color w:val="auto"/>
              </w:rPr>
            </w:pPr>
          </w:p>
        </w:tc>
        <w:tc>
          <w:tcPr>
            <w:tcW w:w="50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3"/>
                <w:szCs w:val="13"/>
                <w:color w:val="auto"/>
              </w:rPr>
            </w:pPr>
          </w:p>
        </w:tc>
        <w:tc>
          <w:tcPr>
            <w:tcW w:w="44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3"/>
                <w:szCs w:val="13"/>
                <w:color w:val="auto"/>
              </w:rPr>
            </w:pPr>
          </w:p>
        </w:tc>
        <w:tc>
          <w:tcPr>
            <w:tcW w:w="420" w:type="dxa"/>
            <w:vAlign w:val="bottom"/>
            <w:shd w:val="clear" w:color="auto" w:fill="D5E6F7"/>
          </w:tcPr>
          <w:p>
            <w:pPr>
              <w:spacing w:after="0"/>
              <w:rPr>
                <w:sz w:val="13"/>
                <w:szCs w:val="13"/>
                <w:color w:val="auto"/>
              </w:rPr>
            </w:pPr>
          </w:p>
        </w:tc>
        <w:tc>
          <w:tcPr>
            <w:tcW w:w="80" w:type="dxa"/>
            <w:vAlign w:val="bottom"/>
            <w:shd w:val="clear" w:color="auto" w:fill="D5E6F7"/>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D5E6F7"/>
          </w:tcPr>
          <w:p>
            <w:pPr>
              <w:spacing w:after="0"/>
              <w:rPr>
                <w:sz w:val="13"/>
                <w:szCs w:val="13"/>
                <w:color w:val="auto"/>
              </w:rPr>
            </w:pPr>
          </w:p>
        </w:tc>
        <w:tc>
          <w:tcPr>
            <w:tcW w:w="4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3"/>
                <w:szCs w:val="13"/>
                <w:color w:val="auto"/>
              </w:rPr>
            </w:pPr>
          </w:p>
        </w:tc>
        <w:tc>
          <w:tcPr>
            <w:tcW w:w="100" w:type="dxa"/>
            <w:vAlign w:val="bottom"/>
            <w:shd w:val="clear" w:color="auto" w:fill="D5E6F7"/>
          </w:tcPr>
          <w:p>
            <w:pPr>
              <w:spacing w:after="0"/>
              <w:rPr>
                <w:sz w:val="13"/>
                <w:szCs w:val="13"/>
                <w:color w:val="auto"/>
              </w:rPr>
            </w:pPr>
          </w:p>
        </w:tc>
        <w:tc>
          <w:tcPr>
            <w:tcW w:w="3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3"/>
                <w:szCs w:val="13"/>
                <w:color w:val="auto"/>
              </w:rPr>
            </w:pPr>
          </w:p>
        </w:tc>
        <w:tc>
          <w:tcPr>
            <w:tcW w:w="50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3"/>
                <w:szCs w:val="13"/>
                <w:color w:val="auto"/>
              </w:rPr>
            </w:pPr>
          </w:p>
        </w:tc>
        <w:tc>
          <w:tcPr>
            <w:tcW w:w="80" w:type="dxa"/>
            <w:vAlign w:val="bottom"/>
            <w:shd w:val="clear" w:color="auto" w:fill="D5E6F7"/>
          </w:tcPr>
          <w:p>
            <w:pPr>
              <w:spacing w:after="0"/>
              <w:rPr>
                <w:sz w:val="13"/>
                <w:szCs w:val="13"/>
                <w:color w:val="auto"/>
              </w:rPr>
            </w:pPr>
          </w:p>
        </w:tc>
        <w:tc>
          <w:tcPr>
            <w:tcW w:w="48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3"/>
                <w:szCs w:val="13"/>
                <w:color w:val="auto"/>
              </w:rPr>
            </w:pPr>
          </w:p>
        </w:tc>
        <w:tc>
          <w:tcPr>
            <w:tcW w:w="80" w:type="dxa"/>
            <w:vAlign w:val="bottom"/>
            <w:shd w:val="clear" w:color="auto" w:fill="D5E6F7"/>
          </w:tcPr>
          <w:p>
            <w:pPr>
              <w:spacing w:after="0"/>
              <w:rPr>
                <w:sz w:val="13"/>
                <w:szCs w:val="13"/>
                <w:color w:val="auto"/>
              </w:rPr>
            </w:pPr>
          </w:p>
        </w:tc>
        <w:tc>
          <w:tcPr>
            <w:tcW w:w="460" w:type="dxa"/>
            <w:vAlign w:val="bottom"/>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3"/>
                <w:szCs w:val="13"/>
                <w:color w:val="auto"/>
              </w:rPr>
            </w:pPr>
          </w:p>
        </w:tc>
        <w:tc>
          <w:tcPr>
            <w:tcW w:w="160" w:type="dxa"/>
            <w:vAlign w:val="bottom"/>
            <w:shd w:val="clear" w:color="auto" w:fill="D5E6F7"/>
          </w:tcPr>
          <w:p>
            <w:pPr>
              <w:spacing w:after="0"/>
              <w:rPr>
                <w:sz w:val="13"/>
                <w:szCs w:val="13"/>
                <w:color w:val="auto"/>
              </w:rPr>
            </w:pPr>
          </w:p>
        </w:tc>
        <w:tc>
          <w:tcPr>
            <w:tcW w:w="400" w:type="dxa"/>
            <w:vAlign w:val="bottom"/>
            <w:shd w:val="clear" w:color="auto" w:fill="D5E6F7"/>
          </w:tcPr>
          <w:p>
            <w:pPr>
              <w:spacing w:after="0"/>
              <w:rPr>
                <w:sz w:val="13"/>
                <w:szCs w:val="13"/>
                <w:color w:val="auto"/>
              </w:rPr>
            </w:pPr>
          </w:p>
        </w:tc>
        <w:tc>
          <w:tcPr>
            <w:tcW w:w="120" w:type="dxa"/>
            <w:vAlign w:val="bottom"/>
            <w:shd w:val="clear" w:color="auto" w:fill="D5E6F7"/>
          </w:tcPr>
          <w:p>
            <w:pPr>
              <w:spacing w:after="0"/>
              <w:rPr>
                <w:sz w:val="13"/>
                <w:szCs w:val="13"/>
                <w:color w:val="auto"/>
              </w:rPr>
            </w:pPr>
          </w:p>
        </w:tc>
        <w:tc>
          <w:tcPr>
            <w:tcW w:w="140" w:type="dxa"/>
            <w:vAlign w:val="bottom"/>
            <w:shd w:val="clear" w:color="auto" w:fill="D5E6F7"/>
          </w:tcPr>
          <w:p>
            <w:pPr>
              <w:spacing w:after="0"/>
              <w:rPr>
                <w:sz w:val="13"/>
                <w:szCs w:val="13"/>
                <w:color w:val="auto"/>
              </w:rPr>
            </w:pPr>
          </w:p>
        </w:tc>
        <w:tc>
          <w:tcPr>
            <w:tcW w:w="660" w:type="dxa"/>
            <w:vAlign w:val="bottom"/>
            <w:gridSpan w:val="2"/>
            <w:shd w:val="clear" w:color="auto" w:fill="D5E6F7"/>
          </w:tcPr>
          <w:p>
            <w:pPr>
              <w:jc w:val="right"/>
              <w:ind w:right="60"/>
              <w:spacing w:after="0"/>
              <w:rPr>
                <w:sz w:val="20"/>
                <w:szCs w:val="20"/>
                <w:color w:val="auto"/>
              </w:rPr>
            </w:pPr>
            <w:r>
              <w:rPr>
                <w:rFonts w:ascii="Arial" w:cs="Arial" w:eastAsia="Arial" w:hAnsi="Arial"/>
                <w:sz w:val="13"/>
                <w:szCs w:val="13"/>
                <w:color w:val="auto"/>
              </w:rPr>
              <w:t>(429 )</w:t>
            </w:r>
          </w:p>
        </w:tc>
        <w:tc>
          <w:tcPr>
            <w:tcW w:w="100" w:type="dxa"/>
            <w:vAlign w:val="bottom"/>
            <w:shd w:val="clear" w:color="auto" w:fill="D5E6F7"/>
          </w:tcPr>
          <w:p>
            <w:pPr>
              <w:spacing w:after="0"/>
              <w:rPr>
                <w:sz w:val="13"/>
                <w:szCs w:val="13"/>
                <w:color w:val="auto"/>
              </w:rPr>
            </w:pPr>
          </w:p>
        </w:tc>
        <w:tc>
          <w:tcPr>
            <w:tcW w:w="520" w:type="dxa"/>
            <w:vAlign w:val="bottom"/>
            <w:tcBorders>
              <w:right w:val="single" w:sz="8" w:color="D5E6F7"/>
            </w:tcBorders>
            <w:shd w:val="clear" w:color="auto" w:fill="D5E6F7"/>
          </w:tcPr>
          <w:p>
            <w:pPr>
              <w:jc w:val="right"/>
              <w:spacing w:after="0"/>
              <w:rPr>
                <w:sz w:val="20"/>
                <w:szCs w:val="20"/>
                <w:color w:val="auto"/>
              </w:rPr>
            </w:pPr>
            <w:r>
              <w:rPr>
                <w:rFonts w:ascii="Arial" w:cs="Arial" w:eastAsia="Arial" w:hAnsi="Arial"/>
                <w:sz w:val="13"/>
                <w:szCs w:val="13"/>
                <w:color w:val="auto"/>
              </w:rPr>
              <w:t>(429 )</w:t>
            </w:r>
          </w:p>
        </w:tc>
        <w:tc>
          <w:tcPr>
            <w:tcW w:w="0" w:type="dxa"/>
            <w:vAlign w:val="bottom"/>
          </w:tcPr>
          <w:p>
            <w:pPr>
              <w:spacing w:after="0"/>
              <w:rPr>
                <w:sz w:val="1"/>
                <w:szCs w:val="1"/>
                <w:color w:val="auto"/>
              </w:rPr>
            </w:pPr>
          </w:p>
        </w:tc>
      </w:tr>
      <w:tr>
        <w:trPr>
          <w:trHeight w:val="20"/>
        </w:trPr>
        <w:tc>
          <w:tcPr>
            <w:tcW w:w="1300" w:type="dxa"/>
            <w:vAlign w:val="bottom"/>
            <w:shd w:val="clear" w:color="auto" w:fill="D5E6F7"/>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D5E6F7"/>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5E6F7"/>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D5E6F7"/>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3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at March 31,</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8"/>
                <w:szCs w:val="8"/>
                <w:color w:val="auto"/>
              </w:rPr>
            </w:pPr>
          </w:p>
        </w:tc>
        <w:tc>
          <w:tcPr>
            <w:tcW w:w="300" w:type="dxa"/>
            <w:vAlign w:val="bottom"/>
            <w:vMerge w:val="restart"/>
          </w:tcPr>
          <w:p>
            <w:pPr>
              <w:jc w:val="right"/>
              <w:ind w:right="162"/>
              <w:spacing w:after="0"/>
              <w:rPr>
                <w:sz w:val="20"/>
                <w:szCs w:val="20"/>
                <w:color w:val="auto"/>
              </w:rPr>
            </w:pPr>
            <w:r>
              <w:rPr>
                <w:rFonts w:ascii="Arial" w:cs="Arial" w:eastAsia="Arial" w:hAnsi="Arial"/>
                <w:sz w:val="13"/>
                <w:szCs w:val="13"/>
                <w:color w:val="auto"/>
                <w:w w:val="82"/>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5"/>
              </w:rPr>
              <w:t>41,363,271</w:t>
            </w:r>
          </w:p>
        </w:tc>
        <w:tc>
          <w:tcPr>
            <w:tcW w:w="100" w:type="dxa"/>
            <w:vAlign w:val="bottom"/>
            <w:vMerge w:val="restart"/>
          </w:tcPr>
          <w:p>
            <w:pPr>
              <w:spacing w:after="0"/>
              <w:rPr>
                <w:sz w:val="8"/>
                <w:szCs w:val="8"/>
                <w:color w:val="auto"/>
              </w:rPr>
            </w:pPr>
          </w:p>
        </w:tc>
        <w:tc>
          <w:tcPr>
            <w:tcW w:w="300" w:type="dxa"/>
            <w:vAlign w:val="bottom"/>
            <w:vMerge w:val="restart"/>
          </w:tcPr>
          <w:p>
            <w:pPr>
              <w:jc w:val="right"/>
              <w:ind w:right="162"/>
              <w:spacing w:after="0"/>
              <w:rPr>
                <w:sz w:val="20"/>
                <w:szCs w:val="20"/>
                <w:color w:val="auto"/>
              </w:rPr>
            </w:pPr>
            <w:r>
              <w:rPr>
                <w:rFonts w:ascii="Arial" w:cs="Arial" w:eastAsia="Arial" w:hAnsi="Arial"/>
                <w:sz w:val="13"/>
                <w:szCs w:val="13"/>
                <w:color w:val="auto"/>
                <w:w w:val="82"/>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2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97"/>
              </w:rPr>
              <w:t>285,905</w:t>
            </w:r>
          </w:p>
        </w:tc>
        <w:tc>
          <w:tcPr>
            <w:tcW w:w="12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vMerge w:val="restart"/>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(32 )</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(69,825 )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93"/>
              </w:rPr>
              <w:t>216,052</w:t>
            </w:r>
          </w:p>
        </w:tc>
        <w:tc>
          <w:tcPr>
            <w:tcW w:w="0" w:type="dxa"/>
            <w:vAlign w:val="bottom"/>
          </w:tcPr>
          <w:p>
            <w:pPr>
              <w:spacing w:after="0"/>
              <w:rPr>
                <w:sz w:val="1"/>
                <w:szCs w:val="1"/>
                <w:color w:val="auto"/>
              </w:rPr>
            </w:pPr>
          </w:p>
        </w:tc>
      </w:tr>
      <w:tr>
        <w:trPr>
          <w:trHeight w:val="122"/>
        </w:trPr>
        <w:tc>
          <w:tcPr>
            <w:tcW w:w="1300" w:type="dxa"/>
            <w:vAlign w:val="bottom"/>
          </w:tcPr>
          <w:p>
            <w:pPr>
              <w:ind w:left="120"/>
              <w:spacing w:after="0" w:line="102" w:lineRule="exact"/>
              <w:rPr>
                <w:sz w:val="20"/>
                <w:szCs w:val="20"/>
                <w:color w:val="auto"/>
              </w:rPr>
            </w:pPr>
            <w:r>
              <w:rPr>
                <w:rFonts w:ascii="Arial" w:cs="Arial" w:eastAsia="Arial" w:hAnsi="Arial"/>
                <w:sz w:val="10"/>
                <w:szCs w:val="10"/>
                <w:b w:val="1"/>
                <w:bCs w:val="1"/>
                <w:color w:val="auto"/>
              </w:rPr>
              <w:t>2022</w:t>
            </w:r>
          </w:p>
        </w:tc>
        <w:tc>
          <w:tcPr>
            <w:tcW w:w="8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00" w:type="dxa"/>
            <w:vAlign w:val="bottom"/>
            <w:shd w:val="clear" w:color="auto" w:fill="D5E6F7"/>
          </w:tcPr>
          <w:p>
            <w:pPr>
              <w:spacing w:after="0"/>
              <w:rPr>
                <w:sz w:val="11"/>
                <w:szCs w:val="11"/>
                <w:color w:val="auto"/>
              </w:rPr>
            </w:pPr>
          </w:p>
        </w:tc>
        <w:tc>
          <w:tcPr>
            <w:tcW w:w="8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00" w:type="dxa"/>
            <w:vAlign w:val="bottom"/>
            <w:shd w:val="clear" w:color="auto" w:fill="D5E6F7"/>
          </w:tcPr>
          <w:p>
            <w:pPr>
              <w:spacing w:after="0"/>
              <w:rPr>
                <w:sz w:val="11"/>
                <w:szCs w:val="11"/>
                <w:color w:val="auto"/>
              </w:rPr>
            </w:pPr>
          </w:p>
        </w:tc>
        <w:tc>
          <w:tcPr>
            <w:tcW w:w="20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66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00" w:type="dxa"/>
            <w:vAlign w:val="bottom"/>
            <w:shd w:val="clear" w:color="auto" w:fill="D5E6F7"/>
          </w:tcPr>
          <w:p>
            <w:pPr>
              <w:spacing w:after="0"/>
              <w:rPr>
                <w:sz w:val="11"/>
                <w:szCs w:val="11"/>
                <w:color w:val="auto"/>
              </w:rPr>
            </w:pPr>
          </w:p>
        </w:tc>
        <w:tc>
          <w:tcPr>
            <w:tcW w:w="16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50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44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2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38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50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8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80" w:type="dxa"/>
            <w:vAlign w:val="bottom"/>
            <w:shd w:val="clear" w:color="auto" w:fill="D5E6F7"/>
          </w:tcPr>
          <w:p>
            <w:pPr>
              <w:spacing w:after="0"/>
              <w:rPr>
                <w:sz w:val="11"/>
                <w:szCs w:val="11"/>
                <w:color w:val="auto"/>
              </w:rPr>
            </w:pPr>
          </w:p>
        </w:tc>
        <w:tc>
          <w:tcPr>
            <w:tcW w:w="46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160" w:type="dxa"/>
            <w:vAlign w:val="bottom"/>
            <w:shd w:val="clear" w:color="auto" w:fill="D5E6F7"/>
          </w:tcPr>
          <w:p>
            <w:pPr>
              <w:spacing w:after="0"/>
              <w:rPr>
                <w:sz w:val="11"/>
                <w:szCs w:val="11"/>
                <w:color w:val="auto"/>
              </w:rPr>
            </w:pPr>
          </w:p>
        </w:tc>
        <w:tc>
          <w:tcPr>
            <w:tcW w:w="40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140" w:type="dxa"/>
            <w:vAlign w:val="bottom"/>
            <w:shd w:val="clear" w:color="auto" w:fill="D5E6F7"/>
          </w:tcPr>
          <w:p>
            <w:pPr>
              <w:spacing w:after="0"/>
              <w:rPr>
                <w:sz w:val="11"/>
                <w:szCs w:val="11"/>
                <w:color w:val="auto"/>
              </w:rPr>
            </w:pPr>
          </w:p>
        </w:tc>
        <w:tc>
          <w:tcPr>
            <w:tcW w:w="540" w:type="dxa"/>
            <w:vAlign w:val="bottom"/>
            <w:shd w:val="clear" w:color="auto" w:fill="D5E6F7"/>
          </w:tcPr>
          <w:p>
            <w:pPr>
              <w:spacing w:after="0"/>
              <w:rPr>
                <w:sz w:val="11"/>
                <w:szCs w:val="11"/>
                <w:color w:val="auto"/>
              </w:rPr>
            </w:pPr>
          </w:p>
        </w:tc>
        <w:tc>
          <w:tcPr>
            <w:tcW w:w="120" w:type="dxa"/>
            <w:vAlign w:val="bottom"/>
            <w:shd w:val="clear" w:color="auto" w:fill="D5E6F7"/>
          </w:tcPr>
          <w:p>
            <w:pPr>
              <w:spacing w:after="0"/>
              <w:rPr>
                <w:sz w:val="11"/>
                <w:szCs w:val="11"/>
                <w:color w:val="auto"/>
              </w:rPr>
            </w:pPr>
          </w:p>
        </w:tc>
        <w:tc>
          <w:tcPr>
            <w:tcW w:w="100" w:type="dxa"/>
            <w:vAlign w:val="bottom"/>
            <w:shd w:val="clear" w:color="auto" w:fill="D5E6F7"/>
          </w:tcPr>
          <w:p>
            <w:pPr>
              <w:spacing w:after="0"/>
              <w:rPr>
                <w:sz w:val="11"/>
                <w:szCs w:val="11"/>
                <w:color w:val="auto"/>
              </w:rPr>
            </w:pPr>
          </w:p>
        </w:tc>
        <w:tc>
          <w:tcPr>
            <w:tcW w:w="520" w:type="dxa"/>
            <w:vAlign w:val="bottom"/>
            <w:tcBorders>
              <w:right w:val="single" w:sz="8" w:color="D5E6F7"/>
            </w:tcBorders>
            <w:shd w:val="clear" w:color="auto" w:fill="D5E6F7"/>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0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Balance at January 1,</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62"/>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62"/>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9"/>
                <w:szCs w:val="9"/>
                <w:color w:val="auto"/>
              </w:rPr>
            </w:pPr>
          </w:p>
        </w:tc>
        <w:tc>
          <w:tcPr>
            <w:tcW w:w="420" w:type="dxa"/>
            <w:vAlign w:val="bottom"/>
            <w:vMerge w:val="restart"/>
          </w:tcPr>
          <w:p>
            <w:pPr>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39,228</w:t>
            </w:r>
          </w:p>
        </w:tc>
        <w:tc>
          <w:tcPr>
            <w:tcW w:w="10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w w:val="90"/>
              </w:rPr>
              <w:t>39,074</w:t>
            </w: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30,202</w:t>
            </w: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69,276</w:t>
            </w:r>
          </w:p>
        </w:tc>
        <w:tc>
          <w:tcPr>
            <w:tcW w:w="12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(24,916 )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44,360</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rPr>
                <w:sz w:val="20"/>
                <w:szCs w:val="20"/>
                <w:color w:val="auto"/>
              </w:rPr>
            </w:pPr>
            <w:r>
              <w:rPr>
                <w:rFonts w:ascii="Arial" w:cs="Arial" w:eastAsia="Arial" w:hAnsi="Arial"/>
                <w:sz w:val="13"/>
                <w:szCs w:val="13"/>
                <w:b w:val="1"/>
                <w:bCs w:val="1"/>
                <w:color w:val="auto"/>
              </w:rPr>
              <w:t>2021</w:t>
            </w:r>
          </w:p>
        </w:tc>
        <w:tc>
          <w:tcPr>
            <w:tcW w:w="80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shd w:val="clear" w:color="auto" w:fill="D5E6F7"/>
          </w:tcPr>
          <w:p>
            <w:pPr>
              <w:ind w:left="100"/>
              <w:spacing w:after="0" w:line="108" w:lineRule="exact"/>
              <w:rPr>
                <w:sz w:val="20"/>
                <w:szCs w:val="20"/>
                <w:color w:val="auto"/>
              </w:rPr>
            </w:pPr>
            <w:r>
              <w:rPr>
                <w:rFonts w:ascii="Arial" w:cs="Arial" w:eastAsia="Arial" w:hAnsi="Arial"/>
                <w:sz w:val="12"/>
                <w:szCs w:val="12"/>
                <w:color w:val="auto"/>
              </w:rPr>
              <w:t>Contribution of GGH</w:t>
            </w:r>
          </w:p>
        </w:tc>
        <w:tc>
          <w:tcPr>
            <w:tcW w:w="8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66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5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44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8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5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54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520" w:type="dxa"/>
            <w:vAlign w:val="bottom"/>
            <w:tcBorders>
              <w:right w:val="single" w:sz="8" w:color="D5E6F7"/>
            </w:tcBorders>
            <w:shd w:val="clear" w:color="auto" w:fill="D5E6F7"/>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0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w w:val="94"/>
              </w:rPr>
              <w:t>Preferred Units, GGH</w:t>
            </w:r>
          </w:p>
        </w:tc>
        <w:tc>
          <w:tcPr>
            <w:tcW w:w="8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4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20" w:type="dxa"/>
            <w:vAlign w:val="bottom"/>
            <w:tcBorders>
              <w:right w:val="single" w:sz="8" w:color="D5E6F7"/>
            </w:tcBorders>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w w:val="99"/>
              </w:rPr>
              <w:t>Senior Priority Units,</w:t>
            </w:r>
          </w:p>
        </w:tc>
        <w:tc>
          <w:tcPr>
            <w:tcW w:w="8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4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20" w:type="dxa"/>
            <w:vAlign w:val="bottom"/>
            <w:tcBorders>
              <w:right w:val="single" w:sz="8" w:color="D5E6F7"/>
            </w:tcBorders>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w w:val="97"/>
              </w:rPr>
              <w:t>and notes payable to</w:t>
            </w:r>
          </w:p>
        </w:tc>
        <w:tc>
          <w:tcPr>
            <w:tcW w:w="8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97"/>
              </w:rPr>
              <w:t>(39,07</w:t>
            </w:r>
          </w:p>
        </w:tc>
        <w:tc>
          <w:tcPr>
            <w:tcW w:w="12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4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20" w:type="dxa"/>
            <w:vAlign w:val="bottom"/>
            <w:tcBorders>
              <w:right w:val="single" w:sz="8" w:color="D5E6F7"/>
            </w:tcBorders>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w w:val="92"/>
              </w:rPr>
              <w:t>related party for GGHI</w:t>
            </w:r>
          </w:p>
        </w:tc>
        <w:tc>
          <w:tcPr>
            <w:tcW w:w="8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2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26,800,300</w:t>
            </w: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72,888</w:t>
            </w:r>
          </w:p>
        </w:tc>
        <w:tc>
          <w:tcPr>
            <w:tcW w:w="120" w:type="dxa"/>
            <w:vAlign w:val="bottom"/>
            <w:shd w:val="clear" w:color="auto" w:fill="D5E6F7"/>
          </w:tcPr>
          <w:p>
            <w:pPr>
              <w:spacing w:after="0"/>
              <w:rPr>
                <w:sz w:val="10"/>
                <w:szCs w:val="10"/>
                <w:color w:val="auto"/>
              </w:rPr>
            </w:pPr>
          </w:p>
        </w:tc>
        <w:tc>
          <w:tcPr>
            <w:tcW w:w="4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91"/>
              </w:rPr>
              <w:t>-</w:t>
            </w:r>
          </w:p>
        </w:tc>
        <w:tc>
          <w:tcPr>
            <w:tcW w:w="680" w:type="dxa"/>
            <w:vAlign w:val="bottom"/>
            <w:gridSpan w:val="3"/>
            <w:vMerge w:val="restart"/>
            <w:shd w:val="clear" w:color="auto" w:fill="D5E6F7"/>
          </w:tcPr>
          <w:p>
            <w:pPr>
              <w:jc w:val="right"/>
              <w:ind w:right="40"/>
              <w:spacing w:after="0"/>
              <w:rPr>
                <w:sz w:val="20"/>
                <w:szCs w:val="20"/>
                <w:color w:val="auto"/>
              </w:rPr>
            </w:pPr>
            <w:r>
              <w:rPr>
                <w:rFonts w:ascii="Arial" w:cs="Arial" w:eastAsia="Arial" w:hAnsi="Arial"/>
                <w:sz w:val="13"/>
                <w:szCs w:val="13"/>
                <w:color w:val="auto"/>
              </w:rPr>
              <w:t>(39,228 )</w:t>
            </w:r>
          </w:p>
        </w:tc>
        <w:tc>
          <w:tcPr>
            <w:tcW w:w="100" w:type="dxa"/>
            <w:vAlign w:val="bottom"/>
            <w:shd w:val="clear" w:color="auto" w:fill="D5E6F7"/>
          </w:tcPr>
          <w:p>
            <w:pPr>
              <w:spacing w:after="0"/>
              <w:rPr>
                <w:sz w:val="10"/>
                <w:szCs w:val="10"/>
                <w:color w:val="auto"/>
              </w:rPr>
            </w:pPr>
          </w:p>
        </w:tc>
        <w:tc>
          <w:tcPr>
            <w:tcW w:w="380" w:type="dxa"/>
            <w:vAlign w:val="bottom"/>
            <w:vMerge w:val="continue"/>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20" w:type="dxa"/>
            <w:vAlign w:val="bottom"/>
            <w:gridSpan w:val="2"/>
            <w:vMerge w:val="restart"/>
            <w:shd w:val="clear" w:color="auto" w:fill="D5E6F7"/>
          </w:tcPr>
          <w:p>
            <w:pPr>
              <w:jc w:val="right"/>
              <w:ind w:right="60"/>
              <w:spacing w:after="0"/>
              <w:rPr>
                <w:sz w:val="20"/>
                <w:szCs w:val="20"/>
                <w:color w:val="auto"/>
              </w:rPr>
            </w:pPr>
            <w:r>
              <w:rPr>
                <w:rFonts w:ascii="Arial" w:cs="Arial" w:eastAsia="Arial" w:hAnsi="Arial"/>
                <w:sz w:val="13"/>
                <w:szCs w:val="13"/>
                <w:color w:val="auto"/>
              </w:rPr>
              <w:t>(10,000 )</w:t>
            </w:r>
          </w:p>
        </w:tc>
        <w:tc>
          <w:tcPr>
            <w:tcW w:w="80" w:type="dxa"/>
            <w:vAlign w:val="bottom"/>
            <w:shd w:val="clear" w:color="auto" w:fill="D5E6F7"/>
          </w:tcPr>
          <w:p>
            <w:pPr>
              <w:spacing w:after="0"/>
              <w:rPr>
                <w:sz w:val="10"/>
                <w:szCs w:val="10"/>
                <w:color w:val="auto"/>
              </w:rPr>
            </w:pPr>
          </w:p>
        </w:tc>
        <w:tc>
          <w:tcPr>
            <w:tcW w:w="600" w:type="dxa"/>
            <w:vAlign w:val="bottom"/>
            <w:gridSpan w:val="2"/>
            <w:vMerge w:val="restart"/>
            <w:shd w:val="clear" w:color="auto" w:fill="D5E6F7"/>
          </w:tcPr>
          <w:p>
            <w:pPr>
              <w:jc w:val="right"/>
              <w:ind w:right="80"/>
              <w:spacing w:after="0"/>
              <w:rPr>
                <w:sz w:val="20"/>
                <w:szCs w:val="20"/>
                <w:color w:val="auto"/>
              </w:rPr>
            </w:pPr>
            <w:r>
              <w:rPr>
                <w:rFonts w:ascii="Arial" w:cs="Arial" w:eastAsia="Arial" w:hAnsi="Arial"/>
                <w:sz w:val="13"/>
                <w:szCs w:val="13"/>
                <w:color w:val="auto"/>
                <w:w w:val="96"/>
              </w:rPr>
              <w:t>(30,202 )</w:t>
            </w:r>
          </w:p>
        </w:tc>
        <w:tc>
          <w:tcPr>
            <w:tcW w:w="80" w:type="dxa"/>
            <w:vAlign w:val="bottom"/>
            <w:shd w:val="clear" w:color="auto" w:fill="D5E6F7"/>
          </w:tcPr>
          <w:p>
            <w:pPr>
              <w:spacing w:after="0"/>
              <w:rPr>
                <w:sz w:val="10"/>
                <w:szCs w:val="10"/>
                <w:color w:val="auto"/>
              </w:rPr>
            </w:pPr>
          </w:p>
        </w:tc>
        <w:tc>
          <w:tcPr>
            <w:tcW w:w="580" w:type="dxa"/>
            <w:vAlign w:val="bottom"/>
            <w:gridSpan w:val="2"/>
            <w:vMerge w:val="restart"/>
            <w:shd w:val="clear" w:color="auto" w:fill="D5E6F7"/>
          </w:tcPr>
          <w:p>
            <w:pPr>
              <w:jc w:val="right"/>
              <w:ind w:right="80"/>
              <w:spacing w:after="0"/>
              <w:rPr>
                <w:sz w:val="20"/>
                <w:szCs w:val="20"/>
                <w:color w:val="auto"/>
              </w:rPr>
            </w:pPr>
            <w:r>
              <w:rPr>
                <w:rFonts w:ascii="Arial" w:cs="Arial" w:eastAsia="Arial" w:hAnsi="Arial"/>
                <w:sz w:val="13"/>
                <w:szCs w:val="13"/>
                <w:color w:val="auto"/>
                <w:w w:val="92"/>
              </w:rPr>
              <w:t>(69,276 )</w:t>
            </w:r>
          </w:p>
        </w:tc>
        <w:tc>
          <w:tcPr>
            <w:tcW w:w="160" w:type="dxa"/>
            <w:vAlign w:val="bottom"/>
            <w:shd w:val="clear" w:color="auto" w:fill="D5E6F7"/>
          </w:tcPr>
          <w:p>
            <w:pPr>
              <w:spacing w:after="0"/>
              <w:rPr>
                <w:sz w:val="10"/>
                <w:szCs w:val="10"/>
                <w:color w:val="auto"/>
              </w:rPr>
            </w:pPr>
          </w:p>
        </w:tc>
        <w:tc>
          <w:tcPr>
            <w:tcW w:w="4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20" w:type="dxa"/>
            <w:vAlign w:val="bottom"/>
            <w:tcBorders>
              <w:right w:val="single" w:sz="8" w:color="D5E6F7"/>
            </w:tcBorders>
            <w:vMerge w:val="restart"/>
            <w:shd w:val="clear" w:color="auto" w:fill="D5E6F7"/>
          </w:tcPr>
          <w:p>
            <w:pPr>
              <w:jc w:val="right"/>
              <w:spacing w:after="0"/>
              <w:rPr>
                <w:sz w:val="20"/>
                <w:szCs w:val="20"/>
                <w:color w:val="auto"/>
              </w:rPr>
            </w:pPr>
            <w:r>
              <w:rPr>
                <w:rFonts w:ascii="Arial" w:cs="Arial" w:eastAsia="Arial" w:hAnsi="Arial"/>
                <w:sz w:val="13"/>
                <w:szCs w:val="13"/>
                <w:color w:val="auto"/>
              </w:rPr>
              <w:t>3,615</w:t>
            </w:r>
          </w:p>
        </w:tc>
        <w:tc>
          <w:tcPr>
            <w:tcW w:w="0" w:type="dxa"/>
            <w:vAlign w:val="bottom"/>
          </w:tcPr>
          <w:p>
            <w:pPr>
              <w:spacing w:after="0"/>
              <w:rPr>
                <w:sz w:val="1"/>
                <w:szCs w:val="1"/>
                <w:color w:val="auto"/>
              </w:rPr>
            </w:pPr>
          </w:p>
        </w:tc>
      </w:tr>
      <w:tr>
        <w:trPr>
          <w:trHeight w:val="162"/>
        </w:trPr>
        <w:tc>
          <w:tcPr>
            <w:tcW w:w="1300" w:type="dxa"/>
            <w:vAlign w:val="bottom"/>
            <w:shd w:val="clear" w:color="auto" w:fill="D5E6F7"/>
          </w:tcPr>
          <w:p>
            <w:pPr>
              <w:ind w:left="100"/>
              <w:spacing w:after="0"/>
              <w:rPr>
                <w:sz w:val="20"/>
                <w:szCs w:val="20"/>
                <w:color w:val="auto"/>
              </w:rPr>
            </w:pPr>
            <w:r>
              <w:rPr>
                <w:rFonts w:ascii="Arial" w:cs="Arial" w:eastAsia="Arial" w:hAnsi="Arial"/>
                <w:sz w:val="13"/>
                <w:szCs w:val="13"/>
                <w:color w:val="auto"/>
              </w:rPr>
              <w:t>Common Stock</w:t>
            </w:r>
          </w:p>
        </w:tc>
        <w:tc>
          <w:tcPr>
            <w:tcW w:w="80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200" w:type="dxa"/>
            <w:vAlign w:val="bottom"/>
            <w:vMerge w:val="continue"/>
            <w:shd w:val="clear" w:color="auto" w:fill="D5E6F7"/>
          </w:tcPr>
          <w:p>
            <w:pPr>
              <w:spacing w:after="0"/>
              <w:rPr>
                <w:sz w:val="14"/>
                <w:szCs w:val="14"/>
                <w:color w:val="auto"/>
              </w:rPr>
            </w:pPr>
          </w:p>
        </w:tc>
        <w:tc>
          <w:tcPr>
            <w:tcW w:w="78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16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44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420" w:type="dxa"/>
            <w:vAlign w:val="bottom"/>
            <w:shd w:val="clear" w:color="auto" w:fill="D5E6F7"/>
          </w:tcPr>
          <w:p>
            <w:pPr>
              <w:spacing w:after="0"/>
              <w:rPr>
                <w:sz w:val="14"/>
                <w:szCs w:val="14"/>
                <w:color w:val="auto"/>
              </w:rPr>
            </w:pPr>
          </w:p>
        </w:tc>
        <w:tc>
          <w:tcPr>
            <w:tcW w:w="80" w:type="dxa"/>
            <w:vAlign w:val="bottom"/>
            <w:vMerge w:val="continue"/>
            <w:shd w:val="clear" w:color="auto" w:fill="D5E6F7"/>
          </w:tcPr>
          <w:p>
            <w:pPr>
              <w:spacing w:after="0"/>
              <w:rPr>
                <w:sz w:val="14"/>
                <w:szCs w:val="14"/>
                <w:color w:val="auto"/>
              </w:rPr>
            </w:pPr>
          </w:p>
        </w:tc>
        <w:tc>
          <w:tcPr>
            <w:tcW w:w="680" w:type="dxa"/>
            <w:vAlign w:val="bottom"/>
            <w:gridSpan w:val="3"/>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500" w:type="dxa"/>
            <w:vAlign w:val="bottom"/>
            <w:gridSpan w:val="2"/>
            <w:shd w:val="clear" w:color="auto" w:fill="D5E6F7"/>
          </w:tcPr>
          <w:p>
            <w:pPr>
              <w:jc w:val="right"/>
              <w:ind w:right="60"/>
              <w:spacing w:after="0"/>
              <w:rPr>
                <w:sz w:val="20"/>
                <w:szCs w:val="20"/>
                <w:color w:val="auto"/>
              </w:rPr>
            </w:pPr>
            <w:r>
              <w:rPr>
                <w:rFonts w:ascii="Arial" w:cs="Arial" w:eastAsia="Arial" w:hAnsi="Arial"/>
                <w:sz w:val="13"/>
                <w:szCs w:val="13"/>
                <w:color w:val="auto"/>
              </w:rPr>
              <w:t>4 )</w:t>
            </w:r>
          </w:p>
        </w:tc>
        <w:tc>
          <w:tcPr>
            <w:tcW w:w="620" w:type="dxa"/>
            <w:vAlign w:val="bottom"/>
            <w:gridSpan w:val="2"/>
            <w:vMerge w:val="continue"/>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600" w:type="dxa"/>
            <w:vAlign w:val="bottom"/>
            <w:gridSpan w:val="2"/>
            <w:vMerge w:val="continue"/>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580" w:type="dxa"/>
            <w:vAlign w:val="bottom"/>
            <w:gridSpan w:val="2"/>
            <w:vMerge w:val="continue"/>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40" w:type="dxa"/>
            <w:vAlign w:val="bottom"/>
            <w:shd w:val="clear" w:color="auto" w:fill="D5E6F7"/>
          </w:tcPr>
          <w:p>
            <w:pPr>
              <w:spacing w:after="0"/>
              <w:rPr>
                <w:sz w:val="14"/>
                <w:szCs w:val="14"/>
                <w:color w:val="auto"/>
              </w:rPr>
            </w:pPr>
          </w:p>
        </w:tc>
        <w:tc>
          <w:tcPr>
            <w:tcW w:w="54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520" w:type="dxa"/>
            <w:vAlign w:val="bottom"/>
            <w:tcBorders>
              <w:right w:val="single" w:sz="8" w:color="D5E6F7"/>
            </w:tcBorders>
            <w:vMerge w:val="continue"/>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Pr>
          <w:p>
            <w:pPr>
              <w:ind w:left="100"/>
              <w:spacing w:after="0" w:line="108" w:lineRule="exact"/>
              <w:rPr>
                <w:sz w:val="20"/>
                <w:szCs w:val="20"/>
                <w:color w:val="auto"/>
              </w:rPr>
            </w:pPr>
            <w:r>
              <w:rPr>
                <w:rFonts w:ascii="Arial" w:cs="Arial" w:eastAsia="Arial" w:hAnsi="Arial"/>
                <w:sz w:val="12"/>
                <w:szCs w:val="12"/>
                <w:color w:val="auto"/>
              </w:rPr>
              <w:t>Contribution of GGH</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100"/>
              <w:spacing w:after="0" w:line="122" w:lineRule="exact"/>
              <w:rPr>
                <w:sz w:val="20"/>
                <w:szCs w:val="20"/>
                <w:color w:val="auto"/>
              </w:rPr>
            </w:pPr>
            <w:r>
              <w:rPr>
                <w:rFonts w:ascii="Arial" w:cs="Arial" w:eastAsia="Arial" w:hAnsi="Arial"/>
                <w:sz w:val="13"/>
                <w:szCs w:val="13"/>
                <w:color w:val="auto"/>
              </w:rPr>
              <w:t>Common Units for</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1,199,700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(750 )</w:t>
            </w:r>
          </w:p>
        </w:tc>
        <w:tc>
          <w:tcPr>
            <w:tcW w:w="4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300" w:type="dxa"/>
            <w:vAlign w:val="bottom"/>
          </w:tcPr>
          <w:p>
            <w:pPr>
              <w:ind w:left="100"/>
              <w:spacing w:after="0"/>
              <w:rPr>
                <w:sz w:val="20"/>
                <w:szCs w:val="20"/>
                <w:color w:val="auto"/>
              </w:rPr>
            </w:pPr>
            <w:r>
              <w:rPr>
                <w:rFonts w:ascii="Arial" w:cs="Arial" w:eastAsia="Arial" w:hAnsi="Arial"/>
                <w:sz w:val="13"/>
                <w:szCs w:val="13"/>
                <w:color w:val="auto"/>
                <w:w w:val="93"/>
              </w:rPr>
              <w:t>GGHI Common Stock</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D5E6F7"/>
          </w:tcPr>
          <w:p>
            <w:pPr>
              <w:ind w:left="100"/>
              <w:spacing w:after="0" w:line="109" w:lineRule="exact"/>
              <w:rPr>
                <w:sz w:val="20"/>
                <w:szCs w:val="20"/>
                <w:color w:val="auto"/>
              </w:rPr>
            </w:pPr>
            <w:r>
              <w:rPr>
                <w:rFonts w:ascii="Arial" w:cs="Arial" w:eastAsia="Arial" w:hAnsi="Arial"/>
                <w:sz w:val="12"/>
                <w:szCs w:val="12"/>
                <w:color w:val="auto"/>
              </w:rPr>
              <w:t>Proceeds from sale of</w:t>
            </w:r>
          </w:p>
        </w:tc>
        <w:tc>
          <w:tcPr>
            <w:tcW w:w="8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2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66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5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44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8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5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8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6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0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540" w:type="dxa"/>
            <w:vAlign w:val="bottom"/>
            <w:shd w:val="clear" w:color="auto" w:fill="D5E6F7"/>
          </w:tcPr>
          <w:p>
            <w:pPr>
              <w:spacing w:after="0"/>
              <w:rPr>
                <w:sz w:val="9"/>
                <w:szCs w:val="9"/>
                <w:color w:val="auto"/>
              </w:rPr>
            </w:pPr>
          </w:p>
        </w:tc>
        <w:tc>
          <w:tcPr>
            <w:tcW w:w="12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520" w:type="dxa"/>
            <w:vAlign w:val="bottom"/>
            <w:tcBorders>
              <w:right w:val="single" w:sz="8" w:color="D5E6F7"/>
            </w:tcBorders>
            <w:shd w:val="clear" w:color="auto" w:fill="D5E6F7"/>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0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w w:val="93"/>
              </w:rPr>
              <w:t>preferred stock, net of</w:t>
            </w:r>
          </w:p>
        </w:tc>
        <w:tc>
          <w:tcPr>
            <w:tcW w:w="8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2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66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44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5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0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40" w:type="dxa"/>
            <w:vAlign w:val="bottom"/>
            <w:shd w:val="clear" w:color="auto" w:fill="D5E6F7"/>
          </w:tcPr>
          <w:p>
            <w:pPr>
              <w:spacing w:after="0"/>
              <w:rPr>
                <w:sz w:val="10"/>
                <w:szCs w:val="10"/>
                <w:color w:val="auto"/>
              </w:rPr>
            </w:pPr>
          </w:p>
        </w:tc>
        <w:tc>
          <w:tcPr>
            <w:tcW w:w="1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20" w:type="dxa"/>
            <w:vAlign w:val="bottom"/>
            <w:tcBorders>
              <w:right w:val="single" w:sz="8" w:color="D5E6F7"/>
            </w:tcBorders>
            <w:shd w:val="clear" w:color="auto" w:fill="D5E6F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D5E6F7"/>
          </w:tcPr>
          <w:p>
            <w:pPr>
              <w:ind w:left="100"/>
              <w:spacing w:after="0" w:line="122" w:lineRule="exact"/>
              <w:rPr>
                <w:sz w:val="20"/>
                <w:szCs w:val="20"/>
                <w:color w:val="auto"/>
              </w:rPr>
            </w:pPr>
            <w:r>
              <w:rPr>
                <w:rFonts w:ascii="Arial" w:cs="Arial" w:eastAsia="Arial" w:hAnsi="Arial"/>
                <w:sz w:val="13"/>
                <w:szCs w:val="13"/>
                <w:color w:val="auto"/>
                <w:w w:val="88"/>
              </w:rPr>
              <w:t>stock issuance costs of</w:t>
            </w:r>
          </w:p>
        </w:tc>
        <w:tc>
          <w:tcPr>
            <w:tcW w:w="8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1,620,000</w:t>
            </w: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2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0"/>
                <w:szCs w:val="10"/>
                <w:color w:val="auto"/>
              </w:rPr>
            </w:pPr>
          </w:p>
        </w:tc>
        <w:tc>
          <w:tcPr>
            <w:tcW w:w="300" w:type="dxa"/>
            <w:vAlign w:val="bottom"/>
            <w:shd w:val="clear" w:color="auto" w:fill="D5E6F7"/>
          </w:tcPr>
          <w:p>
            <w:pPr>
              <w:spacing w:after="0"/>
              <w:rPr>
                <w:sz w:val="10"/>
                <w:szCs w:val="10"/>
                <w:color w:val="auto"/>
              </w:rPr>
            </w:pPr>
          </w:p>
        </w:tc>
        <w:tc>
          <w:tcPr>
            <w:tcW w:w="1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37,112</w:t>
            </w:r>
          </w:p>
        </w:tc>
        <w:tc>
          <w:tcPr>
            <w:tcW w:w="120" w:type="dxa"/>
            <w:vAlign w:val="bottom"/>
            <w:shd w:val="clear" w:color="auto" w:fill="D5E6F7"/>
          </w:tcPr>
          <w:p>
            <w:pPr>
              <w:spacing w:after="0"/>
              <w:rPr>
                <w:sz w:val="10"/>
                <w:szCs w:val="10"/>
                <w:color w:val="auto"/>
              </w:rPr>
            </w:pPr>
          </w:p>
        </w:tc>
        <w:tc>
          <w:tcPr>
            <w:tcW w:w="4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0"/>
                <w:szCs w:val="10"/>
                <w:color w:val="auto"/>
              </w:rPr>
            </w:pPr>
          </w:p>
        </w:tc>
        <w:tc>
          <w:tcPr>
            <w:tcW w:w="420" w:type="dxa"/>
            <w:vAlign w:val="bottom"/>
            <w:shd w:val="clear" w:color="auto" w:fill="D5E6F7"/>
          </w:tcPr>
          <w:p>
            <w:pPr>
              <w:spacing w:after="0"/>
              <w:rPr>
                <w:sz w:val="10"/>
                <w:szCs w:val="10"/>
                <w:color w:val="auto"/>
              </w:rPr>
            </w:pPr>
          </w:p>
        </w:tc>
        <w:tc>
          <w:tcPr>
            <w:tcW w:w="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80" w:type="dxa"/>
            <w:vAlign w:val="bottom"/>
            <w:shd w:val="clear" w:color="auto" w:fill="D5E6F7"/>
          </w:tcPr>
          <w:p>
            <w:pPr>
              <w:spacing w:after="0"/>
              <w:rPr>
                <w:sz w:val="10"/>
                <w:szCs w:val="10"/>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160" w:type="dxa"/>
            <w:vAlign w:val="bottom"/>
            <w:shd w:val="clear" w:color="auto" w:fill="D5E6F7"/>
          </w:tcPr>
          <w:p>
            <w:pPr>
              <w:spacing w:after="0"/>
              <w:rPr>
                <w:sz w:val="10"/>
                <w:szCs w:val="10"/>
                <w:color w:val="auto"/>
              </w:rPr>
            </w:pPr>
          </w:p>
        </w:tc>
        <w:tc>
          <w:tcPr>
            <w:tcW w:w="4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140" w:type="dxa"/>
            <w:vAlign w:val="bottom"/>
            <w:shd w:val="clear" w:color="auto" w:fill="D5E6F7"/>
          </w:tcPr>
          <w:p>
            <w:pPr>
              <w:spacing w:after="0"/>
              <w:rPr>
                <w:sz w:val="10"/>
                <w:szCs w:val="10"/>
                <w:color w:val="auto"/>
              </w:rPr>
            </w:pPr>
          </w:p>
        </w:tc>
        <w:tc>
          <w:tcPr>
            <w:tcW w:w="5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10"/>
                <w:szCs w:val="10"/>
                <w:color w:val="auto"/>
              </w:rPr>
            </w:pPr>
          </w:p>
        </w:tc>
        <w:tc>
          <w:tcPr>
            <w:tcW w:w="100" w:type="dxa"/>
            <w:vAlign w:val="bottom"/>
            <w:shd w:val="clear" w:color="auto" w:fill="D5E6F7"/>
          </w:tcPr>
          <w:p>
            <w:pPr>
              <w:spacing w:after="0"/>
              <w:rPr>
                <w:sz w:val="10"/>
                <w:szCs w:val="10"/>
                <w:color w:val="auto"/>
              </w:rPr>
            </w:pPr>
          </w:p>
        </w:tc>
        <w:tc>
          <w:tcPr>
            <w:tcW w:w="520" w:type="dxa"/>
            <w:vAlign w:val="bottom"/>
            <w:tcBorders>
              <w:right w:val="single" w:sz="8" w:color="D5E6F7"/>
            </w:tcBorders>
            <w:vMerge w:val="restart"/>
            <w:shd w:val="clear" w:color="auto" w:fill="D5E6F7"/>
          </w:tcPr>
          <w:p>
            <w:pPr>
              <w:jc w:val="right"/>
              <w:spacing w:after="0"/>
              <w:rPr>
                <w:sz w:val="20"/>
                <w:szCs w:val="20"/>
                <w:color w:val="auto"/>
              </w:rPr>
            </w:pPr>
            <w:r>
              <w:rPr>
                <w:rFonts w:ascii="Arial" w:cs="Arial" w:eastAsia="Arial" w:hAnsi="Arial"/>
                <w:sz w:val="13"/>
                <w:szCs w:val="13"/>
                <w:color w:val="auto"/>
              </w:rPr>
              <w:t>37,112</w:t>
            </w:r>
          </w:p>
        </w:tc>
        <w:tc>
          <w:tcPr>
            <w:tcW w:w="0" w:type="dxa"/>
            <w:vAlign w:val="bottom"/>
          </w:tcPr>
          <w:p>
            <w:pPr>
              <w:spacing w:after="0"/>
              <w:rPr>
                <w:sz w:val="1"/>
                <w:szCs w:val="1"/>
                <w:color w:val="auto"/>
              </w:rPr>
            </w:pPr>
          </w:p>
        </w:tc>
      </w:tr>
      <w:tr>
        <w:trPr>
          <w:trHeight w:val="162"/>
        </w:trPr>
        <w:tc>
          <w:tcPr>
            <w:tcW w:w="1300" w:type="dxa"/>
            <w:vAlign w:val="bottom"/>
            <w:shd w:val="clear" w:color="auto" w:fill="D5E6F7"/>
          </w:tcPr>
          <w:p>
            <w:pPr>
              <w:ind w:left="100"/>
              <w:spacing w:after="0"/>
              <w:rPr>
                <w:sz w:val="20"/>
                <w:szCs w:val="20"/>
                <w:color w:val="auto"/>
              </w:rPr>
            </w:pPr>
            <w:r>
              <w:rPr>
                <w:rFonts w:ascii="Arial" w:cs="Arial" w:eastAsia="Arial" w:hAnsi="Arial"/>
                <w:sz w:val="13"/>
                <w:szCs w:val="13"/>
                <w:color w:val="auto"/>
              </w:rPr>
              <w:t>$3,387</w:t>
            </w:r>
          </w:p>
        </w:tc>
        <w:tc>
          <w:tcPr>
            <w:tcW w:w="80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200" w:type="dxa"/>
            <w:vAlign w:val="bottom"/>
            <w:vMerge w:val="continue"/>
            <w:shd w:val="clear" w:color="auto" w:fill="D5E6F7"/>
          </w:tcPr>
          <w:p>
            <w:pPr>
              <w:spacing w:after="0"/>
              <w:rPr>
                <w:sz w:val="14"/>
                <w:szCs w:val="14"/>
                <w:color w:val="auto"/>
              </w:rPr>
            </w:pPr>
          </w:p>
        </w:tc>
        <w:tc>
          <w:tcPr>
            <w:tcW w:w="78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16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44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420" w:type="dxa"/>
            <w:vAlign w:val="bottom"/>
            <w:shd w:val="clear" w:color="auto" w:fill="D5E6F7"/>
          </w:tcPr>
          <w:p>
            <w:pPr>
              <w:spacing w:after="0"/>
              <w:rPr>
                <w:sz w:val="14"/>
                <w:szCs w:val="14"/>
                <w:color w:val="auto"/>
              </w:rPr>
            </w:pPr>
          </w:p>
        </w:tc>
        <w:tc>
          <w:tcPr>
            <w:tcW w:w="80" w:type="dxa"/>
            <w:vAlign w:val="bottom"/>
            <w:vMerge w:val="continue"/>
            <w:shd w:val="clear" w:color="auto" w:fill="D5E6F7"/>
          </w:tcPr>
          <w:p>
            <w:pPr>
              <w:spacing w:after="0"/>
              <w:rPr>
                <w:sz w:val="14"/>
                <w:szCs w:val="14"/>
                <w:color w:val="auto"/>
              </w:rPr>
            </w:pPr>
          </w:p>
        </w:tc>
        <w:tc>
          <w:tcPr>
            <w:tcW w:w="58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40" w:type="dxa"/>
            <w:vAlign w:val="bottom"/>
            <w:shd w:val="clear" w:color="auto" w:fill="D5E6F7"/>
          </w:tcPr>
          <w:p>
            <w:pPr>
              <w:spacing w:after="0"/>
              <w:rPr>
                <w:sz w:val="14"/>
                <w:szCs w:val="14"/>
                <w:color w:val="auto"/>
              </w:rPr>
            </w:pPr>
          </w:p>
        </w:tc>
        <w:tc>
          <w:tcPr>
            <w:tcW w:w="54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520" w:type="dxa"/>
            <w:vAlign w:val="bottom"/>
            <w:tcBorders>
              <w:right w:val="single" w:sz="8" w:color="D5E6F7"/>
            </w:tcBorders>
            <w:vMerge w:val="continue"/>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Pr>
          <w:p>
            <w:pPr>
              <w:ind w:left="100"/>
              <w:spacing w:after="0" w:line="108" w:lineRule="exact"/>
              <w:rPr>
                <w:sz w:val="20"/>
                <w:szCs w:val="20"/>
                <w:color w:val="auto"/>
              </w:rPr>
            </w:pPr>
            <w:r>
              <w:rPr>
                <w:rFonts w:ascii="Arial" w:cs="Arial" w:eastAsia="Arial" w:hAnsi="Arial"/>
                <w:sz w:val="12"/>
                <w:szCs w:val="12"/>
                <w:color w:val="auto"/>
              </w:rPr>
              <w:t>Stock-based</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656</w:t>
            </w: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61"/>
        </w:trPr>
        <w:tc>
          <w:tcPr>
            <w:tcW w:w="1300" w:type="dxa"/>
            <w:vAlign w:val="bottom"/>
          </w:tcPr>
          <w:p>
            <w:pPr>
              <w:ind w:left="100"/>
              <w:spacing w:after="0"/>
              <w:rPr>
                <w:sz w:val="20"/>
                <w:szCs w:val="20"/>
                <w:color w:val="auto"/>
              </w:rPr>
            </w:pPr>
            <w:r>
              <w:rPr>
                <w:rFonts w:ascii="Arial" w:cs="Arial" w:eastAsia="Arial" w:hAnsi="Arial"/>
                <w:sz w:val="13"/>
                <w:szCs w:val="13"/>
                <w:color w:val="auto"/>
                <w:w w:val="88"/>
              </w:rPr>
              <w:t>compensation expense</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D5E6F7"/>
          </w:tcPr>
          <w:p>
            <w:pPr>
              <w:ind w:left="100"/>
              <w:spacing w:after="0" w:line="109" w:lineRule="exact"/>
              <w:rPr>
                <w:sz w:val="20"/>
                <w:szCs w:val="20"/>
                <w:color w:val="auto"/>
              </w:rPr>
            </w:pPr>
            <w:r>
              <w:rPr>
                <w:rFonts w:ascii="Arial" w:cs="Arial" w:eastAsia="Arial" w:hAnsi="Arial"/>
                <w:sz w:val="12"/>
                <w:szCs w:val="12"/>
                <w:color w:val="auto"/>
              </w:rPr>
              <w:t>Proceeds from stock</w:t>
            </w:r>
          </w:p>
        </w:tc>
        <w:tc>
          <w:tcPr>
            <w:tcW w:w="8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2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160,000</w:t>
            </w:r>
          </w:p>
        </w:tc>
        <w:tc>
          <w:tcPr>
            <w:tcW w:w="100" w:type="dxa"/>
            <w:vAlign w:val="bottom"/>
            <w:shd w:val="clear" w:color="auto" w:fill="D5E6F7"/>
          </w:tcPr>
          <w:p>
            <w:pPr>
              <w:spacing w:after="0"/>
              <w:rPr>
                <w:sz w:val="9"/>
                <w:szCs w:val="9"/>
                <w:color w:val="auto"/>
              </w:rPr>
            </w:pPr>
          </w:p>
        </w:tc>
        <w:tc>
          <w:tcPr>
            <w:tcW w:w="300" w:type="dxa"/>
            <w:vAlign w:val="bottom"/>
            <w:shd w:val="clear" w:color="auto" w:fill="D5E6F7"/>
          </w:tcPr>
          <w:p>
            <w:pPr>
              <w:spacing w:after="0"/>
              <w:rPr>
                <w:sz w:val="9"/>
                <w:szCs w:val="9"/>
                <w:color w:val="auto"/>
              </w:rPr>
            </w:pPr>
          </w:p>
        </w:tc>
        <w:tc>
          <w:tcPr>
            <w:tcW w:w="1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D5E6F7"/>
          </w:tcPr>
          <w:p>
            <w:pPr>
              <w:spacing w:after="0"/>
              <w:rPr>
                <w:sz w:val="9"/>
                <w:szCs w:val="9"/>
                <w:color w:val="auto"/>
              </w:rPr>
            </w:pPr>
          </w:p>
        </w:tc>
        <w:tc>
          <w:tcPr>
            <w:tcW w:w="4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9"/>
                <w:szCs w:val="9"/>
                <w:color w:val="auto"/>
              </w:rPr>
            </w:pPr>
          </w:p>
        </w:tc>
        <w:tc>
          <w:tcPr>
            <w:tcW w:w="420" w:type="dxa"/>
            <w:vAlign w:val="bottom"/>
            <w:shd w:val="clear" w:color="auto" w:fill="D5E6F7"/>
          </w:tcPr>
          <w:p>
            <w:pPr>
              <w:spacing w:after="0"/>
              <w:rPr>
                <w:sz w:val="9"/>
                <w:szCs w:val="9"/>
                <w:color w:val="auto"/>
              </w:rPr>
            </w:pPr>
          </w:p>
        </w:tc>
        <w:tc>
          <w:tcPr>
            <w:tcW w:w="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3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5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8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80" w:type="dxa"/>
            <w:vAlign w:val="bottom"/>
            <w:shd w:val="clear" w:color="auto" w:fill="D5E6F7"/>
          </w:tcPr>
          <w:p>
            <w:pPr>
              <w:spacing w:after="0"/>
              <w:rPr>
                <w:sz w:val="9"/>
                <w:szCs w:val="9"/>
                <w:color w:val="auto"/>
              </w:rPr>
            </w:pPr>
          </w:p>
        </w:tc>
        <w:tc>
          <w:tcPr>
            <w:tcW w:w="46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160" w:type="dxa"/>
            <w:vAlign w:val="bottom"/>
            <w:shd w:val="clear" w:color="auto" w:fill="D5E6F7"/>
          </w:tcPr>
          <w:p>
            <w:pPr>
              <w:spacing w:after="0"/>
              <w:rPr>
                <w:sz w:val="9"/>
                <w:szCs w:val="9"/>
                <w:color w:val="auto"/>
              </w:rPr>
            </w:pPr>
          </w:p>
        </w:tc>
        <w:tc>
          <w:tcPr>
            <w:tcW w:w="40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140" w:type="dxa"/>
            <w:vAlign w:val="bottom"/>
            <w:shd w:val="clear" w:color="auto" w:fill="D5E6F7"/>
          </w:tcPr>
          <w:p>
            <w:pPr>
              <w:spacing w:after="0"/>
              <w:rPr>
                <w:sz w:val="9"/>
                <w:szCs w:val="9"/>
                <w:color w:val="auto"/>
              </w:rPr>
            </w:pPr>
          </w:p>
        </w:tc>
        <w:tc>
          <w:tcPr>
            <w:tcW w:w="540" w:type="dxa"/>
            <w:vAlign w:val="bottom"/>
            <w:vMerge w:val="restart"/>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5E6F7"/>
          </w:tcPr>
          <w:p>
            <w:pPr>
              <w:spacing w:after="0"/>
              <w:rPr>
                <w:sz w:val="9"/>
                <w:szCs w:val="9"/>
                <w:color w:val="auto"/>
              </w:rPr>
            </w:pPr>
          </w:p>
        </w:tc>
        <w:tc>
          <w:tcPr>
            <w:tcW w:w="100" w:type="dxa"/>
            <w:vAlign w:val="bottom"/>
            <w:shd w:val="clear" w:color="auto" w:fill="D5E6F7"/>
          </w:tcPr>
          <w:p>
            <w:pPr>
              <w:spacing w:after="0"/>
              <w:rPr>
                <w:sz w:val="9"/>
                <w:szCs w:val="9"/>
                <w:color w:val="auto"/>
              </w:rPr>
            </w:pPr>
          </w:p>
        </w:tc>
        <w:tc>
          <w:tcPr>
            <w:tcW w:w="520" w:type="dxa"/>
            <w:vAlign w:val="bottom"/>
            <w:tcBorders>
              <w:right w:val="single" w:sz="8" w:color="D5E6F7"/>
            </w:tcBorders>
            <w:vMerge w:val="restart"/>
            <w:shd w:val="clear" w:color="auto" w:fill="D5E6F7"/>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2"/>
        </w:trPr>
        <w:tc>
          <w:tcPr>
            <w:tcW w:w="1300" w:type="dxa"/>
            <w:vAlign w:val="bottom"/>
            <w:shd w:val="clear" w:color="auto" w:fill="D5E6F7"/>
          </w:tcPr>
          <w:p>
            <w:pPr>
              <w:ind w:left="100"/>
              <w:spacing w:after="0"/>
              <w:rPr>
                <w:sz w:val="20"/>
                <w:szCs w:val="20"/>
                <w:color w:val="auto"/>
              </w:rPr>
            </w:pPr>
            <w:r>
              <w:rPr>
                <w:rFonts w:ascii="Arial" w:cs="Arial" w:eastAsia="Arial" w:hAnsi="Arial"/>
                <w:sz w:val="13"/>
                <w:szCs w:val="13"/>
                <w:color w:val="auto"/>
              </w:rPr>
              <w:t>options exercised</w:t>
            </w:r>
          </w:p>
        </w:tc>
        <w:tc>
          <w:tcPr>
            <w:tcW w:w="80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200" w:type="dxa"/>
            <w:vAlign w:val="bottom"/>
            <w:vMerge w:val="continue"/>
            <w:shd w:val="clear" w:color="auto" w:fill="D5E6F7"/>
          </w:tcPr>
          <w:p>
            <w:pPr>
              <w:spacing w:after="0"/>
              <w:rPr>
                <w:sz w:val="14"/>
                <w:szCs w:val="14"/>
                <w:color w:val="auto"/>
              </w:rPr>
            </w:pPr>
          </w:p>
        </w:tc>
        <w:tc>
          <w:tcPr>
            <w:tcW w:w="78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00" w:type="dxa"/>
            <w:vAlign w:val="bottom"/>
            <w:shd w:val="clear" w:color="auto" w:fill="D5E6F7"/>
          </w:tcPr>
          <w:p>
            <w:pPr>
              <w:spacing w:after="0"/>
              <w:rPr>
                <w:sz w:val="14"/>
                <w:szCs w:val="14"/>
                <w:color w:val="auto"/>
              </w:rPr>
            </w:pPr>
          </w:p>
        </w:tc>
        <w:tc>
          <w:tcPr>
            <w:tcW w:w="16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440" w:type="dxa"/>
            <w:vAlign w:val="bottom"/>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420" w:type="dxa"/>
            <w:vAlign w:val="bottom"/>
            <w:shd w:val="clear" w:color="auto" w:fill="D5E6F7"/>
          </w:tcPr>
          <w:p>
            <w:pPr>
              <w:spacing w:after="0"/>
              <w:rPr>
                <w:sz w:val="14"/>
                <w:szCs w:val="14"/>
                <w:color w:val="auto"/>
              </w:rPr>
            </w:pPr>
          </w:p>
        </w:tc>
        <w:tc>
          <w:tcPr>
            <w:tcW w:w="80" w:type="dxa"/>
            <w:vAlign w:val="bottom"/>
            <w:vMerge w:val="continue"/>
            <w:shd w:val="clear" w:color="auto" w:fill="D5E6F7"/>
          </w:tcPr>
          <w:p>
            <w:pPr>
              <w:spacing w:after="0"/>
              <w:rPr>
                <w:sz w:val="14"/>
                <w:szCs w:val="14"/>
                <w:color w:val="auto"/>
              </w:rPr>
            </w:pPr>
          </w:p>
        </w:tc>
        <w:tc>
          <w:tcPr>
            <w:tcW w:w="580" w:type="dxa"/>
            <w:vAlign w:val="bottom"/>
            <w:gridSpan w:val="2"/>
            <w:vMerge w:val="continue"/>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38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5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8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c>
          <w:tcPr>
            <w:tcW w:w="46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60" w:type="dxa"/>
            <w:vAlign w:val="bottom"/>
            <w:shd w:val="clear" w:color="auto" w:fill="D5E6F7"/>
          </w:tcPr>
          <w:p>
            <w:pPr>
              <w:spacing w:after="0"/>
              <w:rPr>
                <w:sz w:val="14"/>
                <w:szCs w:val="14"/>
                <w:color w:val="auto"/>
              </w:rPr>
            </w:pPr>
          </w:p>
        </w:tc>
        <w:tc>
          <w:tcPr>
            <w:tcW w:w="40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40" w:type="dxa"/>
            <w:vAlign w:val="bottom"/>
            <w:shd w:val="clear" w:color="auto" w:fill="D5E6F7"/>
          </w:tcPr>
          <w:p>
            <w:pPr>
              <w:spacing w:after="0"/>
              <w:rPr>
                <w:sz w:val="14"/>
                <w:szCs w:val="14"/>
                <w:color w:val="auto"/>
              </w:rPr>
            </w:pPr>
          </w:p>
        </w:tc>
        <w:tc>
          <w:tcPr>
            <w:tcW w:w="540" w:type="dxa"/>
            <w:vAlign w:val="bottom"/>
            <w:vMerge w:val="continue"/>
            <w:shd w:val="clear" w:color="auto" w:fill="D5E6F7"/>
          </w:tcPr>
          <w:p>
            <w:pPr>
              <w:spacing w:after="0"/>
              <w:rPr>
                <w:sz w:val="14"/>
                <w:szCs w:val="14"/>
                <w:color w:val="auto"/>
              </w:rPr>
            </w:pPr>
          </w:p>
        </w:tc>
        <w:tc>
          <w:tcPr>
            <w:tcW w:w="120" w:type="dxa"/>
            <w:vAlign w:val="bottom"/>
            <w:shd w:val="clear" w:color="auto" w:fill="D5E6F7"/>
          </w:tcPr>
          <w:p>
            <w:pPr>
              <w:spacing w:after="0"/>
              <w:rPr>
                <w:sz w:val="14"/>
                <w:szCs w:val="14"/>
                <w:color w:val="auto"/>
              </w:rPr>
            </w:pPr>
          </w:p>
        </w:tc>
        <w:tc>
          <w:tcPr>
            <w:tcW w:w="100" w:type="dxa"/>
            <w:vAlign w:val="bottom"/>
            <w:shd w:val="clear" w:color="auto" w:fill="D5E6F7"/>
          </w:tcPr>
          <w:p>
            <w:pPr>
              <w:spacing w:after="0"/>
              <w:rPr>
                <w:sz w:val="14"/>
                <w:szCs w:val="14"/>
                <w:color w:val="auto"/>
              </w:rPr>
            </w:pPr>
          </w:p>
        </w:tc>
        <w:tc>
          <w:tcPr>
            <w:tcW w:w="520" w:type="dxa"/>
            <w:vAlign w:val="bottom"/>
            <w:tcBorders>
              <w:right w:val="single" w:sz="8" w:color="D5E6F7"/>
            </w:tcBorders>
            <w:vMerge w:val="continue"/>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Pr>
          <w:p>
            <w:pPr>
              <w:ind w:left="100"/>
              <w:spacing w:after="0" w:line="108" w:lineRule="exact"/>
              <w:rPr>
                <w:sz w:val="20"/>
                <w:szCs w:val="20"/>
                <w:color w:val="auto"/>
              </w:rPr>
            </w:pPr>
            <w:r>
              <w:rPr>
                <w:rFonts w:ascii="Arial" w:cs="Arial" w:eastAsia="Arial" w:hAnsi="Arial"/>
                <w:sz w:val="12"/>
                <w:szCs w:val="12"/>
                <w:color w:val="auto"/>
              </w:rPr>
              <w:t>Stock issued to</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160,000</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991</w:t>
            </w: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991</w:t>
            </w:r>
          </w:p>
        </w:tc>
        <w:tc>
          <w:tcPr>
            <w:tcW w:w="0" w:type="dxa"/>
            <w:vAlign w:val="bottom"/>
          </w:tcPr>
          <w:p>
            <w:pPr>
              <w:spacing w:after="0"/>
              <w:rPr>
                <w:sz w:val="1"/>
                <w:szCs w:val="1"/>
                <w:color w:val="auto"/>
              </w:rPr>
            </w:pPr>
          </w:p>
        </w:tc>
      </w:tr>
      <w:tr>
        <w:trPr>
          <w:trHeight w:val="161"/>
        </w:trPr>
        <w:tc>
          <w:tcPr>
            <w:tcW w:w="1300" w:type="dxa"/>
            <w:vAlign w:val="bottom"/>
          </w:tcPr>
          <w:p>
            <w:pPr>
              <w:ind w:left="100"/>
              <w:spacing w:after="0"/>
              <w:rPr>
                <w:sz w:val="20"/>
                <w:szCs w:val="20"/>
                <w:color w:val="auto"/>
              </w:rPr>
            </w:pPr>
            <w:r>
              <w:rPr>
                <w:rFonts w:ascii="Arial" w:cs="Arial" w:eastAsia="Arial" w:hAnsi="Arial"/>
                <w:sz w:val="13"/>
                <w:szCs w:val="13"/>
                <w:color w:val="auto"/>
              </w:rPr>
              <w:t>purchase miners</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Borders>
              <w:bottom w:val="single" w:sz="8" w:color="D5E6F7"/>
            </w:tcBorders>
            <w:shd w:val="clear" w:color="auto" w:fill="D5E6F7"/>
          </w:tcPr>
          <w:p>
            <w:pPr>
              <w:ind w:left="100"/>
              <w:spacing w:after="0"/>
              <w:rPr>
                <w:sz w:val="20"/>
                <w:szCs w:val="20"/>
                <w:color w:val="auto"/>
              </w:rPr>
            </w:pPr>
            <w:r>
              <w:rPr>
                <w:rFonts w:ascii="Arial" w:cs="Arial" w:eastAsia="Arial" w:hAnsi="Arial"/>
                <w:sz w:val="13"/>
                <w:szCs w:val="13"/>
                <w:color w:val="auto"/>
              </w:rPr>
              <w:t>Net income</w:t>
            </w:r>
          </w:p>
        </w:tc>
        <w:tc>
          <w:tcPr>
            <w:tcW w:w="8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2"/>
                <w:szCs w:val="12"/>
                <w:color w:val="auto"/>
              </w:rPr>
            </w:pPr>
          </w:p>
        </w:tc>
        <w:tc>
          <w:tcPr>
            <w:tcW w:w="300" w:type="dxa"/>
            <w:vAlign w:val="bottom"/>
            <w:tcBorders>
              <w:bottom w:val="single" w:sz="8" w:color="auto"/>
            </w:tcBorders>
            <w:shd w:val="clear" w:color="auto" w:fill="D5E6F7"/>
          </w:tcPr>
          <w:p>
            <w:pPr>
              <w:spacing w:after="0"/>
              <w:rPr>
                <w:sz w:val="12"/>
                <w:szCs w:val="12"/>
                <w:color w:val="auto"/>
              </w:rPr>
            </w:pPr>
          </w:p>
        </w:tc>
        <w:tc>
          <w:tcPr>
            <w:tcW w:w="2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2"/>
                <w:szCs w:val="12"/>
                <w:color w:val="auto"/>
              </w:rPr>
            </w:pPr>
          </w:p>
        </w:tc>
        <w:tc>
          <w:tcPr>
            <w:tcW w:w="6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2"/>
                <w:szCs w:val="12"/>
                <w:color w:val="auto"/>
              </w:rPr>
            </w:pPr>
          </w:p>
        </w:tc>
        <w:tc>
          <w:tcPr>
            <w:tcW w:w="300" w:type="dxa"/>
            <w:vAlign w:val="bottom"/>
            <w:tcBorders>
              <w:bottom w:val="single" w:sz="8" w:color="auto"/>
            </w:tcBorders>
            <w:shd w:val="clear" w:color="auto" w:fill="D5E6F7"/>
          </w:tcPr>
          <w:p>
            <w:pPr>
              <w:spacing w:after="0"/>
              <w:rPr>
                <w:sz w:val="12"/>
                <w:szCs w:val="12"/>
                <w:color w:val="auto"/>
              </w:rPr>
            </w:pPr>
          </w:p>
        </w:tc>
        <w:tc>
          <w:tcPr>
            <w:tcW w:w="1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2"/>
                <w:szCs w:val="12"/>
                <w:color w:val="auto"/>
              </w:rPr>
            </w:pPr>
          </w:p>
        </w:tc>
        <w:tc>
          <w:tcPr>
            <w:tcW w:w="80" w:type="dxa"/>
            <w:vAlign w:val="bottom"/>
            <w:tcBorders>
              <w:bottom w:val="single" w:sz="8" w:color="auto"/>
            </w:tcBorders>
            <w:shd w:val="clear" w:color="auto" w:fill="D5E6F7"/>
          </w:tcPr>
          <w:p>
            <w:pPr>
              <w:spacing w:after="0"/>
              <w:rPr>
                <w:sz w:val="12"/>
                <w:szCs w:val="12"/>
                <w:color w:val="auto"/>
              </w:rPr>
            </w:pPr>
          </w:p>
        </w:tc>
        <w:tc>
          <w:tcPr>
            <w:tcW w:w="5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2"/>
                <w:szCs w:val="12"/>
                <w:color w:val="auto"/>
              </w:rPr>
            </w:pPr>
          </w:p>
        </w:tc>
        <w:tc>
          <w:tcPr>
            <w:tcW w:w="4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2"/>
                <w:szCs w:val="12"/>
                <w:color w:val="auto"/>
              </w:rPr>
            </w:pPr>
          </w:p>
        </w:tc>
        <w:tc>
          <w:tcPr>
            <w:tcW w:w="420" w:type="dxa"/>
            <w:vAlign w:val="bottom"/>
            <w:tcBorders>
              <w:bottom w:val="single" w:sz="8" w:color="auto"/>
            </w:tcBorders>
            <w:shd w:val="clear" w:color="auto" w:fill="D5E6F7"/>
          </w:tcPr>
          <w:p>
            <w:pPr>
              <w:spacing w:after="0"/>
              <w:rPr>
                <w:sz w:val="12"/>
                <w:szCs w:val="12"/>
                <w:color w:val="auto"/>
              </w:rPr>
            </w:pPr>
          </w:p>
        </w:tc>
        <w:tc>
          <w:tcPr>
            <w:tcW w:w="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D5E6F7"/>
            </w:tcBorders>
            <w:shd w:val="clear" w:color="auto" w:fill="D5E6F7"/>
          </w:tcPr>
          <w:p>
            <w:pPr>
              <w:spacing w:after="0"/>
              <w:rPr>
                <w:sz w:val="12"/>
                <w:szCs w:val="12"/>
                <w:color w:val="auto"/>
              </w:rPr>
            </w:pPr>
          </w:p>
        </w:tc>
        <w:tc>
          <w:tcPr>
            <w:tcW w:w="4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5E6F7"/>
            </w:tcBorders>
            <w:shd w:val="clear" w:color="auto" w:fill="D5E6F7"/>
          </w:tcPr>
          <w:p>
            <w:pPr>
              <w:spacing w:after="0"/>
              <w:rPr>
                <w:sz w:val="12"/>
                <w:szCs w:val="12"/>
                <w:color w:val="auto"/>
              </w:rPr>
            </w:pPr>
          </w:p>
        </w:tc>
        <w:tc>
          <w:tcPr>
            <w:tcW w:w="100" w:type="dxa"/>
            <w:vAlign w:val="bottom"/>
            <w:tcBorders>
              <w:bottom w:val="single" w:sz="8" w:color="auto"/>
            </w:tcBorders>
            <w:shd w:val="clear" w:color="auto" w:fill="D5E6F7"/>
          </w:tcPr>
          <w:p>
            <w:pPr>
              <w:spacing w:after="0"/>
              <w:rPr>
                <w:sz w:val="12"/>
                <w:szCs w:val="12"/>
                <w:color w:val="auto"/>
              </w:rPr>
            </w:pPr>
          </w:p>
        </w:tc>
        <w:tc>
          <w:tcPr>
            <w:tcW w:w="3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2"/>
                <w:szCs w:val="12"/>
                <w:color w:val="auto"/>
              </w:rPr>
            </w:pPr>
          </w:p>
        </w:tc>
        <w:tc>
          <w:tcPr>
            <w:tcW w:w="5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2"/>
                <w:szCs w:val="12"/>
                <w:color w:val="auto"/>
              </w:rPr>
            </w:pPr>
          </w:p>
        </w:tc>
        <w:tc>
          <w:tcPr>
            <w:tcW w:w="80" w:type="dxa"/>
            <w:vAlign w:val="bottom"/>
            <w:tcBorders>
              <w:bottom w:val="single" w:sz="8" w:color="auto"/>
            </w:tcBorders>
            <w:shd w:val="clear" w:color="auto" w:fill="D5E6F7"/>
          </w:tcPr>
          <w:p>
            <w:pPr>
              <w:spacing w:after="0"/>
              <w:rPr>
                <w:sz w:val="12"/>
                <w:szCs w:val="12"/>
                <w:color w:val="auto"/>
              </w:rPr>
            </w:pPr>
          </w:p>
        </w:tc>
        <w:tc>
          <w:tcPr>
            <w:tcW w:w="48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2"/>
                <w:szCs w:val="12"/>
                <w:color w:val="auto"/>
              </w:rPr>
            </w:pPr>
          </w:p>
        </w:tc>
        <w:tc>
          <w:tcPr>
            <w:tcW w:w="80" w:type="dxa"/>
            <w:vAlign w:val="bottom"/>
            <w:tcBorders>
              <w:bottom w:val="single" w:sz="8" w:color="auto"/>
            </w:tcBorders>
            <w:shd w:val="clear" w:color="auto" w:fill="D5E6F7"/>
          </w:tcPr>
          <w:p>
            <w:pPr>
              <w:spacing w:after="0"/>
              <w:rPr>
                <w:sz w:val="12"/>
                <w:szCs w:val="12"/>
                <w:color w:val="auto"/>
              </w:rPr>
            </w:pPr>
          </w:p>
        </w:tc>
        <w:tc>
          <w:tcPr>
            <w:tcW w:w="46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2"/>
                <w:szCs w:val="12"/>
                <w:color w:val="auto"/>
              </w:rPr>
            </w:pPr>
          </w:p>
        </w:tc>
        <w:tc>
          <w:tcPr>
            <w:tcW w:w="160" w:type="dxa"/>
            <w:vAlign w:val="bottom"/>
            <w:tcBorders>
              <w:bottom w:val="single" w:sz="8" w:color="auto"/>
            </w:tcBorders>
            <w:shd w:val="clear" w:color="auto" w:fill="D5E6F7"/>
          </w:tcPr>
          <w:p>
            <w:pPr>
              <w:spacing w:after="0"/>
              <w:rPr>
                <w:sz w:val="12"/>
                <w:szCs w:val="12"/>
                <w:color w:val="auto"/>
              </w:rPr>
            </w:pPr>
          </w:p>
        </w:tc>
        <w:tc>
          <w:tcPr>
            <w:tcW w:w="40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5E6F7"/>
            </w:tcBorders>
            <w:shd w:val="clear" w:color="auto" w:fill="D5E6F7"/>
          </w:tcPr>
          <w:p>
            <w:pPr>
              <w:spacing w:after="0"/>
              <w:rPr>
                <w:sz w:val="12"/>
                <w:szCs w:val="12"/>
                <w:color w:val="auto"/>
              </w:rPr>
            </w:pPr>
          </w:p>
        </w:tc>
        <w:tc>
          <w:tcPr>
            <w:tcW w:w="140" w:type="dxa"/>
            <w:vAlign w:val="bottom"/>
            <w:tcBorders>
              <w:bottom w:val="single" w:sz="8" w:color="auto"/>
            </w:tcBorders>
            <w:shd w:val="clear" w:color="auto" w:fill="D5E6F7"/>
          </w:tcPr>
          <w:p>
            <w:pPr>
              <w:spacing w:after="0"/>
              <w:rPr>
                <w:sz w:val="12"/>
                <w:szCs w:val="12"/>
                <w:color w:val="auto"/>
              </w:rPr>
            </w:pPr>
          </w:p>
        </w:tc>
        <w:tc>
          <w:tcPr>
            <w:tcW w:w="540" w:type="dxa"/>
            <w:vAlign w:val="bottom"/>
            <w:tcBorders>
              <w:bottom w:val="single" w:sz="8" w:color="auto"/>
            </w:tcBorders>
            <w:shd w:val="clear" w:color="auto" w:fill="D5E6F7"/>
          </w:tcPr>
          <w:p>
            <w:pPr>
              <w:jc w:val="right"/>
              <w:spacing w:after="0"/>
              <w:rPr>
                <w:sz w:val="20"/>
                <w:szCs w:val="20"/>
                <w:color w:val="auto"/>
              </w:rPr>
            </w:pPr>
            <w:r>
              <w:rPr>
                <w:rFonts w:ascii="Arial" w:cs="Arial" w:eastAsia="Arial" w:hAnsi="Arial"/>
                <w:sz w:val="13"/>
                <w:szCs w:val="13"/>
                <w:color w:val="auto"/>
              </w:rPr>
              <w:t>1,279</w:t>
            </w:r>
          </w:p>
        </w:tc>
        <w:tc>
          <w:tcPr>
            <w:tcW w:w="120" w:type="dxa"/>
            <w:vAlign w:val="bottom"/>
            <w:tcBorders>
              <w:bottom w:val="single" w:sz="8" w:color="D5E6F7"/>
            </w:tcBorders>
            <w:shd w:val="clear" w:color="auto" w:fill="D5E6F7"/>
          </w:tcPr>
          <w:p>
            <w:pPr>
              <w:spacing w:after="0"/>
              <w:rPr>
                <w:sz w:val="12"/>
                <w:szCs w:val="12"/>
                <w:color w:val="auto"/>
              </w:rPr>
            </w:pPr>
          </w:p>
        </w:tc>
        <w:tc>
          <w:tcPr>
            <w:tcW w:w="100" w:type="dxa"/>
            <w:vAlign w:val="bottom"/>
            <w:tcBorders>
              <w:bottom w:val="single" w:sz="8" w:color="auto"/>
            </w:tcBorders>
            <w:shd w:val="clear" w:color="auto" w:fill="D5E6F7"/>
          </w:tcPr>
          <w:p>
            <w:pPr>
              <w:spacing w:after="0"/>
              <w:rPr>
                <w:sz w:val="12"/>
                <w:szCs w:val="12"/>
                <w:color w:val="auto"/>
              </w:rPr>
            </w:pPr>
          </w:p>
        </w:tc>
        <w:tc>
          <w:tcPr>
            <w:tcW w:w="520" w:type="dxa"/>
            <w:vAlign w:val="bottom"/>
            <w:tcBorders>
              <w:bottom w:val="single" w:sz="8" w:color="auto"/>
              <w:right w:val="single" w:sz="8" w:color="D5E6F7"/>
            </w:tcBorders>
            <w:shd w:val="clear" w:color="auto" w:fill="D5E6F7"/>
          </w:tcPr>
          <w:p>
            <w:pPr>
              <w:jc w:val="right"/>
              <w:spacing w:after="0"/>
              <w:rPr>
                <w:sz w:val="20"/>
                <w:szCs w:val="20"/>
                <w:color w:val="auto"/>
              </w:rPr>
            </w:pPr>
            <w:r>
              <w:rPr>
                <w:rFonts w:ascii="Arial" w:cs="Arial" w:eastAsia="Arial" w:hAnsi="Arial"/>
                <w:sz w:val="13"/>
                <w:szCs w:val="13"/>
                <w:color w:val="auto"/>
              </w:rPr>
              <w:t>1,279</w:t>
            </w:r>
          </w:p>
        </w:tc>
        <w:tc>
          <w:tcPr>
            <w:tcW w:w="0" w:type="dxa"/>
            <w:vAlign w:val="bottom"/>
          </w:tcPr>
          <w:p>
            <w:pPr>
              <w:spacing w:after="0"/>
              <w:rPr>
                <w:sz w:val="1"/>
                <w:szCs w:val="1"/>
                <w:color w:val="auto"/>
              </w:rPr>
            </w:pPr>
          </w:p>
        </w:tc>
      </w:tr>
      <w:tr>
        <w:trPr>
          <w:trHeight w:val="102"/>
        </w:trPr>
        <w:tc>
          <w:tcPr>
            <w:tcW w:w="13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at March 31,</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1,620,000</w:t>
            </w:r>
          </w:p>
        </w:tc>
        <w:tc>
          <w:tcPr>
            <w:tcW w:w="400" w:type="dxa"/>
            <w:vAlign w:val="bottom"/>
            <w:gridSpan w:val="2"/>
            <w:vMerge w:val="restart"/>
          </w:tcPr>
          <w:p>
            <w:pPr>
              <w:jc w:val="right"/>
              <w:ind w:right="162"/>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28,320,000</w:t>
            </w:r>
          </w:p>
        </w:tc>
        <w:tc>
          <w:tcPr>
            <w:tcW w:w="400" w:type="dxa"/>
            <w:vAlign w:val="bottom"/>
            <w:gridSpan w:val="2"/>
            <w:vMerge w:val="restart"/>
          </w:tcPr>
          <w:p>
            <w:pPr>
              <w:jc w:val="right"/>
              <w:ind w:right="162"/>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97"/>
              </w:rPr>
              <w:t>112,647</w:t>
            </w:r>
          </w:p>
        </w:tc>
        <w:tc>
          <w:tcPr>
            <w:tcW w:w="12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(23,637 )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89,014</w:t>
            </w:r>
          </w:p>
        </w:tc>
        <w:tc>
          <w:tcPr>
            <w:tcW w:w="0" w:type="dxa"/>
            <w:vAlign w:val="bottom"/>
          </w:tcPr>
          <w:p>
            <w:pPr>
              <w:spacing w:after="0"/>
              <w:rPr>
                <w:sz w:val="1"/>
                <w:szCs w:val="1"/>
                <w:color w:val="auto"/>
              </w:rPr>
            </w:pPr>
          </w:p>
        </w:tc>
      </w:tr>
      <w:tr>
        <w:trPr>
          <w:trHeight w:val="121"/>
        </w:trPr>
        <w:tc>
          <w:tcPr>
            <w:tcW w:w="1300" w:type="dxa"/>
            <w:vAlign w:val="bottom"/>
          </w:tcPr>
          <w:p>
            <w:pPr>
              <w:ind w:left="120"/>
              <w:spacing w:after="0" w:line="102" w:lineRule="exact"/>
              <w:rPr>
                <w:sz w:val="20"/>
                <w:szCs w:val="20"/>
                <w:color w:val="auto"/>
              </w:rPr>
            </w:pPr>
            <w:r>
              <w:rPr>
                <w:rFonts w:ascii="Arial" w:cs="Arial" w:eastAsia="Arial" w:hAnsi="Arial"/>
                <w:sz w:val="10"/>
                <w:szCs w:val="10"/>
                <w:b w:val="1"/>
                <w:bCs w:val="1"/>
                <w:color w:val="auto"/>
              </w:rPr>
              <w:t>2021</w:t>
            </w:r>
          </w:p>
        </w:tc>
        <w:tc>
          <w:tcPr>
            <w:tcW w:w="80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-2285365</wp:posOffset>
            </wp:positionV>
            <wp:extent cx="3429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-2285365</wp:posOffset>
            </wp:positionV>
            <wp:extent cx="3429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-2285365</wp:posOffset>
            </wp:positionV>
            <wp:extent cx="3429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-2285365</wp:posOffset>
            </wp:positionV>
            <wp:extent cx="3429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-2285365</wp:posOffset>
            </wp:positionV>
            <wp:extent cx="3429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-2285365</wp:posOffset>
            </wp:positionV>
            <wp:extent cx="342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-2285365</wp:posOffset>
            </wp:positionV>
            <wp:extent cx="260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-2285365</wp:posOffset>
            </wp:positionV>
            <wp:extent cx="3429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-2285365</wp:posOffset>
            </wp:positionV>
            <wp:extent cx="3429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-2285365</wp:posOffset>
            </wp:positionV>
            <wp:extent cx="3429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-2285365</wp:posOffset>
            </wp:positionV>
            <wp:extent cx="3429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-2285365</wp:posOffset>
            </wp:positionV>
            <wp:extent cx="3429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-2285365</wp:posOffset>
            </wp:positionV>
            <wp:extent cx="3429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-2285365</wp:posOffset>
            </wp:positionV>
            <wp:extent cx="342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-2285365</wp:posOffset>
            </wp:positionV>
            <wp:extent cx="3429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-176530</wp:posOffset>
            </wp:positionV>
            <wp:extent cx="3429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-176530</wp:posOffset>
            </wp:positionV>
            <wp:extent cx="3429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-176530</wp:posOffset>
            </wp:positionV>
            <wp:extent cx="3429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-176530</wp:posOffset>
            </wp:positionV>
            <wp:extent cx="3429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-176530</wp:posOffset>
            </wp:positionV>
            <wp:extent cx="3429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-176530</wp:posOffset>
            </wp:positionV>
            <wp:extent cx="3429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-176530</wp:posOffset>
            </wp:positionV>
            <wp:extent cx="260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-176530</wp:posOffset>
            </wp:positionV>
            <wp:extent cx="3429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-176530</wp:posOffset>
            </wp:positionV>
            <wp:extent cx="3429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-176530</wp:posOffset>
            </wp:positionV>
            <wp:extent cx="3429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-176530</wp:posOffset>
            </wp:positionV>
            <wp:extent cx="3429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-176530</wp:posOffset>
            </wp:positionV>
            <wp:extent cx="3429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-176530</wp:posOffset>
            </wp:positionV>
            <wp:extent cx="3429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-176530</wp:posOffset>
            </wp:positionV>
            <wp:extent cx="3429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-176530</wp:posOffset>
            </wp:positionV>
            <wp:extent cx="342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Greenidge Generation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90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76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CASH FLOW FROM OPERATING ACTIVITIES:</w:t>
            </w:r>
          </w:p>
        </w:tc>
        <w:tc>
          <w:tcPr>
            <w:tcW w:w="1020" w:type="dxa"/>
            <w:vAlign w:val="bottom"/>
            <w:shd w:val="clear" w:color="auto" w:fill="D5E6F7"/>
          </w:tcPr>
          <w:p>
            <w:pPr>
              <w:spacing w:after="0"/>
              <w:rPr>
                <w:sz w:val="17"/>
                <w:szCs w:val="17"/>
                <w:color w:val="auto"/>
              </w:rPr>
            </w:pPr>
          </w:p>
        </w:tc>
        <w:tc>
          <w:tcPr>
            <w:tcW w:w="600" w:type="dxa"/>
            <w:vAlign w:val="bottom"/>
            <w:shd w:val="clear" w:color="auto" w:fill="D5E6F7"/>
          </w:tcPr>
          <w:p>
            <w:pPr>
              <w:spacing w:after="0"/>
              <w:rPr>
                <w:sz w:val="17"/>
                <w:szCs w:val="17"/>
                <w:color w:val="auto"/>
              </w:rPr>
            </w:pPr>
          </w:p>
        </w:tc>
        <w:tc>
          <w:tcPr>
            <w:tcW w:w="260" w:type="dxa"/>
            <w:vAlign w:val="bottom"/>
            <w:shd w:val="clear" w:color="auto" w:fill="D5E6F7"/>
          </w:tcPr>
          <w:p>
            <w:pPr>
              <w:spacing w:after="0"/>
              <w:rPr>
                <w:sz w:val="17"/>
                <w:szCs w:val="17"/>
                <w:color w:val="auto"/>
              </w:rPr>
            </w:pPr>
          </w:p>
        </w:tc>
        <w:tc>
          <w:tcPr>
            <w:tcW w:w="10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Net (loss) income</w:t>
            </w:r>
          </w:p>
        </w:tc>
        <w:tc>
          <w:tcPr>
            <w:tcW w:w="1020" w:type="dxa"/>
            <w:vAlign w:val="bottom"/>
          </w:tcPr>
          <w:p>
            <w:pPr>
              <w:jc w:val="right"/>
              <w:ind w:right="815"/>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(429 )</w:t>
            </w:r>
          </w:p>
        </w:tc>
        <w:tc>
          <w:tcPr>
            <w:tcW w:w="1020" w:type="dxa"/>
            <w:vAlign w:val="bottom"/>
          </w:tcPr>
          <w:p>
            <w:pPr>
              <w:jc w:val="right"/>
              <w:ind w:right="833"/>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c>
          <w:tcPr>
            <w:tcW w:w="80" w:type="dxa"/>
            <w:vAlign w:val="bottom"/>
          </w:tcPr>
          <w:p>
            <w:pPr>
              <w:spacing w:after="0"/>
              <w:rPr>
                <w:sz w:val="17"/>
                <w:szCs w:val="17"/>
                <w:color w:val="auto"/>
              </w:rPr>
            </w:pPr>
          </w:p>
        </w:tc>
      </w:tr>
      <w:tr>
        <w:trPr>
          <w:trHeight w:val="162"/>
        </w:trPr>
        <w:tc>
          <w:tcPr>
            <w:tcW w:w="7680" w:type="dxa"/>
            <w:vAlign w:val="bottom"/>
            <w:shd w:val="clear" w:color="auto" w:fill="D5E6F7"/>
          </w:tcPr>
          <w:p>
            <w:pPr>
              <w:ind w:left="200"/>
              <w:spacing w:after="0" w:line="162" w:lineRule="exact"/>
              <w:rPr>
                <w:sz w:val="20"/>
                <w:szCs w:val="20"/>
                <w:color w:val="auto"/>
              </w:rPr>
            </w:pPr>
            <w:r>
              <w:rPr>
                <w:rFonts w:ascii="Arial" w:cs="Arial" w:eastAsia="Arial" w:hAnsi="Arial"/>
                <w:sz w:val="18"/>
                <w:szCs w:val="18"/>
                <w:color w:val="auto"/>
              </w:rPr>
              <w:t>Adjustments to reconcile net (loss) income to net cash</w:t>
            </w:r>
          </w:p>
        </w:tc>
        <w:tc>
          <w:tcPr>
            <w:tcW w:w="1020" w:type="dxa"/>
            <w:vAlign w:val="bottom"/>
            <w:shd w:val="clear" w:color="auto" w:fill="D5E6F7"/>
          </w:tcPr>
          <w:p>
            <w:pPr>
              <w:spacing w:after="0"/>
              <w:rPr>
                <w:sz w:val="14"/>
                <w:szCs w:val="14"/>
                <w:color w:val="auto"/>
              </w:rPr>
            </w:pPr>
          </w:p>
        </w:tc>
        <w:tc>
          <w:tcPr>
            <w:tcW w:w="600" w:type="dxa"/>
            <w:vAlign w:val="bottom"/>
            <w:shd w:val="clear" w:color="auto" w:fill="D5E6F7"/>
          </w:tcPr>
          <w:p>
            <w:pPr>
              <w:spacing w:after="0"/>
              <w:rPr>
                <w:sz w:val="14"/>
                <w:szCs w:val="14"/>
                <w:color w:val="auto"/>
              </w:rPr>
            </w:pPr>
          </w:p>
        </w:tc>
        <w:tc>
          <w:tcPr>
            <w:tcW w:w="260" w:type="dxa"/>
            <w:vAlign w:val="bottom"/>
            <w:shd w:val="clear" w:color="auto" w:fill="D5E6F7"/>
          </w:tcPr>
          <w:p>
            <w:pPr>
              <w:spacing w:after="0"/>
              <w:rPr>
                <w:sz w:val="14"/>
                <w:szCs w:val="14"/>
                <w:color w:val="auto"/>
              </w:rPr>
            </w:pPr>
          </w:p>
        </w:tc>
        <w:tc>
          <w:tcPr>
            <w:tcW w:w="1020" w:type="dxa"/>
            <w:vAlign w:val="bottom"/>
            <w:shd w:val="clear" w:color="auto" w:fill="D5E6F7"/>
          </w:tcPr>
          <w:p>
            <w:pPr>
              <w:spacing w:after="0"/>
              <w:rPr>
                <w:sz w:val="14"/>
                <w:szCs w:val="14"/>
                <w:color w:val="auto"/>
              </w:rPr>
            </w:pPr>
          </w:p>
        </w:tc>
        <w:tc>
          <w:tcPr>
            <w:tcW w:w="580" w:type="dxa"/>
            <w:vAlign w:val="bottom"/>
            <w:shd w:val="clear" w:color="auto" w:fill="D5E6F7"/>
          </w:tcPr>
          <w:p>
            <w:pPr>
              <w:spacing w:after="0"/>
              <w:rPr>
                <w:sz w:val="14"/>
                <w:szCs w:val="14"/>
                <w:color w:val="auto"/>
              </w:rPr>
            </w:pPr>
          </w:p>
        </w:tc>
        <w:tc>
          <w:tcPr>
            <w:tcW w:w="80" w:type="dxa"/>
            <w:vAlign w:val="bottom"/>
            <w:shd w:val="clear" w:color="auto" w:fill="D5E6F7"/>
          </w:tcPr>
          <w:p>
            <w:pPr>
              <w:spacing w:after="0"/>
              <w:rPr>
                <w:sz w:val="14"/>
                <w:szCs w:val="14"/>
                <w:color w:val="auto"/>
              </w:rPr>
            </w:pPr>
          </w:p>
        </w:tc>
      </w:tr>
      <w:tr>
        <w:trPr>
          <w:trHeight w:val="216"/>
        </w:trPr>
        <w:tc>
          <w:tcPr>
            <w:tcW w:w="7680" w:type="dxa"/>
            <w:vAlign w:val="bottom"/>
            <w:shd w:val="clear" w:color="auto" w:fill="D5E6F7"/>
          </w:tcPr>
          <w:p>
            <w:pPr>
              <w:ind w:left="340"/>
              <w:spacing w:after="0"/>
              <w:rPr>
                <w:sz w:val="20"/>
                <w:szCs w:val="20"/>
                <w:color w:val="auto"/>
              </w:rPr>
            </w:pPr>
            <w:r>
              <w:rPr>
                <w:rFonts w:ascii="Arial" w:cs="Arial" w:eastAsia="Arial" w:hAnsi="Arial"/>
                <w:sz w:val="18"/>
                <w:szCs w:val="18"/>
                <w:color w:val="auto"/>
              </w:rPr>
              <w:t>flow from operating activities:</w:t>
            </w:r>
          </w:p>
        </w:tc>
        <w:tc>
          <w:tcPr>
            <w:tcW w:w="1020" w:type="dxa"/>
            <w:vAlign w:val="bottom"/>
            <w:shd w:val="clear" w:color="auto" w:fill="D5E6F7"/>
          </w:tcPr>
          <w:p>
            <w:pPr>
              <w:spacing w:after="0"/>
              <w:rPr>
                <w:sz w:val="18"/>
                <w:szCs w:val="18"/>
                <w:color w:val="auto"/>
              </w:rPr>
            </w:pPr>
          </w:p>
        </w:tc>
        <w:tc>
          <w:tcPr>
            <w:tcW w:w="600" w:type="dxa"/>
            <w:vAlign w:val="bottom"/>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1020" w:type="dxa"/>
            <w:vAlign w:val="bottom"/>
            <w:shd w:val="clear" w:color="auto" w:fill="D5E6F7"/>
          </w:tcPr>
          <w:p>
            <w:pPr>
              <w:spacing w:after="0"/>
              <w:rPr>
                <w:sz w:val="18"/>
                <w:szCs w:val="18"/>
                <w:color w:val="auto"/>
              </w:rPr>
            </w:pPr>
          </w:p>
        </w:tc>
        <w:tc>
          <w:tcPr>
            <w:tcW w:w="580" w:type="dxa"/>
            <w:vAlign w:val="bottom"/>
            <w:shd w:val="clear" w:color="auto" w:fill="D5E6F7"/>
          </w:tcPr>
          <w:p>
            <w:pPr>
              <w:spacing w:after="0"/>
              <w:rPr>
                <w:sz w:val="18"/>
                <w:szCs w:val="18"/>
                <w:color w:val="auto"/>
              </w:rPr>
            </w:pPr>
          </w:p>
        </w:tc>
        <w:tc>
          <w:tcPr>
            <w:tcW w:w="80" w:type="dxa"/>
            <w:vAlign w:val="bottom"/>
            <w:shd w:val="clear" w:color="auto" w:fill="D5E6F7"/>
          </w:tcPr>
          <w:p>
            <w:pPr>
              <w:spacing w:after="0"/>
              <w:rPr>
                <w:sz w:val="18"/>
                <w:szCs w:val="18"/>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3,978</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1,261</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380"/>
              <w:spacing w:after="0" w:line="202" w:lineRule="exact"/>
              <w:rPr>
                <w:sz w:val="20"/>
                <w:szCs w:val="20"/>
                <w:color w:val="auto"/>
              </w:rPr>
            </w:pPr>
            <w:r>
              <w:rPr>
                <w:rFonts w:ascii="Arial" w:cs="Arial" w:eastAsia="Arial" w:hAnsi="Arial"/>
                <w:sz w:val="18"/>
                <w:szCs w:val="18"/>
                <w:color w:val="auto"/>
              </w:rPr>
              <w:t>Deferred income taxes</w:t>
            </w:r>
          </w:p>
        </w:tc>
        <w:tc>
          <w:tcPr>
            <w:tcW w:w="1020" w:type="dxa"/>
            <w:vAlign w:val="bottom"/>
            <w:shd w:val="clear" w:color="auto" w:fill="D5E6F7"/>
          </w:tcPr>
          <w:p>
            <w:pPr>
              <w:spacing w:after="0"/>
              <w:rPr>
                <w:sz w:val="17"/>
                <w:szCs w:val="17"/>
                <w:color w:val="auto"/>
              </w:rPr>
            </w:pPr>
          </w:p>
        </w:tc>
        <w:tc>
          <w:tcPr>
            <w:tcW w:w="86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rPr>
              <w:t>(1,788 )</w:t>
            </w:r>
          </w:p>
        </w:tc>
        <w:tc>
          <w:tcPr>
            <w:tcW w:w="1020" w:type="dxa"/>
            <w:vAlign w:val="bottom"/>
            <w:shd w:val="clear" w:color="auto" w:fill="D5E6F7"/>
          </w:tcPr>
          <w:p>
            <w:pPr>
              <w:spacing w:after="0"/>
              <w:rPr>
                <w:sz w:val="17"/>
                <w:szCs w:val="17"/>
                <w:color w:val="auto"/>
              </w:rPr>
            </w:pPr>
          </w:p>
        </w:tc>
        <w:tc>
          <w:tcPr>
            <w:tcW w:w="5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482</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Amortization of debt issuance costs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424</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380"/>
              <w:spacing w:after="0" w:line="202" w:lineRule="exact"/>
              <w:rPr>
                <w:sz w:val="20"/>
                <w:szCs w:val="20"/>
                <w:color w:val="auto"/>
              </w:rPr>
            </w:pPr>
            <w:r>
              <w:rPr>
                <w:rFonts w:ascii="Arial" w:cs="Arial" w:eastAsia="Arial" w:hAnsi="Arial"/>
                <w:sz w:val="18"/>
                <w:szCs w:val="18"/>
                <w:color w:val="auto"/>
              </w:rPr>
              <w:t>Accretion of asset retirement obligations</w:t>
            </w:r>
          </w:p>
        </w:tc>
        <w:tc>
          <w:tcPr>
            <w:tcW w:w="1020" w:type="dxa"/>
            <w:vAlign w:val="bottom"/>
            <w:shd w:val="clear" w:color="auto" w:fill="D5E6F7"/>
          </w:tcPr>
          <w:p>
            <w:pPr>
              <w:spacing w:after="0"/>
              <w:rPr>
                <w:sz w:val="17"/>
                <w:szCs w:val="17"/>
                <w:color w:val="auto"/>
              </w:rPr>
            </w:pPr>
          </w:p>
        </w:tc>
        <w:tc>
          <w:tcPr>
            <w:tcW w:w="6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5E6F7"/>
          </w:tcPr>
          <w:p>
            <w:pPr>
              <w:spacing w:after="0"/>
              <w:rPr>
                <w:sz w:val="17"/>
                <w:szCs w:val="17"/>
                <w:color w:val="auto"/>
              </w:rPr>
            </w:pPr>
          </w:p>
        </w:tc>
        <w:tc>
          <w:tcPr>
            <w:tcW w:w="1020" w:type="dxa"/>
            <w:vAlign w:val="bottom"/>
            <w:shd w:val="clear" w:color="auto" w:fill="D5E6F7"/>
          </w:tcPr>
          <w:p>
            <w:pPr>
              <w:spacing w:after="0"/>
              <w:rPr>
                <w:sz w:val="17"/>
                <w:szCs w:val="17"/>
                <w:color w:val="auto"/>
              </w:rPr>
            </w:pPr>
          </w:p>
        </w:tc>
        <w:tc>
          <w:tcPr>
            <w:tcW w:w="5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20" w:type="dxa"/>
            <w:vAlign w:val="bottom"/>
            <w:shd w:val="clear" w:color="auto" w:fill="D5E6F7"/>
          </w:tcPr>
          <w:p>
            <w:pPr>
              <w:spacing w:after="0"/>
              <w:rPr>
                <w:sz w:val="17"/>
                <w:szCs w:val="17"/>
                <w:color w:val="auto"/>
              </w:rPr>
            </w:pPr>
          </w:p>
        </w:tc>
        <w:tc>
          <w:tcPr>
            <w:tcW w:w="600" w:type="dxa"/>
            <w:vAlign w:val="bottom"/>
            <w:shd w:val="clear" w:color="auto" w:fill="D5E6F7"/>
          </w:tcPr>
          <w:p>
            <w:pPr>
              <w:spacing w:after="0"/>
              <w:rPr>
                <w:sz w:val="17"/>
                <w:szCs w:val="17"/>
                <w:color w:val="auto"/>
              </w:rPr>
            </w:pPr>
          </w:p>
        </w:tc>
        <w:tc>
          <w:tcPr>
            <w:tcW w:w="260" w:type="dxa"/>
            <w:vAlign w:val="bottom"/>
            <w:shd w:val="clear" w:color="auto" w:fill="D5E6F7"/>
          </w:tcPr>
          <w:p>
            <w:pPr>
              <w:spacing w:after="0"/>
              <w:rPr>
                <w:sz w:val="17"/>
                <w:szCs w:val="17"/>
                <w:color w:val="auto"/>
              </w:rPr>
            </w:pPr>
          </w:p>
        </w:tc>
        <w:tc>
          <w:tcPr>
            <w:tcW w:w="1020" w:type="dxa"/>
            <w:vAlign w:val="bottom"/>
            <w:shd w:val="clear" w:color="auto" w:fill="D5E6F7"/>
          </w:tcPr>
          <w:p>
            <w:pPr>
              <w:spacing w:after="0"/>
              <w:rPr>
                <w:sz w:val="17"/>
                <w:szCs w:val="17"/>
                <w:color w:val="auto"/>
              </w:rPr>
            </w:pPr>
          </w:p>
        </w:tc>
        <w:tc>
          <w:tcPr>
            <w:tcW w:w="58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560"/>
              <w:spacing w:after="0" w:line="202" w:lineRule="exact"/>
              <w:rPr>
                <w:sz w:val="20"/>
                <w:szCs w:val="20"/>
                <w:color w:val="auto"/>
              </w:rPr>
            </w:pPr>
            <w:r>
              <w:rPr>
                <w:rFonts w:ascii="Arial" w:cs="Arial" w:eastAsia="Arial" w:hAnsi="Arial"/>
                <w:sz w:val="18"/>
                <w:szCs w:val="18"/>
                <w:color w:val="auto"/>
              </w:rPr>
              <w:t>Accounts receivable</w:t>
            </w:r>
          </w:p>
        </w:tc>
        <w:tc>
          <w:tcPr>
            <w:tcW w:w="1020" w:type="dxa"/>
            <w:vAlign w:val="bottom"/>
          </w:tcPr>
          <w:p>
            <w:pPr>
              <w:spacing w:after="0"/>
              <w:rPr>
                <w:sz w:val="17"/>
                <w:szCs w:val="17"/>
                <w:color w:val="auto"/>
              </w:rPr>
            </w:pP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(45 )</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560"/>
              <w:spacing w:after="0" w:line="202" w:lineRule="exact"/>
              <w:rPr>
                <w:sz w:val="20"/>
                <w:szCs w:val="20"/>
                <w:color w:val="auto"/>
              </w:rPr>
            </w:pPr>
            <w:r>
              <w:rPr>
                <w:rFonts w:ascii="Arial" w:cs="Arial" w:eastAsia="Arial" w:hAnsi="Arial"/>
                <w:sz w:val="18"/>
                <w:szCs w:val="18"/>
                <w:color w:val="auto"/>
              </w:rPr>
              <w:t>Emissions and carbon offset credits</w:t>
            </w:r>
          </w:p>
        </w:tc>
        <w:tc>
          <w:tcPr>
            <w:tcW w:w="1020" w:type="dxa"/>
            <w:vAlign w:val="bottom"/>
            <w:shd w:val="clear" w:color="auto" w:fill="D5E6F7"/>
          </w:tcPr>
          <w:p>
            <w:pPr>
              <w:spacing w:after="0"/>
              <w:rPr>
                <w:sz w:val="17"/>
                <w:szCs w:val="17"/>
                <w:color w:val="auto"/>
              </w:rPr>
            </w:pPr>
          </w:p>
        </w:tc>
        <w:tc>
          <w:tcPr>
            <w:tcW w:w="6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1,336</w:t>
            </w:r>
          </w:p>
        </w:tc>
        <w:tc>
          <w:tcPr>
            <w:tcW w:w="260" w:type="dxa"/>
            <w:vAlign w:val="bottom"/>
            <w:shd w:val="clear" w:color="auto" w:fill="D5E6F7"/>
          </w:tcPr>
          <w:p>
            <w:pPr>
              <w:spacing w:after="0"/>
              <w:rPr>
                <w:sz w:val="17"/>
                <w:szCs w:val="17"/>
                <w:color w:val="auto"/>
              </w:rPr>
            </w:pPr>
          </w:p>
        </w:tc>
        <w:tc>
          <w:tcPr>
            <w:tcW w:w="1020" w:type="dxa"/>
            <w:vAlign w:val="bottom"/>
            <w:shd w:val="clear" w:color="auto" w:fill="D5E6F7"/>
          </w:tcPr>
          <w:p>
            <w:pPr>
              <w:spacing w:after="0"/>
              <w:rPr>
                <w:sz w:val="17"/>
                <w:szCs w:val="17"/>
                <w:color w:val="auto"/>
              </w:rPr>
            </w:pPr>
          </w:p>
        </w:tc>
        <w:tc>
          <w:tcPr>
            <w:tcW w:w="5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1,336</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560"/>
              <w:spacing w:after="0" w:line="202" w:lineRule="exact"/>
              <w:rPr>
                <w:sz w:val="20"/>
                <w:szCs w:val="20"/>
                <w:color w:val="auto"/>
              </w:rPr>
            </w:pPr>
            <w:r>
              <w:rPr>
                <w:rFonts w:ascii="Arial" w:cs="Arial" w:eastAsia="Arial" w:hAnsi="Arial"/>
                <w:sz w:val="18"/>
                <w:szCs w:val="18"/>
                <w:color w:val="auto"/>
              </w:rPr>
              <w:t>Prepaids and other assets</w:t>
            </w:r>
          </w:p>
        </w:tc>
        <w:tc>
          <w:tcPr>
            <w:tcW w:w="1020" w:type="dxa"/>
            <w:vAlign w:val="bottom"/>
          </w:tcPr>
          <w:p>
            <w:pPr>
              <w:spacing w:after="0"/>
              <w:rPr>
                <w:sz w:val="17"/>
                <w:szCs w:val="17"/>
                <w:color w:val="auto"/>
              </w:rPr>
            </w:pP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(1,608 )</w:t>
            </w:r>
          </w:p>
        </w:tc>
        <w:tc>
          <w:tcPr>
            <w:tcW w:w="10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(704 )</w:t>
            </w:r>
          </w:p>
        </w:tc>
      </w:tr>
      <w:tr>
        <w:trPr>
          <w:trHeight w:val="203"/>
        </w:trPr>
        <w:tc>
          <w:tcPr>
            <w:tcW w:w="7680" w:type="dxa"/>
            <w:vAlign w:val="bottom"/>
            <w:shd w:val="clear" w:color="auto" w:fill="D5E6F7"/>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1020" w:type="dxa"/>
            <w:vAlign w:val="bottom"/>
            <w:shd w:val="clear" w:color="auto" w:fill="D5E6F7"/>
          </w:tcPr>
          <w:p>
            <w:pPr>
              <w:spacing w:after="0"/>
              <w:rPr>
                <w:sz w:val="17"/>
                <w:szCs w:val="17"/>
                <w:color w:val="auto"/>
              </w:rPr>
            </w:pPr>
          </w:p>
        </w:tc>
        <w:tc>
          <w:tcPr>
            <w:tcW w:w="6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1,398</w:t>
            </w:r>
          </w:p>
        </w:tc>
        <w:tc>
          <w:tcPr>
            <w:tcW w:w="260" w:type="dxa"/>
            <w:vAlign w:val="bottom"/>
            <w:shd w:val="clear" w:color="auto" w:fill="D5E6F7"/>
          </w:tcPr>
          <w:p>
            <w:pPr>
              <w:spacing w:after="0"/>
              <w:rPr>
                <w:sz w:val="17"/>
                <w:szCs w:val="17"/>
                <w:color w:val="auto"/>
              </w:rPr>
            </w:pPr>
          </w:p>
        </w:tc>
        <w:tc>
          <w:tcPr>
            <w:tcW w:w="1020" w:type="dxa"/>
            <w:vAlign w:val="bottom"/>
            <w:shd w:val="clear" w:color="auto" w:fill="D5E6F7"/>
          </w:tcPr>
          <w:p>
            <w:pPr>
              <w:spacing w:after="0"/>
              <w:rPr>
                <w:sz w:val="17"/>
                <w:szCs w:val="17"/>
                <w:color w:val="auto"/>
              </w:rPr>
            </w:pPr>
          </w:p>
        </w:tc>
        <w:tc>
          <w:tcPr>
            <w:tcW w:w="66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(770 )</w:t>
            </w:r>
          </w:p>
        </w:tc>
      </w:tr>
      <w:tr>
        <w:trPr>
          <w:trHeight w:val="203"/>
        </w:trPr>
        <w:tc>
          <w:tcPr>
            <w:tcW w:w="7680" w:type="dxa"/>
            <w:vAlign w:val="bottom"/>
          </w:tcPr>
          <w:p>
            <w:pPr>
              <w:ind w:left="560"/>
              <w:spacing w:after="0" w:line="202" w:lineRule="exact"/>
              <w:rPr>
                <w:sz w:val="20"/>
                <w:szCs w:val="20"/>
                <w:color w:val="auto"/>
              </w:rPr>
            </w:pPr>
            <w:r>
              <w:rPr>
                <w:rFonts w:ascii="Arial" w:cs="Arial" w:eastAsia="Arial" w:hAnsi="Arial"/>
                <w:sz w:val="18"/>
                <w:szCs w:val="18"/>
                <w:color w:val="auto"/>
              </w:rPr>
              <w:t>Accrued emissions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(1,670 )</w:t>
            </w:r>
          </w:p>
        </w:tc>
      </w:tr>
      <w:tr>
        <w:trPr>
          <w:trHeight w:val="203"/>
        </w:trPr>
        <w:tc>
          <w:tcPr>
            <w:tcW w:w="7680" w:type="dxa"/>
            <w:vAlign w:val="bottom"/>
            <w:shd w:val="clear" w:color="auto" w:fill="D5E6F7"/>
          </w:tcPr>
          <w:p>
            <w:pPr>
              <w:ind w:left="560"/>
              <w:spacing w:after="0" w:line="202" w:lineRule="exact"/>
              <w:rPr>
                <w:sz w:val="20"/>
                <w:szCs w:val="20"/>
                <w:color w:val="auto"/>
              </w:rPr>
            </w:pPr>
            <w:r>
              <w:rPr>
                <w:rFonts w:ascii="Arial" w:cs="Arial" w:eastAsia="Arial" w:hAnsi="Arial"/>
                <w:sz w:val="18"/>
                <w:szCs w:val="18"/>
                <w:color w:val="auto"/>
              </w:rPr>
              <w:t>Accrued expenses</w:t>
            </w:r>
          </w:p>
        </w:tc>
        <w:tc>
          <w:tcPr>
            <w:tcW w:w="1020" w:type="dxa"/>
            <w:vAlign w:val="bottom"/>
            <w:shd w:val="clear" w:color="auto" w:fill="D5E6F7"/>
          </w:tcPr>
          <w:p>
            <w:pPr>
              <w:spacing w:after="0"/>
              <w:rPr>
                <w:sz w:val="17"/>
                <w:szCs w:val="17"/>
                <w:color w:val="auto"/>
              </w:rPr>
            </w:pPr>
          </w:p>
        </w:tc>
        <w:tc>
          <w:tcPr>
            <w:tcW w:w="6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1,301</w:t>
            </w:r>
          </w:p>
        </w:tc>
        <w:tc>
          <w:tcPr>
            <w:tcW w:w="260" w:type="dxa"/>
            <w:vAlign w:val="bottom"/>
            <w:shd w:val="clear" w:color="auto" w:fill="D5E6F7"/>
          </w:tcPr>
          <w:p>
            <w:pPr>
              <w:spacing w:after="0"/>
              <w:rPr>
                <w:sz w:val="17"/>
                <w:szCs w:val="17"/>
                <w:color w:val="auto"/>
              </w:rPr>
            </w:pPr>
          </w:p>
        </w:tc>
        <w:tc>
          <w:tcPr>
            <w:tcW w:w="1020" w:type="dxa"/>
            <w:vAlign w:val="bottom"/>
            <w:shd w:val="clear" w:color="auto" w:fill="D5E6F7"/>
          </w:tcPr>
          <w:p>
            <w:pPr>
              <w:spacing w:after="0"/>
              <w:rPr>
                <w:sz w:val="17"/>
                <w:szCs w:val="17"/>
                <w:color w:val="auto"/>
              </w:rPr>
            </w:pPr>
          </w:p>
        </w:tc>
        <w:tc>
          <w:tcPr>
            <w:tcW w:w="5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51</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560"/>
              <w:spacing w:after="0" w:line="202" w:lineRule="exact"/>
              <w:rPr>
                <w:sz w:val="20"/>
                <w:szCs w:val="20"/>
                <w:color w:val="auto"/>
              </w:rPr>
            </w:pPr>
            <w:r>
              <w:rPr>
                <w:rFonts w:ascii="Arial" w:cs="Arial" w:eastAsia="Arial" w:hAnsi="Arial"/>
                <w:sz w:val="18"/>
                <w:szCs w:val="18"/>
                <w:color w:val="auto"/>
              </w:rPr>
              <w:t>Income taxes payable</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1,398</w:t>
            </w:r>
          </w:p>
        </w:tc>
        <w:tc>
          <w:tcPr>
            <w:tcW w:w="2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D5E6F7"/>
            </w:tcBorders>
            <w:shd w:val="clear" w:color="auto" w:fill="D5E6F7"/>
          </w:tcPr>
          <w:p>
            <w:pPr>
              <w:ind w:left="740"/>
              <w:spacing w:after="0" w:line="196" w:lineRule="exact"/>
              <w:rPr>
                <w:sz w:val="20"/>
                <w:szCs w:val="20"/>
                <w:color w:val="auto"/>
              </w:rPr>
            </w:pPr>
            <w:r>
              <w:rPr>
                <w:rFonts w:ascii="Arial" w:cs="Arial" w:eastAsia="Arial" w:hAnsi="Arial"/>
                <w:sz w:val="18"/>
                <w:szCs w:val="18"/>
                <w:color w:val="auto"/>
              </w:rPr>
              <w:t>Net cash flow provided by operating activities</w:t>
            </w:r>
          </w:p>
        </w:tc>
        <w:tc>
          <w:tcPr>
            <w:tcW w:w="1020" w:type="dxa"/>
            <w:vAlign w:val="bottom"/>
            <w:tcBorders>
              <w:bottom w:val="single" w:sz="8" w:color="auto"/>
            </w:tcBorders>
            <w:shd w:val="clear" w:color="auto" w:fill="D5E6F7"/>
          </w:tcPr>
          <w:p>
            <w:pPr>
              <w:jc w:val="right"/>
              <w:ind w:right="815"/>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6,330</w:t>
            </w:r>
          </w:p>
        </w:tc>
        <w:tc>
          <w:tcPr>
            <w:tcW w:w="260" w:type="dxa"/>
            <w:vAlign w:val="bottom"/>
            <w:tcBorders>
              <w:bottom w:val="single" w:sz="8" w:color="D5E6F7"/>
            </w:tcBorders>
            <w:shd w:val="clear" w:color="auto" w:fill="D5E6F7"/>
          </w:tcPr>
          <w:p>
            <w:pPr>
              <w:spacing w:after="0"/>
              <w:rPr>
                <w:sz w:val="17"/>
                <w:szCs w:val="17"/>
                <w:color w:val="auto"/>
              </w:rPr>
            </w:pPr>
          </w:p>
        </w:tc>
        <w:tc>
          <w:tcPr>
            <w:tcW w:w="1020" w:type="dxa"/>
            <w:vAlign w:val="bottom"/>
            <w:tcBorders>
              <w:bottom w:val="single" w:sz="8" w:color="auto"/>
            </w:tcBorders>
            <w:shd w:val="clear" w:color="auto" w:fill="D5E6F7"/>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2,487</w:t>
            </w:r>
          </w:p>
        </w:tc>
        <w:tc>
          <w:tcPr>
            <w:tcW w:w="80" w:type="dxa"/>
            <w:vAlign w:val="bottom"/>
            <w:tcBorders>
              <w:bottom w:val="single" w:sz="8" w:color="D5E6F7"/>
            </w:tcBorders>
            <w:shd w:val="clear" w:color="auto" w:fill="D5E6F7"/>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CASH FLOW FROM INVESTING ACTIVITIES: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Purchases of and deposits for property and equipment</w:t>
            </w:r>
          </w:p>
        </w:tc>
        <w:tc>
          <w:tcPr>
            <w:tcW w:w="1020" w:type="dxa"/>
            <w:vAlign w:val="bottom"/>
            <w:shd w:val="clear" w:color="auto" w:fill="D5E6F7"/>
          </w:tcPr>
          <w:p>
            <w:pPr>
              <w:spacing w:after="0"/>
              <w:rPr>
                <w:sz w:val="17"/>
                <w:szCs w:val="17"/>
                <w:color w:val="auto"/>
              </w:rPr>
            </w:pPr>
          </w:p>
        </w:tc>
        <w:tc>
          <w:tcPr>
            <w:tcW w:w="86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w w:val="91"/>
              </w:rPr>
              <w:t>(71,135 )</w:t>
            </w:r>
          </w:p>
        </w:tc>
        <w:tc>
          <w:tcPr>
            <w:tcW w:w="1020" w:type="dxa"/>
            <w:vAlign w:val="bottom"/>
            <w:shd w:val="clear" w:color="auto" w:fill="D5E6F7"/>
          </w:tcPr>
          <w:p>
            <w:pPr>
              <w:spacing w:after="0"/>
              <w:rPr>
                <w:sz w:val="17"/>
                <w:szCs w:val="17"/>
                <w:color w:val="auto"/>
              </w:rPr>
            </w:pPr>
          </w:p>
        </w:tc>
        <w:tc>
          <w:tcPr>
            <w:tcW w:w="66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(5,667 )</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marketable securities</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496</w:t>
            </w:r>
          </w:p>
        </w:tc>
        <w:tc>
          <w:tcPr>
            <w:tcW w:w="2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D5E6F7"/>
            </w:tcBorders>
            <w:shd w:val="clear" w:color="auto" w:fill="D5E6F7"/>
          </w:tcPr>
          <w:p>
            <w:pPr>
              <w:ind w:left="740"/>
              <w:spacing w:after="0" w:line="196" w:lineRule="exact"/>
              <w:rPr>
                <w:sz w:val="20"/>
                <w:szCs w:val="20"/>
                <w:color w:val="auto"/>
              </w:rPr>
            </w:pPr>
            <w:r>
              <w:rPr>
                <w:rFonts w:ascii="Arial" w:cs="Arial" w:eastAsia="Arial" w:hAnsi="Arial"/>
                <w:sz w:val="18"/>
                <w:szCs w:val="18"/>
                <w:color w:val="auto"/>
              </w:rPr>
              <w:t>Net cash flow used in investing activities</w:t>
            </w:r>
          </w:p>
        </w:tc>
        <w:tc>
          <w:tcPr>
            <w:tcW w:w="1020" w:type="dxa"/>
            <w:vAlign w:val="bottom"/>
            <w:tcBorders>
              <w:bottom w:val="single" w:sz="8" w:color="auto"/>
            </w:tcBorders>
            <w:shd w:val="clear" w:color="auto" w:fill="D5E6F7"/>
          </w:tcPr>
          <w:p>
            <w:pPr>
              <w:jc w:val="right"/>
              <w:ind w:right="815"/>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4"/>
              </w:rPr>
              <w:t>(70,639</w:t>
            </w:r>
          </w:p>
        </w:tc>
        <w:tc>
          <w:tcPr>
            <w:tcW w:w="260" w:type="dxa"/>
            <w:vAlign w:val="bottom"/>
            <w:tcBorders>
              <w:bottom w:val="single" w:sz="8" w:color="D5E6F7"/>
            </w:tcBorders>
            <w:shd w:val="clear" w:color="auto" w:fill="D5E6F7"/>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5E6F7"/>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(5,667</w:t>
            </w:r>
          </w:p>
        </w:tc>
        <w:tc>
          <w:tcPr>
            <w:tcW w:w="80" w:type="dxa"/>
            <w:vAlign w:val="bottom"/>
            <w:tcBorders>
              <w:bottom w:val="single" w:sz="8" w:color="D5E6F7"/>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CASH FLOW FROM FINANCING ACTIVITIES: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Proceeds from issuance of preferred stock, net of issuance costs</w:t>
            </w:r>
          </w:p>
        </w:tc>
        <w:tc>
          <w:tcPr>
            <w:tcW w:w="1020" w:type="dxa"/>
            <w:vAlign w:val="bottom"/>
            <w:shd w:val="clear" w:color="auto" w:fill="D5E6F7"/>
          </w:tcPr>
          <w:p>
            <w:pPr>
              <w:spacing w:after="0"/>
              <w:rPr>
                <w:sz w:val="17"/>
                <w:szCs w:val="17"/>
                <w:color w:val="auto"/>
              </w:rPr>
            </w:pPr>
          </w:p>
        </w:tc>
        <w:tc>
          <w:tcPr>
            <w:tcW w:w="6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5E6F7"/>
          </w:tcPr>
          <w:p>
            <w:pPr>
              <w:spacing w:after="0"/>
              <w:rPr>
                <w:sz w:val="17"/>
                <w:szCs w:val="17"/>
                <w:color w:val="auto"/>
              </w:rPr>
            </w:pPr>
          </w:p>
        </w:tc>
        <w:tc>
          <w:tcPr>
            <w:tcW w:w="1020" w:type="dxa"/>
            <w:vAlign w:val="bottom"/>
            <w:shd w:val="clear" w:color="auto" w:fill="D5E6F7"/>
          </w:tcPr>
          <w:p>
            <w:pPr>
              <w:spacing w:after="0"/>
              <w:rPr>
                <w:sz w:val="17"/>
                <w:szCs w:val="17"/>
                <w:color w:val="auto"/>
              </w:rPr>
            </w:pPr>
          </w:p>
        </w:tc>
        <w:tc>
          <w:tcPr>
            <w:tcW w:w="5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w w:val="98"/>
              </w:rPr>
              <w:t>37,112</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 net of issuance costs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3,791</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Proceeds from stock options exercised</w:t>
            </w:r>
          </w:p>
        </w:tc>
        <w:tc>
          <w:tcPr>
            <w:tcW w:w="1020" w:type="dxa"/>
            <w:vAlign w:val="bottom"/>
            <w:shd w:val="clear" w:color="auto" w:fill="D5E6F7"/>
          </w:tcPr>
          <w:p>
            <w:pPr>
              <w:spacing w:after="0"/>
              <w:rPr>
                <w:sz w:val="17"/>
                <w:szCs w:val="17"/>
                <w:color w:val="auto"/>
              </w:rPr>
            </w:pPr>
          </w:p>
        </w:tc>
        <w:tc>
          <w:tcPr>
            <w:tcW w:w="6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D5E6F7"/>
          </w:tcPr>
          <w:p>
            <w:pPr>
              <w:spacing w:after="0"/>
              <w:rPr>
                <w:sz w:val="17"/>
                <w:szCs w:val="17"/>
                <w:color w:val="auto"/>
              </w:rPr>
            </w:pPr>
          </w:p>
        </w:tc>
        <w:tc>
          <w:tcPr>
            <w:tcW w:w="1020" w:type="dxa"/>
            <w:vAlign w:val="bottom"/>
            <w:shd w:val="clear" w:color="auto" w:fill="D5E6F7"/>
          </w:tcPr>
          <w:p>
            <w:pPr>
              <w:spacing w:after="0"/>
              <w:rPr>
                <w:sz w:val="17"/>
                <w:szCs w:val="17"/>
                <w:color w:val="auto"/>
              </w:rPr>
            </w:pPr>
          </w:p>
        </w:tc>
        <w:tc>
          <w:tcPr>
            <w:tcW w:w="5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1,000</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Restricted stock unit awards settled in cash for taxes</w:t>
            </w:r>
          </w:p>
        </w:tc>
        <w:tc>
          <w:tcPr>
            <w:tcW w:w="1020" w:type="dxa"/>
            <w:vAlign w:val="bottom"/>
          </w:tcPr>
          <w:p>
            <w:pPr>
              <w:spacing w:after="0"/>
              <w:rPr>
                <w:sz w:val="17"/>
                <w:szCs w:val="17"/>
                <w:color w:val="auto"/>
              </w:rPr>
            </w:pP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(65 )</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Proceeds from debt, net of issuance costs</w:t>
            </w:r>
          </w:p>
        </w:tc>
        <w:tc>
          <w:tcPr>
            <w:tcW w:w="1020" w:type="dxa"/>
            <w:vAlign w:val="bottom"/>
            <w:shd w:val="clear" w:color="auto" w:fill="D5E6F7"/>
          </w:tcPr>
          <w:p>
            <w:pPr>
              <w:spacing w:after="0"/>
              <w:rPr>
                <w:sz w:val="17"/>
                <w:szCs w:val="17"/>
                <w:color w:val="auto"/>
              </w:rPr>
            </w:pPr>
          </w:p>
        </w:tc>
        <w:tc>
          <w:tcPr>
            <w:tcW w:w="6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80,371</w:t>
            </w:r>
          </w:p>
        </w:tc>
        <w:tc>
          <w:tcPr>
            <w:tcW w:w="260" w:type="dxa"/>
            <w:vAlign w:val="bottom"/>
            <w:shd w:val="clear" w:color="auto" w:fill="D5E6F7"/>
          </w:tcPr>
          <w:p>
            <w:pPr>
              <w:spacing w:after="0"/>
              <w:rPr>
                <w:sz w:val="17"/>
                <w:szCs w:val="17"/>
                <w:color w:val="auto"/>
              </w:rPr>
            </w:pPr>
          </w:p>
        </w:tc>
        <w:tc>
          <w:tcPr>
            <w:tcW w:w="1020" w:type="dxa"/>
            <w:vAlign w:val="bottom"/>
            <w:shd w:val="clear" w:color="auto" w:fill="D5E6F7"/>
          </w:tcPr>
          <w:p>
            <w:pPr>
              <w:spacing w:after="0"/>
              <w:rPr>
                <w:sz w:val="17"/>
                <w:szCs w:val="17"/>
                <w:color w:val="auto"/>
              </w:rPr>
            </w:pPr>
          </w:p>
        </w:tc>
        <w:tc>
          <w:tcPr>
            <w:tcW w:w="5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1020" w:type="dxa"/>
            <w:vAlign w:val="bottom"/>
          </w:tcPr>
          <w:p>
            <w:pPr>
              <w:spacing w:after="0"/>
              <w:rPr>
                <w:sz w:val="17"/>
                <w:szCs w:val="17"/>
                <w:color w:val="auto"/>
              </w:rPr>
            </w:pP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(5,702 )</w:t>
            </w:r>
          </w:p>
        </w:tc>
        <w:tc>
          <w:tcPr>
            <w:tcW w:w="10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(818 )</w:t>
            </w:r>
          </w:p>
        </w:tc>
      </w:tr>
      <w:tr>
        <w:trPr>
          <w:trHeight w:val="203"/>
        </w:trPr>
        <w:tc>
          <w:tcPr>
            <w:tcW w:w="768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Repayments of finance lease obligations</w:t>
            </w:r>
          </w:p>
        </w:tc>
        <w:tc>
          <w:tcPr>
            <w:tcW w:w="1020" w:type="dxa"/>
            <w:vAlign w:val="bottom"/>
            <w:shd w:val="clear" w:color="auto" w:fill="D5E6F7"/>
          </w:tcPr>
          <w:p>
            <w:pPr>
              <w:spacing w:after="0"/>
              <w:rPr>
                <w:sz w:val="17"/>
                <w:szCs w:val="17"/>
                <w:color w:val="auto"/>
              </w:rPr>
            </w:pPr>
          </w:p>
        </w:tc>
        <w:tc>
          <w:tcPr>
            <w:tcW w:w="860" w:type="dxa"/>
            <w:vAlign w:val="bottom"/>
            <w:gridSpan w:val="2"/>
            <w:shd w:val="clear" w:color="auto" w:fill="D5E6F7"/>
          </w:tcPr>
          <w:p>
            <w:pPr>
              <w:jc w:val="right"/>
              <w:ind w:right="90"/>
              <w:spacing w:after="0" w:line="202" w:lineRule="exact"/>
              <w:rPr>
                <w:sz w:val="20"/>
                <w:szCs w:val="20"/>
                <w:color w:val="auto"/>
              </w:rPr>
            </w:pPr>
            <w:r>
              <w:rPr>
                <w:rFonts w:ascii="Arial" w:cs="Arial" w:eastAsia="Arial" w:hAnsi="Arial"/>
                <w:sz w:val="18"/>
                <w:szCs w:val="18"/>
                <w:color w:val="auto"/>
              </w:rPr>
              <w:t>(234 )</w:t>
            </w:r>
          </w:p>
        </w:tc>
        <w:tc>
          <w:tcPr>
            <w:tcW w:w="1020" w:type="dxa"/>
            <w:vAlign w:val="bottom"/>
            <w:shd w:val="clear" w:color="auto" w:fill="D5E6F7"/>
          </w:tcPr>
          <w:p>
            <w:pPr>
              <w:spacing w:after="0"/>
              <w:rPr>
                <w:sz w:val="17"/>
                <w:szCs w:val="17"/>
                <w:color w:val="auto"/>
              </w:rPr>
            </w:pPr>
          </w:p>
        </w:tc>
        <w:tc>
          <w:tcPr>
            <w:tcW w:w="5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196"/>
        </w:trPr>
        <w:tc>
          <w:tcPr>
            <w:tcW w:w="7680" w:type="dxa"/>
            <w:vAlign w:val="bottom"/>
            <w:tcBorders>
              <w:top w:val="single" w:sz="8" w:color="D5E6F7"/>
            </w:tcBorders>
          </w:tcPr>
          <w:p>
            <w:pPr>
              <w:ind w:left="740"/>
              <w:spacing w:after="0" w:line="196" w:lineRule="exact"/>
              <w:rPr>
                <w:sz w:val="20"/>
                <w:szCs w:val="20"/>
                <w:color w:val="auto"/>
              </w:rPr>
            </w:pPr>
            <w:r>
              <w:rPr>
                <w:rFonts w:ascii="Arial" w:cs="Arial" w:eastAsia="Arial" w:hAnsi="Arial"/>
                <w:sz w:val="18"/>
                <w:szCs w:val="18"/>
                <w:color w:val="auto"/>
              </w:rPr>
              <w:t>Net cash flow provided by financing activities</w:t>
            </w:r>
          </w:p>
        </w:tc>
        <w:tc>
          <w:tcPr>
            <w:tcW w:w="1020" w:type="dxa"/>
            <w:vAlign w:val="bottom"/>
            <w:tcBorders>
              <w:top w:val="single" w:sz="8" w:color="auto"/>
              <w:bottom w:val="single" w:sz="8" w:color="auto"/>
            </w:tcBorders>
          </w:tcPr>
          <w:p>
            <w:pPr>
              <w:jc w:val="right"/>
              <w:ind w:right="815"/>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78,163</w:t>
            </w:r>
          </w:p>
        </w:tc>
        <w:tc>
          <w:tcPr>
            <w:tcW w:w="260" w:type="dxa"/>
            <w:vAlign w:val="bottom"/>
            <w:tcBorders>
              <w:top w:val="single" w:sz="8" w:color="D5E6F7"/>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37,294</w:t>
            </w:r>
          </w:p>
        </w:tc>
        <w:tc>
          <w:tcPr>
            <w:tcW w:w="80" w:type="dxa"/>
            <w:vAlign w:val="bottom"/>
            <w:tcBorders>
              <w:top w:val="single" w:sz="8" w:color="D5E6F7"/>
            </w:tcBorders>
          </w:tcPr>
          <w:p>
            <w:pPr>
              <w:spacing w:after="0"/>
              <w:rPr>
                <w:sz w:val="17"/>
                <w:szCs w:val="17"/>
                <w:color w:val="auto"/>
              </w:rPr>
            </w:pPr>
          </w:p>
        </w:tc>
      </w:tr>
      <w:tr>
        <w:trPr>
          <w:trHeight w:val="196"/>
        </w:trPr>
        <w:tc>
          <w:tcPr>
            <w:tcW w:w="76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CHANGE IN CASH AND CASH EQUIVALENTS</w:t>
            </w:r>
          </w:p>
        </w:tc>
        <w:tc>
          <w:tcPr>
            <w:tcW w:w="1020" w:type="dxa"/>
            <w:vAlign w:val="bottom"/>
            <w:shd w:val="clear" w:color="auto" w:fill="D5E6F7"/>
          </w:tcPr>
          <w:p>
            <w:pPr>
              <w:jc w:val="right"/>
              <w:ind w:right="815"/>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13,854</w:t>
            </w:r>
          </w:p>
        </w:tc>
        <w:tc>
          <w:tcPr>
            <w:tcW w:w="260" w:type="dxa"/>
            <w:vAlign w:val="bottom"/>
            <w:shd w:val="clear" w:color="auto" w:fill="D5E6F7"/>
          </w:tcPr>
          <w:p>
            <w:pPr>
              <w:spacing w:after="0"/>
              <w:rPr>
                <w:sz w:val="17"/>
                <w:szCs w:val="17"/>
                <w:color w:val="auto"/>
              </w:rPr>
            </w:pPr>
          </w:p>
        </w:tc>
        <w:tc>
          <w:tcPr>
            <w:tcW w:w="1020" w:type="dxa"/>
            <w:vAlign w:val="bottom"/>
            <w:shd w:val="clear" w:color="auto" w:fill="D5E6F7"/>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8"/>
              </w:rPr>
              <w:t>34,114</w:t>
            </w:r>
          </w:p>
        </w:tc>
        <w:tc>
          <w:tcPr>
            <w:tcW w:w="80" w:type="dxa"/>
            <w:vAlign w:val="bottom"/>
            <w:shd w:val="clear" w:color="auto" w:fill="D5E6F7"/>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 beginning of year</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82,599</w:t>
            </w:r>
          </w:p>
        </w:tc>
        <w:tc>
          <w:tcPr>
            <w:tcW w:w="2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5,052</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D5E6F7"/>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CASH AND CASH EQUIVALENTS - end of year</w:t>
            </w:r>
          </w:p>
        </w:tc>
        <w:tc>
          <w:tcPr>
            <w:tcW w:w="1020" w:type="dxa"/>
            <w:vAlign w:val="bottom"/>
            <w:tcBorders>
              <w:bottom w:val="single" w:sz="8" w:color="auto"/>
            </w:tcBorders>
            <w:shd w:val="clear" w:color="auto" w:fill="D5E6F7"/>
          </w:tcPr>
          <w:p>
            <w:pPr>
              <w:jc w:val="right"/>
              <w:ind w:right="815"/>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96,453</w:t>
            </w:r>
          </w:p>
        </w:tc>
        <w:tc>
          <w:tcPr>
            <w:tcW w:w="260" w:type="dxa"/>
            <w:vAlign w:val="bottom"/>
            <w:tcBorders>
              <w:bottom w:val="single" w:sz="8" w:color="D5E6F7"/>
            </w:tcBorders>
            <w:shd w:val="clear" w:color="auto" w:fill="D5E6F7"/>
          </w:tcPr>
          <w:p>
            <w:pPr>
              <w:spacing w:after="0"/>
              <w:rPr>
                <w:sz w:val="20"/>
                <w:szCs w:val="20"/>
                <w:color w:val="auto"/>
              </w:rPr>
            </w:pPr>
          </w:p>
        </w:tc>
        <w:tc>
          <w:tcPr>
            <w:tcW w:w="1020" w:type="dxa"/>
            <w:vAlign w:val="bottom"/>
            <w:tcBorders>
              <w:bottom w:val="single" w:sz="8" w:color="auto"/>
            </w:tcBorders>
            <w:shd w:val="clear" w:color="auto" w:fill="D5E6F7"/>
          </w:tcPr>
          <w:p>
            <w:pPr>
              <w:jc w:val="right"/>
              <w:ind w:right="833"/>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8"/>
              </w:rPr>
              <w:t>39,166</w:t>
            </w:r>
          </w:p>
        </w:tc>
        <w:tc>
          <w:tcPr>
            <w:tcW w:w="8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-2131060</wp:posOffset>
            </wp:positionV>
            <wp:extent cx="6032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-2131060</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-1599565</wp:posOffset>
            </wp:positionV>
            <wp:extent cx="6032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-1599565</wp:posOffset>
            </wp:positionV>
            <wp:extent cx="514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-561975</wp:posOffset>
            </wp:positionV>
            <wp:extent cx="603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-561975</wp:posOffset>
            </wp:positionV>
            <wp:extent cx="514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Greenidge Generation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Greenidge Generation Holdings Inc. (“Greenidge”) and its subsidiaries (collectively, the “Company”) own and operate a vertically integrated cryptocurrency datacenter and power generation company. The Company owns and operates facilities at two locations: the Town of Torrey, New York and Spartanburg, South Carolina. The Company’s cryptocurrency datacenter operations generate revenue in the form of bitcoin by earning bitcoin as rewards and transaction fees for supporting the global bitcoin network with application-specific integrated circuit computers (“ASICs” or “miners”) owned or leased by the Company. The earned bitcoin is then exchanged for U.S. dollars. The Company owns and operates a 106 megawatt ("MW") power facility that is connected to the New York Independent System Operator (“NYISO”) power grid. The Company sells electricity to the NYISO at all times when its power plant is running and increases or decreases the amount of electricity sold based on prevailing prices in the wholesale electricity market and demand for electricity.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Support.com, Inc.</w:t>
      </w:r>
    </w:p>
    <w:p>
      <w:pPr>
        <w:spacing w:after="0" w:line="198"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On September 14, 2021, GGH Merger Sub, Inc. (“Merger Sub”), a wholly owned subsidiary of Greenidge, merged with and into Support.com, Inc. (“Support.com”), with Support.com continuing as the surviving corporation (the “Merger”) and a wholly owned subsidiary of Greenidge, pursuant to the Agreement and Plan of Merger, dated March 19, 2021 (the “Merger Agreement”), among Greenidge, Support.com and Merger Sub.</w:t>
      </w:r>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 xml:space="preserve">The Merger combined the respective businesses of Greenidge and Support.com through an all-stock transaction and has been accounted for using the acquisition method of accounting in accordance with the provisions of Financial Accounting Standards Board (“FASB”)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with Greenidge being deemed the acquiring company for accounting purposes (see Note 3). Prior to the Merger, Greenidge's class A common stock ("class A common stock") was registered pursuant to the Securities Exchange Act of 1934, as amended (the “Exchange Act”) and, upon completion of the Merger on September 15, 2021, began trading on The Nasdaq Global Select Market under the ticker symbol “GREE”. Concurrently, Support.com deregistered its shares pursuant to the Exchange Act.</w:t>
      </w:r>
    </w:p>
    <w:p>
      <w:pPr>
        <w:spacing w:after="0" w:line="162"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Support.com provides solutions and technical programs to customers delivered by home-based employees. Support.com’s homesourcing model, which enables outsourced work to be delivered by people working from home, has been specifically designed for remote work, with attention to security, recruiting, training, delivery, and employee engagement. Since the consummation of the Merger, the Support.com business operates as a wholly-owned subsidiary and a segment of Greenidge.</w:t>
      </w:r>
    </w:p>
    <w:p>
      <w:pPr>
        <w:spacing w:after="0" w:line="170" w:lineRule="exact"/>
        <w:rPr>
          <w:sz w:val="20"/>
          <w:szCs w:val="20"/>
          <w:color w:val="auto"/>
        </w:rPr>
      </w:pPr>
    </w:p>
    <w:p>
      <w:pPr>
        <w:ind w:right="6340" w:firstLine="8"/>
        <w:spacing w:after="0" w:line="530" w:lineRule="auto"/>
        <w:tabs>
          <w:tab w:leader="none" w:pos="1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Presentation of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Greenidge management, the accompanying condensed consolidated</w:t>
      </w:r>
    </w:p>
    <w:p>
      <w:pPr>
        <w:spacing w:after="0" w:line="12" w:lineRule="exact"/>
        <w:rPr>
          <w:sz w:val="20"/>
          <w:szCs w:val="20"/>
          <w:color w:val="auto"/>
        </w:rPr>
      </w:pPr>
    </w:p>
    <w:p>
      <w:pPr>
        <w:jc w:val="both"/>
        <w:ind w:right="140" w:firstLine="45"/>
        <w:spacing w:after="0" w:line="277" w:lineRule="auto"/>
        <w:rPr>
          <w:sz w:val="20"/>
          <w:szCs w:val="20"/>
          <w:color w:val="auto"/>
        </w:rPr>
      </w:pPr>
      <w:r>
        <w:rPr>
          <w:rFonts w:ascii="Arial" w:cs="Arial" w:eastAsia="Arial" w:hAnsi="Arial"/>
          <w:sz w:val="16"/>
          <w:szCs w:val="16"/>
          <w:color w:val="auto"/>
        </w:rPr>
        <w:t>financial statements include all adjustments necessary for a fair presentation of the results for the interim periods presented and such adjustments are of a normal recurring nature. The results for the unaudited interim condensed consolidated statements of operations and comprehensive (loss) income are not necessarily indicative of results to be expected for the year ending December 31, 2022 or for any future interim period. The unaudited condensed interim consolidated financial statements do not include all of the information and notes required by U.S. GAAP for complete financial statements.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accompanying condensed consolidated financial statements should be read in conjunction with the notes to the consolidated financial statements of the Company in Greenidge's 2021 Annual Report on Form 10-K. There have been no material changes to the Company’s significant accounting policies during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year's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0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various aspects related to accounting for income taxes. ASU 2019-12 removes certain exceptions to the general principles in Topic 740 and also clarifies and amends existing guidance to improve consistent application.</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This guidance is effective for fiscal years, and interim periods within those fiscal years, beginning after December 15, 2020, with early adoption permitted. As an emerging growth company, the Company has elected to adopt this pronouncement following the effective date for private companies beginning with periods beginning after December 15, 2021. The adoption of this standard did not materially impact the Company's condensed consolidated financial statements.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 WITH SUPPORT.COM</w:t>
      </w:r>
    </w:p>
    <w:p>
      <w:pPr>
        <w:spacing w:after="0" w:line="20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As described in Note 1, on September 14, 2021, Greenidge and Support.com combined their respective businesses through an all-stock merger transaction where Support.com became a wholly owned subsidiary of Greenidge. The Merger has been accounted for as a business combination using the acquisition method of accounting in accordance with the provisions of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Greenidge was determined to be the acquiring company for accounting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Support.com Operations Since the Merger</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the three months ended March 31, 2022, the acquired Support.com business contributed $8.5 million in revenue and $1.5 million of operating income, which includes approximately $0.2 million of amortization expenses of acquired intangible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Pro Forma Financial Information</w:t>
      </w:r>
    </w:p>
    <w:p>
      <w:pPr>
        <w:spacing w:after="0" w:line="19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accordance with ASC 805, the following supplemental unaudited pro forma information gives effect to the Merger as if it had occurred on January 1, 2021. The unaudited pro forma financial information reflects certain adjustments related to the acquisition, such as:</w:t>
      </w:r>
    </w:p>
    <w:p>
      <w:pPr>
        <w:spacing w:after="0" w:line="157" w:lineRule="exact"/>
        <w:rPr>
          <w:sz w:val="20"/>
          <w:szCs w:val="20"/>
          <w:color w:val="auto"/>
        </w:rPr>
      </w:pPr>
    </w:p>
    <w:p>
      <w:pPr>
        <w:ind w:left="900" w:hanging="38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Conforming the accounting policies of Support.com to those applied by Greenidge;</w:t>
      </w:r>
    </w:p>
    <w:p>
      <w:pPr>
        <w:spacing w:after="0" w:line="184" w:lineRule="exact"/>
        <w:rPr>
          <w:rFonts w:ascii="Arial" w:cs="Arial" w:eastAsia="Arial" w:hAnsi="Arial"/>
          <w:sz w:val="18"/>
          <w:szCs w:val="18"/>
          <w:color w:val="auto"/>
        </w:rPr>
      </w:pPr>
    </w:p>
    <w:p>
      <w:pPr>
        <w:ind w:left="900" w:right="80" w:hanging="383"/>
        <w:spacing w:after="0" w:line="261"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Recording certain incremental expenses resulting from purchase accounting adjustments, such as amortization expense in connection with fair value adjustments to intangible assets; and</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Recording the related tax effects of pro forma adjustments.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6"/>
                <w:szCs w:val="16"/>
                <w:color w:val="auto"/>
              </w:rPr>
            </w:pPr>
          </w:p>
        </w:tc>
        <w:tc>
          <w:tcPr>
            <w:tcW w:w="22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March 31, 2021</w:t>
            </w:r>
          </w:p>
        </w:tc>
      </w:tr>
      <w:tr>
        <w:trPr>
          <w:trHeight w:val="196"/>
        </w:trPr>
        <w:tc>
          <w:tcPr>
            <w:tcW w:w="36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D5E6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20,694</w:t>
            </w:r>
          </w:p>
        </w:tc>
        <w:tc>
          <w:tcPr>
            <w:tcW w:w="120" w:type="dxa"/>
            <w:vAlign w:val="bottom"/>
            <w:shd w:val="clear" w:color="auto" w:fill="D5E6F7"/>
          </w:tcPr>
          <w:p>
            <w:pPr>
              <w:spacing w:after="0"/>
              <w:rPr>
                <w:sz w:val="17"/>
                <w:szCs w:val="17"/>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(778 )</w:t>
            </w:r>
          </w:p>
        </w:tc>
      </w:tr>
    </w:tbl>
    <w:p>
      <w:pPr>
        <w:spacing w:after="0" w:line="160"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pro forma results for three months ended March 31, 2021 include $1.6 million of transaction costs for both Greenidge and Support.com ($1.2 million after tax), such as advisor fees, legal and accounting expenses. These costs will not affect the combined company’s statement of operations beyond 12 months after the closing date, September 14, 2021.</w:t>
      </w:r>
    </w:p>
    <w:p>
      <w:pPr>
        <w:spacing w:after="0" w:line="16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unaudited pro forma financial information should not be relied upon as being indicative of the historical results that would have been obtained if the Merger had actually occurred on that date, nor the results of operations of the Company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Effective September 14, 2021, following the completion of the Merger (see Notes 1 and 3), Support.com began operating within the Company as a separate operating and reporting segment; therefore, Greenidge has two operating and reporting segments since the Merger: (i) Cryptocurrency Datacenter and Power Generation and (ii) Support Services.</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Cryptocurrency Datacenter and Power Generation segment generates revenue primarily by earning bitcoin, with miners that are owned by the Company, as rewards and transaction fees for supporting the global bitcoin network. The Cryptocurrency Datacenter and Power Generation segment also sells surplus electricity generated by its power plant, and not consumed in cryptocurrency datacenter operations, to the NYISO power grid at prices set on a daily basis through the NYISO wholesale market. In addition, the Company receives revenues from the sale of its capacity and ancillary services in the NYISO wholesale market. The Cryptocurrency Datacenter and Power Generation segment operates in the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Support Services segment provides solutions and technical programs to customers delivered by home-based employees. The Support Services segment provides customer service, sales support, and technical support primarily to large corporations, businesses and professional services organizations. The Support Services segment also earns revenues for end-user software products provided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through direct customer downloads and sales via partners. The Support Services segment operates primarily in the United States, but also has employees located in Philippines, India, Mexico, Colombia and Canada, including those staff providing support services.</w:t>
      </w:r>
    </w:p>
    <w:p>
      <w:pPr>
        <w:spacing w:after="0" w:line="15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Company’s measure of profit or loss for segment reporting is income (loss) before income taxes, interest and depreciation and amortization and adjusted for share based compensation and excluding items not indicative of ongoing business trends (referred to as “segment Adjusted EBITDA”). This is the measure used by the Company's Chief Operating Decision Maker to assess performance and allocate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information about reportable segments for the three months ended March 31, 2022 and 2021,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6"/>
                <w:szCs w:val="16"/>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77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b w:val="1"/>
                <w:bCs w:val="1"/>
                <w:i w:val="1"/>
                <w:iCs w:val="1"/>
                <w:color w:val="auto"/>
              </w:rPr>
              <w:t>Revenues:</w:t>
            </w: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60" w:type="dxa"/>
            <w:vAlign w:val="bottom"/>
            <w:shd w:val="clear" w:color="auto" w:fill="D5E6F7"/>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Cryptocurrency Datacenter and Power Generation</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29,155</w:t>
            </w: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11,063</w:t>
            </w:r>
          </w:p>
        </w:tc>
        <w:tc>
          <w:tcPr>
            <w:tcW w:w="60" w:type="dxa"/>
            <w:vAlign w:val="bottom"/>
          </w:tcPr>
          <w:p>
            <w:pPr>
              <w:spacing w:after="0"/>
              <w:rPr>
                <w:sz w:val="17"/>
                <w:szCs w:val="17"/>
                <w:color w:val="auto"/>
              </w:rPr>
            </w:pPr>
          </w:p>
        </w:tc>
      </w:tr>
      <w:tr>
        <w:trPr>
          <w:trHeight w:val="203"/>
        </w:trPr>
        <w:tc>
          <w:tcPr>
            <w:tcW w:w="7700" w:type="dxa"/>
            <w:vAlign w:val="bottom"/>
            <w:tcBorders>
              <w:bottom w:val="single" w:sz="8" w:color="D5E6F7"/>
            </w:tcBorders>
            <w:shd w:val="clear" w:color="auto" w:fill="D5E6F7"/>
          </w:tcPr>
          <w:p>
            <w:pPr>
              <w:ind w:left="200"/>
              <w:spacing w:after="0" w:line="202" w:lineRule="exact"/>
              <w:rPr>
                <w:sz w:val="20"/>
                <w:szCs w:val="20"/>
                <w:color w:val="auto"/>
              </w:rPr>
            </w:pPr>
            <w:r>
              <w:rPr>
                <w:rFonts w:ascii="Arial" w:cs="Arial" w:eastAsia="Arial" w:hAnsi="Arial"/>
                <w:sz w:val="18"/>
                <w:szCs w:val="18"/>
                <w:color w:val="auto"/>
              </w:rPr>
              <w:t>Support Services</w:t>
            </w:r>
          </w:p>
        </w:tc>
        <w:tc>
          <w:tcPr>
            <w:tcW w:w="380" w:type="dxa"/>
            <w:vAlign w:val="bottom"/>
            <w:tcBorders>
              <w:bottom w:val="single" w:sz="8" w:color="auto"/>
            </w:tcBorders>
            <w:shd w:val="clear" w:color="auto" w:fill="D5E6F7"/>
          </w:tcPr>
          <w:p>
            <w:pPr>
              <w:spacing w:after="0"/>
              <w:rPr>
                <w:sz w:val="17"/>
                <w:szCs w:val="17"/>
                <w:color w:val="auto"/>
              </w:rPr>
            </w:pPr>
          </w:p>
        </w:tc>
        <w:tc>
          <w:tcPr>
            <w:tcW w:w="12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8,500</w:t>
            </w:r>
          </w:p>
        </w:tc>
        <w:tc>
          <w:tcPr>
            <w:tcW w:w="240" w:type="dxa"/>
            <w:vAlign w:val="bottom"/>
            <w:tcBorders>
              <w:bottom w:val="single" w:sz="8" w:color="D5E6F7"/>
            </w:tcBorders>
            <w:shd w:val="clear" w:color="auto" w:fill="D5E6F7"/>
          </w:tcPr>
          <w:p>
            <w:pPr>
              <w:spacing w:after="0"/>
              <w:rPr>
                <w:sz w:val="17"/>
                <w:szCs w:val="17"/>
                <w:color w:val="auto"/>
              </w:rPr>
            </w:pPr>
          </w:p>
        </w:tc>
        <w:tc>
          <w:tcPr>
            <w:tcW w:w="380" w:type="dxa"/>
            <w:vAlign w:val="bottom"/>
            <w:tcBorders>
              <w:bottom w:val="single" w:sz="8" w:color="auto"/>
            </w:tcBorders>
            <w:shd w:val="clear" w:color="auto" w:fill="D5E6F7"/>
          </w:tcPr>
          <w:p>
            <w:pPr>
              <w:spacing w:after="0"/>
              <w:rPr>
                <w:sz w:val="17"/>
                <w:szCs w:val="17"/>
                <w:color w:val="auto"/>
              </w:rPr>
            </w:pPr>
          </w:p>
        </w:tc>
        <w:tc>
          <w:tcPr>
            <w:tcW w:w="12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D5E6F7"/>
            </w:tcBorders>
            <w:shd w:val="clear" w:color="auto" w:fill="D5E6F7"/>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37,655</w:t>
            </w:r>
          </w:p>
        </w:tc>
        <w:tc>
          <w:tcPr>
            <w:tcW w:w="6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11,063</w:t>
            </w:r>
          </w:p>
        </w:tc>
        <w:tc>
          <w:tcPr>
            <w:tcW w:w="6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7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b w:val="1"/>
                <w:bCs w:val="1"/>
                <w:i w:val="1"/>
                <w:iCs w:val="1"/>
                <w:color w:val="auto"/>
              </w:rPr>
              <w:t>Segment Adjusted EBITDA</w:t>
            </w: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60" w:type="dxa"/>
            <w:vAlign w:val="bottom"/>
            <w:shd w:val="clear" w:color="auto" w:fill="D5E6F7"/>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Cryptocurrency Datacenter and Power Generation</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7,344</w:t>
            </w: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4,221</w:t>
            </w:r>
          </w:p>
        </w:tc>
        <w:tc>
          <w:tcPr>
            <w:tcW w:w="60" w:type="dxa"/>
            <w:vAlign w:val="bottom"/>
          </w:tcPr>
          <w:p>
            <w:pPr>
              <w:spacing w:after="0"/>
              <w:rPr>
                <w:sz w:val="17"/>
                <w:szCs w:val="17"/>
                <w:color w:val="auto"/>
              </w:rPr>
            </w:pPr>
          </w:p>
        </w:tc>
      </w:tr>
      <w:tr>
        <w:trPr>
          <w:trHeight w:val="203"/>
        </w:trPr>
        <w:tc>
          <w:tcPr>
            <w:tcW w:w="7700" w:type="dxa"/>
            <w:vAlign w:val="bottom"/>
            <w:tcBorders>
              <w:bottom w:val="single" w:sz="8" w:color="D5E6F7"/>
            </w:tcBorders>
            <w:shd w:val="clear" w:color="auto" w:fill="D5E6F7"/>
          </w:tcPr>
          <w:p>
            <w:pPr>
              <w:ind w:left="200"/>
              <w:spacing w:after="0" w:line="202" w:lineRule="exact"/>
              <w:rPr>
                <w:sz w:val="20"/>
                <w:szCs w:val="20"/>
                <w:color w:val="auto"/>
              </w:rPr>
            </w:pPr>
            <w:r>
              <w:rPr>
                <w:rFonts w:ascii="Arial" w:cs="Arial" w:eastAsia="Arial" w:hAnsi="Arial"/>
                <w:sz w:val="18"/>
                <w:szCs w:val="18"/>
                <w:color w:val="auto"/>
              </w:rPr>
              <w:t>Support Services</w:t>
            </w:r>
          </w:p>
        </w:tc>
        <w:tc>
          <w:tcPr>
            <w:tcW w:w="380" w:type="dxa"/>
            <w:vAlign w:val="bottom"/>
            <w:tcBorders>
              <w:bottom w:val="single" w:sz="8" w:color="auto"/>
            </w:tcBorders>
            <w:shd w:val="clear" w:color="auto" w:fill="D5E6F7"/>
          </w:tcPr>
          <w:p>
            <w:pPr>
              <w:spacing w:after="0"/>
              <w:rPr>
                <w:sz w:val="17"/>
                <w:szCs w:val="17"/>
                <w:color w:val="auto"/>
              </w:rPr>
            </w:pPr>
          </w:p>
        </w:tc>
        <w:tc>
          <w:tcPr>
            <w:tcW w:w="12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1,869</w:t>
            </w:r>
          </w:p>
        </w:tc>
        <w:tc>
          <w:tcPr>
            <w:tcW w:w="240" w:type="dxa"/>
            <w:vAlign w:val="bottom"/>
            <w:tcBorders>
              <w:bottom w:val="single" w:sz="8" w:color="D5E6F7"/>
            </w:tcBorders>
            <w:shd w:val="clear" w:color="auto" w:fill="D5E6F7"/>
          </w:tcPr>
          <w:p>
            <w:pPr>
              <w:spacing w:after="0"/>
              <w:rPr>
                <w:sz w:val="17"/>
                <w:szCs w:val="17"/>
                <w:color w:val="auto"/>
              </w:rPr>
            </w:pPr>
          </w:p>
        </w:tc>
        <w:tc>
          <w:tcPr>
            <w:tcW w:w="380" w:type="dxa"/>
            <w:vAlign w:val="bottom"/>
            <w:tcBorders>
              <w:bottom w:val="single" w:sz="8" w:color="auto"/>
            </w:tcBorders>
            <w:shd w:val="clear" w:color="auto" w:fill="D5E6F7"/>
          </w:tcPr>
          <w:p>
            <w:pPr>
              <w:spacing w:after="0"/>
              <w:rPr>
                <w:sz w:val="17"/>
                <w:szCs w:val="17"/>
                <w:color w:val="auto"/>
              </w:rPr>
            </w:pPr>
          </w:p>
        </w:tc>
        <w:tc>
          <w:tcPr>
            <w:tcW w:w="12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D5E6F7"/>
            </w:tcBorders>
            <w:shd w:val="clear" w:color="auto" w:fill="D5E6F7"/>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Segments Adjusted EBITDA</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9,213</w:t>
            </w:r>
          </w:p>
        </w:tc>
        <w:tc>
          <w:tcPr>
            <w:tcW w:w="6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4,221</w:t>
            </w:r>
          </w:p>
        </w:tc>
        <w:tc>
          <w:tcPr>
            <w:tcW w:w="6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-836295</wp:posOffset>
            </wp:positionV>
            <wp:extent cx="431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-836295</wp:posOffset>
            </wp:positionV>
            <wp:extent cx="431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-159385</wp:posOffset>
            </wp:positionV>
            <wp:extent cx="431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table below provides a reconciliation of the total of the segments Adjusted EBITDA to the consolidated (loss) income before income taxes: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96"/>
        </w:trPr>
        <w:tc>
          <w:tcPr>
            <w:tcW w:w="77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Total Segments Adjusted EBITDA</w:t>
            </w:r>
          </w:p>
        </w:tc>
        <w:tc>
          <w:tcPr>
            <w:tcW w:w="380" w:type="dxa"/>
            <w:vAlign w:val="bottom"/>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9,213</w:t>
            </w:r>
          </w:p>
        </w:tc>
        <w:tc>
          <w:tcPr>
            <w:tcW w:w="240" w:type="dxa"/>
            <w:vAlign w:val="bottom"/>
            <w:shd w:val="clear" w:color="auto" w:fill="D5E6F7"/>
          </w:tcPr>
          <w:p>
            <w:pPr>
              <w:spacing w:after="0"/>
              <w:rPr>
                <w:sz w:val="17"/>
                <w:szCs w:val="17"/>
                <w:color w:val="auto"/>
              </w:rPr>
            </w:pPr>
          </w:p>
        </w:tc>
        <w:tc>
          <w:tcPr>
            <w:tcW w:w="380" w:type="dxa"/>
            <w:vAlign w:val="bottom"/>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4,221</w:t>
            </w:r>
          </w:p>
        </w:tc>
        <w:tc>
          <w:tcPr>
            <w:tcW w:w="80" w:type="dxa"/>
            <w:vAlign w:val="bottom"/>
            <w:shd w:val="clear" w:color="auto" w:fill="D5E6F7"/>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1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(3,978 )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(1,261 )</w:t>
            </w:r>
          </w:p>
        </w:tc>
      </w:tr>
      <w:tr>
        <w:trPr>
          <w:trHeight w:val="203"/>
        </w:trPr>
        <w:tc>
          <w:tcPr>
            <w:tcW w:w="77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D5E6F7"/>
          </w:tcPr>
          <w:p>
            <w:pPr>
              <w:spacing w:after="0"/>
              <w:rPr>
                <w:sz w:val="17"/>
                <w:szCs w:val="17"/>
                <w:color w:val="auto"/>
              </w:rPr>
            </w:pPr>
          </w:p>
        </w:tc>
        <w:tc>
          <w:tcPr>
            <w:tcW w:w="1480" w:type="dxa"/>
            <w:vAlign w:val="bottom"/>
            <w:gridSpan w:val="2"/>
            <w:shd w:val="clear" w:color="auto" w:fill="D5E6F7"/>
          </w:tcPr>
          <w:p>
            <w:pPr>
              <w:jc w:val="right"/>
              <w:ind w:right="70"/>
              <w:spacing w:after="0" w:line="202" w:lineRule="exact"/>
              <w:rPr>
                <w:sz w:val="20"/>
                <w:szCs w:val="20"/>
                <w:color w:val="auto"/>
              </w:rPr>
            </w:pPr>
            <w:r>
              <w:rPr>
                <w:rFonts w:ascii="Arial" w:cs="Arial" w:eastAsia="Arial" w:hAnsi="Arial"/>
                <w:sz w:val="18"/>
                <w:szCs w:val="18"/>
                <w:color w:val="auto"/>
              </w:rPr>
              <w:t>(362 )</w:t>
            </w:r>
          </w:p>
        </w:tc>
        <w:tc>
          <w:tcPr>
            <w:tcW w:w="380" w:type="dxa"/>
            <w:vAlign w:val="bottom"/>
            <w:shd w:val="clear" w:color="auto" w:fill="D5E6F7"/>
          </w:tcPr>
          <w:p>
            <w:pPr>
              <w:spacing w:after="0"/>
              <w:rPr>
                <w:sz w:val="17"/>
                <w:szCs w:val="17"/>
                <w:color w:val="auto"/>
              </w:rPr>
            </w:pPr>
          </w:p>
        </w:tc>
        <w:tc>
          <w:tcPr>
            <w:tcW w:w="13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(656 )</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Merger and other costs</w:t>
            </w:r>
          </w:p>
        </w:tc>
        <w:tc>
          <w:tcPr>
            <w:tcW w:w="380" w:type="dxa"/>
            <w:vAlign w:val="bottom"/>
          </w:tcPr>
          <w:p>
            <w:pPr>
              <w:spacing w:after="0"/>
              <w:rPr>
                <w:sz w:val="17"/>
                <w:szCs w:val="17"/>
                <w:color w:val="auto"/>
              </w:rPr>
            </w:pPr>
          </w:p>
        </w:tc>
        <w:tc>
          <w:tcPr>
            <w:tcW w:w="1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(213 )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(105 )</w:t>
            </w:r>
          </w:p>
        </w:tc>
      </w:tr>
      <w:tr>
        <w:trPr>
          <w:trHeight w:val="202"/>
        </w:trPr>
        <w:tc>
          <w:tcPr>
            <w:tcW w:w="77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Expansion costs</w:t>
            </w:r>
          </w:p>
        </w:tc>
        <w:tc>
          <w:tcPr>
            <w:tcW w:w="380" w:type="dxa"/>
            <w:vAlign w:val="bottom"/>
            <w:shd w:val="clear" w:color="auto" w:fill="D5E6F7"/>
          </w:tcPr>
          <w:p>
            <w:pPr>
              <w:spacing w:after="0"/>
              <w:rPr>
                <w:sz w:val="17"/>
                <w:szCs w:val="17"/>
                <w:color w:val="auto"/>
              </w:rPr>
            </w:pPr>
          </w:p>
        </w:tc>
        <w:tc>
          <w:tcPr>
            <w:tcW w:w="1480" w:type="dxa"/>
            <w:vAlign w:val="bottom"/>
            <w:gridSpan w:val="2"/>
            <w:shd w:val="clear" w:color="auto" w:fill="D5E6F7"/>
          </w:tcPr>
          <w:p>
            <w:pPr>
              <w:jc w:val="right"/>
              <w:ind w:right="70"/>
              <w:spacing w:after="0" w:line="202" w:lineRule="exact"/>
              <w:rPr>
                <w:sz w:val="20"/>
                <w:szCs w:val="20"/>
                <w:color w:val="auto"/>
              </w:rPr>
            </w:pPr>
            <w:r>
              <w:rPr>
                <w:rFonts w:ascii="Arial" w:cs="Arial" w:eastAsia="Arial" w:hAnsi="Arial"/>
                <w:sz w:val="18"/>
                <w:szCs w:val="18"/>
                <w:color w:val="auto"/>
              </w:rPr>
              <w:t>(2,104 )</w:t>
            </w:r>
          </w:p>
        </w:tc>
        <w:tc>
          <w:tcPr>
            <w:tcW w:w="380" w:type="dxa"/>
            <w:vAlign w:val="bottom"/>
            <w:shd w:val="clear" w:color="auto" w:fill="D5E6F7"/>
          </w:tcPr>
          <w:p>
            <w:pPr>
              <w:spacing w:after="0"/>
              <w:rPr>
                <w:sz w:val="17"/>
                <w:szCs w:val="17"/>
                <w:color w:val="auto"/>
              </w:rPr>
            </w:pPr>
          </w:p>
        </w:tc>
        <w:tc>
          <w:tcPr>
            <w:tcW w:w="12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D5E6F7"/>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7"/>
                <w:szCs w:val="17"/>
                <w:color w:val="auto"/>
              </w:rPr>
            </w:pPr>
          </w:p>
        </w:tc>
        <w:tc>
          <w:tcPr>
            <w:tcW w:w="1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(3,353 )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(188 )</w:t>
            </w:r>
          </w:p>
        </w:tc>
      </w:tr>
      <w:tr>
        <w:trPr>
          <w:trHeight w:val="236"/>
        </w:trPr>
        <w:tc>
          <w:tcPr>
            <w:tcW w:w="7700" w:type="dxa"/>
            <w:vAlign w:val="bottom"/>
            <w:tcBorders>
              <w:top w:val="single" w:sz="8" w:color="D5E6F7"/>
              <w:bottom w:val="single" w:sz="8" w:color="D5E6F7"/>
            </w:tcBorders>
            <w:shd w:val="clear" w:color="auto" w:fill="D5E6F7"/>
          </w:tcPr>
          <w:p>
            <w:pPr>
              <w:ind w:left="20"/>
              <w:spacing w:after="0" w:line="196" w:lineRule="exact"/>
              <w:rPr>
                <w:sz w:val="20"/>
                <w:szCs w:val="20"/>
                <w:color w:val="auto"/>
              </w:rPr>
            </w:pPr>
            <w:r>
              <w:rPr>
                <w:rFonts w:ascii="Arial" w:cs="Arial" w:eastAsia="Arial" w:hAnsi="Arial"/>
                <w:sz w:val="18"/>
                <w:szCs w:val="18"/>
                <w:color w:val="auto"/>
              </w:rPr>
              <w:t>Consolidated (loss) income before income taxes</w:t>
            </w:r>
          </w:p>
        </w:tc>
        <w:tc>
          <w:tcPr>
            <w:tcW w:w="380" w:type="dxa"/>
            <w:vAlign w:val="bottom"/>
            <w:tcBorders>
              <w:top w:val="single" w:sz="8" w:color="auto"/>
              <w:bottom w:val="single" w:sz="8" w:color="auto"/>
            </w:tcBorders>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(797</w:t>
            </w:r>
          </w:p>
        </w:tc>
        <w:tc>
          <w:tcPr>
            <w:tcW w:w="240" w:type="dxa"/>
            <w:vAlign w:val="bottom"/>
            <w:tcBorders>
              <w:top w:val="single" w:sz="8" w:color="D5E6F7"/>
              <w:bottom w:val="single" w:sz="8" w:color="D5E6F7"/>
            </w:tcBorders>
            <w:shd w:val="clear" w:color="auto" w:fill="D5E6F7"/>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2,011</w:t>
            </w:r>
          </w:p>
        </w:tc>
        <w:tc>
          <w:tcPr>
            <w:tcW w:w="80" w:type="dxa"/>
            <w:vAlign w:val="bottom"/>
            <w:tcBorders>
              <w:top w:val="single" w:sz="8" w:color="D5E6F7"/>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-162560</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at March 31, 2022 and December 31,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Lives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December 31, 2021</w:t>
            </w:r>
          </w:p>
        </w:tc>
      </w:tr>
      <w:tr>
        <w:trPr>
          <w:trHeight w:val="196"/>
        </w:trPr>
        <w:tc>
          <w:tcPr>
            <w:tcW w:w="378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Plant infrastructure</w:t>
            </w:r>
          </w:p>
        </w:tc>
        <w:tc>
          <w:tcPr>
            <w:tcW w:w="1940" w:type="dxa"/>
            <w:vAlign w:val="bottom"/>
            <w:tcBorders>
              <w:top w:val="single" w:sz="8" w:color="auto"/>
            </w:tcBorders>
            <w:shd w:val="clear" w:color="auto" w:fill="D5E6F7"/>
          </w:tcPr>
          <w:p>
            <w:pPr>
              <w:jc w:val="center"/>
              <w:spacing w:after="0" w:line="196" w:lineRule="exact"/>
              <w:rPr>
                <w:sz w:val="20"/>
                <w:szCs w:val="20"/>
                <w:color w:val="auto"/>
              </w:rPr>
            </w:pPr>
            <w:r>
              <w:rPr>
                <w:rFonts w:ascii="Arial" w:cs="Arial" w:eastAsia="Arial" w:hAnsi="Arial"/>
                <w:sz w:val="18"/>
                <w:szCs w:val="18"/>
                <w:color w:val="auto"/>
                <w:w w:val="89"/>
              </w:rPr>
              <w:t>15 - 39 years</w:t>
            </w:r>
          </w:p>
        </w:tc>
        <w:tc>
          <w:tcPr>
            <w:tcW w:w="200" w:type="dxa"/>
            <w:vAlign w:val="bottom"/>
            <w:shd w:val="clear" w:color="auto" w:fill="D5E6F7"/>
          </w:tcPr>
          <w:p>
            <w:pPr>
              <w:spacing w:after="0"/>
              <w:rPr>
                <w:sz w:val="17"/>
                <w:szCs w:val="17"/>
                <w:color w:val="auto"/>
              </w:rPr>
            </w:pPr>
          </w:p>
        </w:tc>
        <w:tc>
          <w:tcPr>
            <w:tcW w:w="300" w:type="dxa"/>
            <w:vAlign w:val="bottom"/>
            <w:tcBorders>
              <w:top w:val="single" w:sz="8" w:color="auto"/>
            </w:tcBorders>
            <w:shd w:val="clear" w:color="auto" w:fill="D5E6F7"/>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34,976</w:t>
            </w:r>
          </w:p>
        </w:tc>
        <w:tc>
          <w:tcPr>
            <w:tcW w:w="280" w:type="dxa"/>
            <w:vAlign w:val="bottom"/>
            <w:shd w:val="clear" w:color="auto" w:fill="D5E6F7"/>
          </w:tcPr>
          <w:p>
            <w:pPr>
              <w:spacing w:after="0"/>
              <w:rPr>
                <w:sz w:val="17"/>
                <w:szCs w:val="17"/>
                <w:color w:val="auto"/>
              </w:rPr>
            </w:pPr>
          </w:p>
        </w:tc>
        <w:tc>
          <w:tcPr>
            <w:tcW w:w="240" w:type="dxa"/>
            <w:vAlign w:val="bottom"/>
            <w:tcBorders>
              <w:top w:val="single" w:sz="8" w:color="auto"/>
            </w:tcBorders>
            <w:shd w:val="clear" w:color="auto" w:fill="D5E6F7"/>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34,725</w:t>
            </w:r>
          </w:p>
        </w:tc>
        <w:tc>
          <w:tcPr>
            <w:tcW w:w="80" w:type="dxa"/>
            <w:vAlign w:val="bottom"/>
            <w:shd w:val="clear" w:color="auto" w:fill="D5E6F7"/>
          </w:tcPr>
          <w:p>
            <w:pPr>
              <w:spacing w:after="0"/>
              <w:rPr>
                <w:sz w:val="17"/>
                <w:szCs w:val="17"/>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Miners</w:t>
            </w: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88"/>
              </w:rPr>
              <w:t>5 years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64,138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48,121</w:t>
            </w:r>
          </w:p>
        </w:tc>
        <w:tc>
          <w:tcPr>
            <w:tcW w:w="80" w:type="dxa"/>
            <w:vAlign w:val="bottom"/>
          </w:tcPr>
          <w:p>
            <w:pPr>
              <w:spacing w:after="0"/>
              <w:rPr>
                <w:sz w:val="17"/>
                <w:szCs w:val="17"/>
                <w:color w:val="auto"/>
              </w:rPr>
            </w:pPr>
          </w:p>
        </w:tc>
      </w:tr>
      <w:tr>
        <w:trPr>
          <w:trHeight w:val="203"/>
        </w:trPr>
        <w:tc>
          <w:tcPr>
            <w:tcW w:w="37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Miner facility infrastructure</w:t>
            </w:r>
          </w:p>
        </w:tc>
        <w:tc>
          <w:tcPr>
            <w:tcW w:w="1940" w:type="dxa"/>
            <w:vAlign w:val="bottom"/>
            <w:shd w:val="clear" w:color="auto" w:fill="D5E6F7"/>
          </w:tcPr>
          <w:p>
            <w:pPr>
              <w:jc w:val="center"/>
              <w:spacing w:after="0" w:line="202" w:lineRule="exact"/>
              <w:rPr>
                <w:sz w:val="20"/>
                <w:szCs w:val="20"/>
                <w:color w:val="auto"/>
              </w:rPr>
            </w:pPr>
            <w:r>
              <w:rPr>
                <w:rFonts w:ascii="Arial" w:cs="Arial" w:eastAsia="Arial" w:hAnsi="Arial"/>
                <w:sz w:val="18"/>
                <w:szCs w:val="18"/>
                <w:color w:val="auto"/>
                <w:w w:val="86"/>
              </w:rPr>
              <w:t>15 years</w:t>
            </w:r>
          </w:p>
        </w:tc>
        <w:tc>
          <w:tcPr>
            <w:tcW w:w="200" w:type="dxa"/>
            <w:vAlign w:val="bottom"/>
            <w:shd w:val="clear" w:color="auto" w:fill="D5E6F7"/>
          </w:tcPr>
          <w:p>
            <w:pPr>
              <w:spacing w:after="0"/>
              <w:rPr>
                <w:sz w:val="17"/>
                <w:szCs w:val="17"/>
                <w:color w:val="auto"/>
              </w:rPr>
            </w:pPr>
          </w:p>
        </w:tc>
        <w:tc>
          <w:tcPr>
            <w:tcW w:w="300" w:type="dxa"/>
            <w:vAlign w:val="bottom"/>
            <w:shd w:val="clear" w:color="auto" w:fill="D5E6F7"/>
          </w:tcPr>
          <w:p>
            <w:pPr>
              <w:spacing w:after="0"/>
              <w:rPr>
                <w:sz w:val="17"/>
                <w:szCs w:val="17"/>
                <w:color w:val="auto"/>
              </w:rPr>
            </w:pPr>
          </w:p>
        </w:tc>
        <w:tc>
          <w:tcPr>
            <w:tcW w:w="1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15,957</w:t>
            </w:r>
          </w:p>
        </w:tc>
        <w:tc>
          <w:tcPr>
            <w:tcW w:w="28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1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15,143</w:t>
            </w:r>
          </w:p>
        </w:tc>
        <w:tc>
          <w:tcPr>
            <w:tcW w:w="80" w:type="dxa"/>
            <w:vAlign w:val="bottom"/>
            <w:shd w:val="clear" w:color="auto" w:fill="D5E6F7"/>
          </w:tcPr>
          <w:p>
            <w:pPr>
              <w:spacing w:after="0"/>
              <w:rPr>
                <w:sz w:val="17"/>
                <w:szCs w:val="17"/>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13,460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8,460</w:t>
            </w:r>
          </w:p>
        </w:tc>
        <w:tc>
          <w:tcPr>
            <w:tcW w:w="80" w:type="dxa"/>
            <w:vAlign w:val="bottom"/>
          </w:tcPr>
          <w:p>
            <w:pPr>
              <w:spacing w:after="0"/>
              <w:rPr>
                <w:sz w:val="17"/>
                <w:szCs w:val="17"/>
                <w:color w:val="auto"/>
              </w:rPr>
            </w:pPr>
          </w:p>
        </w:tc>
      </w:tr>
      <w:tr>
        <w:trPr>
          <w:trHeight w:val="203"/>
        </w:trPr>
        <w:tc>
          <w:tcPr>
            <w:tcW w:w="37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Equipment</w:t>
            </w:r>
          </w:p>
        </w:tc>
        <w:tc>
          <w:tcPr>
            <w:tcW w:w="1940" w:type="dxa"/>
            <w:vAlign w:val="bottom"/>
            <w:shd w:val="clear" w:color="auto" w:fill="D5E6F7"/>
          </w:tcPr>
          <w:p>
            <w:pPr>
              <w:jc w:val="center"/>
              <w:spacing w:after="0" w:line="202" w:lineRule="exact"/>
              <w:rPr>
                <w:sz w:val="20"/>
                <w:szCs w:val="20"/>
                <w:color w:val="auto"/>
              </w:rPr>
            </w:pPr>
            <w:r>
              <w:rPr>
                <w:rFonts w:ascii="Arial" w:cs="Arial" w:eastAsia="Arial" w:hAnsi="Arial"/>
                <w:sz w:val="18"/>
                <w:szCs w:val="18"/>
                <w:color w:val="auto"/>
                <w:w w:val="88"/>
              </w:rPr>
              <w:t>5 years</w:t>
            </w:r>
          </w:p>
        </w:tc>
        <w:tc>
          <w:tcPr>
            <w:tcW w:w="200" w:type="dxa"/>
            <w:vAlign w:val="bottom"/>
            <w:shd w:val="clear" w:color="auto" w:fill="D5E6F7"/>
          </w:tcPr>
          <w:p>
            <w:pPr>
              <w:spacing w:after="0"/>
              <w:rPr>
                <w:sz w:val="17"/>
                <w:szCs w:val="17"/>
                <w:color w:val="auto"/>
              </w:rPr>
            </w:pPr>
          </w:p>
        </w:tc>
        <w:tc>
          <w:tcPr>
            <w:tcW w:w="300" w:type="dxa"/>
            <w:vAlign w:val="bottom"/>
            <w:shd w:val="clear" w:color="auto" w:fill="D5E6F7"/>
          </w:tcPr>
          <w:p>
            <w:pPr>
              <w:spacing w:after="0"/>
              <w:rPr>
                <w:sz w:val="17"/>
                <w:szCs w:val="17"/>
                <w:color w:val="auto"/>
              </w:rPr>
            </w:pPr>
          </w:p>
        </w:tc>
        <w:tc>
          <w:tcPr>
            <w:tcW w:w="1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961</w:t>
            </w:r>
          </w:p>
        </w:tc>
        <w:tc>
          <w:tcPr>
            <w:tcW w:w="28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1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1,660</w:t>
            </w:r>
          </w:p>
        </w:tc>
        <w:tc>
          <w:tcPr>
            <w:tcW w:w="80" w:type="dxa"/>
            <w:vAlign w:val="bottom"/>
            <w:shd w:val="clear" w:color="auto" w:fill="D5E6F7"/>
          </w:tcPr>
          <w:p>
            <w:pPr>
              <w:spacing w:after="0"/>
              <w:rPr>
                <w:sz w:val="17"/>
                <w:szCs w:val="17"/>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Software</w:t>
            </w: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88"/>
              </w:rPr>
              <w:t>3 years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80" w:type="dxa"/>
            <w:vAlign w:val="bottom"/>
          </w:tcPr>
          <w:p>
            <w:pPr>
              <w:spacing w:after="0"/>
              <w:rPr>
                <w:sz w:val="17"/>
                <w:szCs w:val="17"/>
                <w:color w:val="auto"/>
              </w:rPr>
            </w:pPr>
          </w:p>
        </w:tc>
      </w:tr>
      <w:tr>
        <w:trPr>
          <w:trHeight w:val="203"/>
        </w:trPr>
        <w:tc>
          <w:tcPr>
            <w:tcW w:w="37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Coal ash impoundment</w:t>
            </w:r>
          </w:p>
        </w:tc>
        <w:tc>
          <w:tcPr>
            <w:tcW w:w="1940" w:type="dxa"/>
            <w:vAlign w:val="bottom"/>
            <w:shd w:val="clear" w:color="auto" w:fill="D5E6F7"/>
          </w:tcPr>
          <w:p>
            <w:pPr>
              <w:jc w:val="center"/>
              <w:spacing w:after="0" w:line="202" w:lineRule="exact"/>
              <w:rPr>
                <w:sz w:val="20"/>
                <w:szCs w:val="20"/>
                <w:color w:val="auto"/>
              </w:rPr>
            </w:pPr>
            <w:r>
              <w:rPr>
                <w:rFonts w:ascii="Arial" w:cs="Arial" w:eastAsia="Arial" w:hAnsi="Arial"/>
                <w:sz w:val="18"/>
                <w:szCs w:val="18"/>
                <w:color w:val="auto"/>
                <w:w w:val="88"/>
              </w:rPr>
              <w:t>4 years</w:t>
            </w:r>
          </w:p>
        </w:tc>
        <w:tc>
          <w:tcPr>
            <w:tcW w:w="200" w:type="dxa"/>
            <w:vAlign w:val="bottom"/>
            <w:shd w:val="clear" w:color="auto" w:fill="D5E6F7"/>
          </w:tcPr>
          <w:p>
            <w:pPr>
              <w:spacing w:after="0"/>
              <w:rPr>
                <w:sz w:val="17"/>
                <w:szCs w:val="17"/>
                <w:color w:val="auto"/>
              </w:rPr>
            </w:pPr>
          </w:p>
        </w:tc>
        <w:tc>
          <w:tcPr>
            <w:tcW w:w="300" w:type="dxa"/>
            <w:vAlign w:val="bottom"/>
            <w:shd w:val="clear" w:color="auto" w:fill="D5E6F7"/>
          </w:tcPr>
          <w:p>
            <w:pPr>
              <w:spacing w:after="0"/>
              <w:rPr>
                <w:sz w:val="17"/>
                <w:szCs w:val="17"/>
                <w:color w:val="auto"/>
              </w:rPr>
            </w:pPr>
          </w:p>
        </w:tc>
        <w:tc>
          <w:tcPr>
            <w:tcW w:w="16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2,410</w:t>
            </w:r>
          </w:p>
        </w:tc>
        <w:tc>
          <w:tcPr>
            <w:tcW w:w="28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16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2,410</w:t>
            </w:r>
          </w:p>
        </w:tc>
        <w:tc>
          <w:tcPr>
            <w:tcW w:w="80" w:type="dxa"/>
            <w:vAlign w:val="bottom"/>
            <w:shd w:val="clear" w:color="auto" w:fill="D5E6F7"/>
          </w:tcPr>
          <w:p>
            <w:pPr>
              <w:spacing w:after="0"/>
              <w:rPr>
                <w:sz w:val="17"/>
                <w:szCs w:val="17"/>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Construction in process</w:t>
            </w: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45,195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25,856</w:t>
            </w:r>
          </w:p>
        </w:tc>
        <w:tc>
          <w:tcPr>
            <w:tcW w:w="80" w:type="dxa"/>
            <w:vAlign w:val="bottom"/>
          </w:tcPr>
          <w:p>
            <w:pPr>
              <w:spacing w:after="0"/>
              <w:rPr>
                <w:sz w:val="17"/>
                <w:szCs w:val="17"/>
                <w:color w:val="auto"/>
              </w:rPr>
            </w:pPr>
          </w:p>
        </w:tc>
      </w:tr>
      <w:tr>
        <w:trPr>
          <w:trHeight w:val="203"/>
        </w:trPr>
        <w:tc>
          <w:tcPr>
            <w:tcW w:w="378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Miner deposits</w:t>
            </w:r>
          </w:p>
        </w:tc>
        <w:tc>
          <w:tcPr>
            <w:tcW w:w="1940" w:type="dxa"/>
            <w:vAlign w:val="bottom"/>
            <w:tcBorders>
              <w:bottom w:val="single" w:sz="8" w:color="D5E6F7"/>
            </w:tcBorders>
            <w:shd w:val="clear" w:color="auto" w:fill="D5E6F7"/>
          </w:tcPr>
          <w:p>
            <w:pPr>
              <w:jc w:val="center"/>
              <w:spacing w:after="0" w:line="202" w:lineRule="exact"/>
              <w:rPr>
                <w:sz w:val="20"/>
                <w:szCs w:val="20"/>
                <w:color w:val="auto"/>
              </w:rPr>
            </w:pPr>
            <w:r>
              <w:rPr>
                <w:rFonts w:ascii="Arial" w:cs="Arial" w:eastAsia="Arial" w:hAnsi="Arial"/>
                <w:sz w:val="18"/>
                <w:szCs w:val="18"/>
                <w:color w:val="auto"/>
                <w:w w:val="99"/>
              </w:rPr>
              <w:t>N/A</w:t>
            </w:r>
          </w:p>
        </w:tc>
        <w:tc>
          <w:tcPr>
            <w:tcW w:w="200" w:type="dxa"/>
            <w:vAlign w:val="bottom"/>
            <w:tcBorders>
              <w:bottom w:val="single" w:sz="8" w:color="D5E6F7"/>
            </w:tcBorders>
            <w:shd w:val="clear" w:color="auto" w:fill="D5E6F7"/>
          </w:tcPr>
          <w:p>
            <w:pPr>
              <w:spacing w:after="0"/>
              <w:rPr>
                <w:sz w:val="17"/>
                <w:szCs w:val="17"/>
                <w:color w:val="auto"/>
              </w:rPr>
            </w:pPr>
          </w:p>
        </w:tc>
        <w:tc>
          <w:tcPr>
            <w:tcW w:w="300" w:type="dxa"/>
            <w:vAlign w:val="bottom"/>
            <w:tcBorders>
              <w:bottom w:val="single" w:sz="8" w:color="auto"/>
            </w:tcBorders>
            <w:shd w:val="clear" w:color="auto" w:fill="D5E6F7"/>
          </w:tcPr>
          <w:p>
            <w:pPr>
              <w:spacing w:after="0"/>
              <w:rPr>
                <w:sz w:val="17"/>
                <w:szCs w:val="17"/>
                <w:color w:val="auto"/>
              </w:rPr>
            </w:pPr>
          </w:p>
        </w:tc>
        <w:tc>
          <w:tcPr>
            <w:tcW w:w="162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135,327</w:t>
            </w:r>
          </w:p>
        </w:tc>
        <w:tc>
          <w:tcPr>
            <w:tcW w:w="280" w:type="dxa"/>
            <w:vAlign w:val="bottom"/>
            <w:tcBorders>
              <w:bottom w:val="single" w:sz="8" w:color="D5E6F7"/>
            </w:tcBorders>
            <w:shd w:val="clear" w:color="auto" w:fill="D5E6F7"/>
          </w:tcPr>
          <w:p>
            <w:pPr>
              <w:spacing w:after="0"/>
              <w:rPr>
                <w:sz w:val="17"/>
                <w:szCs w:val="17"/>
                <w:color w:val="auto"/>
              </w:rPr>
            </w:pPr>
          </w:p>
        </w:tc>
        <w:tc>
          <w:tcPr>
            <w:tcW w:w="240" w:type="dxa"/>
            <w:vAlign w:val="bottom"/>
            <w:tcBorders>
              <w:bottom w:val="single" w:sz="8" w:color="auto"/>
            </w:tcBorders>
            <w:shd w:val="clear" w:color="auto" w:fill="D5E6F7"/>
          </w:tcPr>
          <w:p>
            <w:pPr>
              <w:spacing w:after="0"/>
              <w:rPr>
                <w:sz w:val="17"/>
                <w:szCs w:val="17"/>
                <w:color w:val="auto"/>
              </w:rPr>
            </w:pPr>
          </w:p>
        </w:tc>
        <w:tc>
          <w:tcPr>
            <w:tcW w:w="16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98,110</w:t>
            </w:r>
          </w:p>
        </w:tc>
        <w:tc>
          <w:tcPr>
            <w:tcW w:w="80" w:type="dxa"/>
            <w:vAlign w:val="bottom"/>
            <w:tcBorders>
              <w:bottom w:val="single" w:sz="8" w:color="D5E6F7"/>
            </w:tcBorders>
            <w:shd w:val="clear" w:color="auto" w:fill="D5E6F7"/>
          </w:tcPr>
          <w:p>
            <w:pPr>
              <w:spacing w:after="0"/>
              <w:rPr>
                <w:sz w:val="17"/>
                <w:szCs w:val="17"/>
                <w:color w:val="auto"/>
              </w:rPr>
            </w:pPr>
          </w:p>
        </w:tc>
      </w:tr>
      <w:tr>
        <w:trPr>
          <w:trHeight w:val="196"/>
        </w:trPr>
        <w:tc>
          <w:tcPr>
            <w:tcW w:w="37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313,060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235,121</w:t>
            </w:r>
          </w:p>
        </w:tc>
        <w:tc>
          <w:tcPr>
            <w:tcW w:w="80" w:type="dxa"/>
            <w:vAlign w:val="bottom"/>
          </w:tcPr>
          <w:p>
            <w:pPr>
              <w:spacing w:after="0"/>
              <w:rPr>
                <w:sz w:val="17"/>
                <w:szCs w:val="17"/>
                <w:color w:val="auto"/>
              </w:rPr>
            </w:pPr>
          </w:p>
        </w:tc>
      </w:tr>
      <w:tr>
        <w:trPr>
          <w:trHeight w:val="203"/>
        </w:trPr>
        <w:tc>
          <w:tcPr>
            <w:tcW w:w="37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940" w:type="dxa"/>
            <w:vAlign w:val="bottom"/>
            <w:shd w:val="clear" w:color="auto" w:fill="D5E6F7"/>
          </w:tcPr>
          <w:p>
            <w:pPr>
              <w:spacing w:after="0"/>
              <w:rPr>
                <w:sz w:val="17"/>
                <w:szCs w:val="17"/>
                <w:color w:val="auto"/>
              </w:rPr>
            </w:pPr>
          </w:p>
        </w:tc>
        <w:tc>
          <w:tcPr>
            <w:tcW w:w="200" w:type="dxa"/>
            <w:vAlign w:val="bottom"/>
            <w:shd w:val="clear" w:color="auto" w:fill="D5E6F7"/>
          </w:tcPr>
          <w:p>
            <w:pPr>
              <w:spacing w:after="0"/>
              <w:rPr>
                <w:sz w:val="17"/>
                <w:szCs w:val="17"/>
                <w:color w:val="auto"/>
              </w:rPr>
            </w:pPr>
          </w:p>
        </w:tc>
        <w:tc>
          <w:tcPr>
            <w:tcW w:w="300" w:type="dxa"/>
            <w:vAlign w:val="bottom"/>
            <w:shd w:val="clear" w:color="auto" w:fill="D5E6F7"/>
          </w:tcPr>
          <w:p>
            <w:pPr>
              <w:spacing w:after="0"/>
              <w:rPr>
                <w:sz w:val="17"/>
                <w:szCs w:val="17"/>
                <w:color w:val="auto"/>
              </w:rPr>
            </w:pPr>
          </w:p>
        </w:tc>
        <w:tc>
          <w:tcPr>
            <w:tcW w:w="1900" w:type="dxa"/>
            <w:vAlign w:val="bottom"/>
            <w:gridSpan w:val="2"/>
            <w:shd w:val="clear" w:color="auto" w:fill="D5E6F7"/>
          </w:tcPr>
          <w:p>
            <w:pPr>
              <w:jc w:val="right"/>
              <w:ind w:right="200"/>
              <w:spacing w:after="0" w:line="202" w:lineRule="exact"/>
              <w:rPr>
                <w:sz w:val="20"/>
                <w:szCs w:val="20"/>
                <w:color w:val="auto"/>
              </w:rPr>
            </w:pPr>
            <w:r>
              <w:rPr>
                <w:rFonts w:ascii="Arial" w:cs="Arial" w:eastAsia="Arial" w:hAnsi="Arial"/>
                <w:sz w:val="18"/>
                <w:szCs w:val="18"/>
                <w:color w:val="auto"/>
              </w:rPr>
              <w:t>(21,009 )</w:t>
            </w:r>
          </w:p>
        </w:tc>
        <w:tc>
          <w:tcPr>
            <w:tcW w:w="240" w:type="dxa"/>
            <w:vAlign w:val="bottom"/>
            <w:shd w:val="clear" w:color="auto" w:fill="D5E6F7"/>
          </w:tcPr>
          <w:p>
            <w:pPr>
              <w:spacing w:after="0"/>
              <w:rPr>
                <w:sz w:val="17"/>
                <w:szCs w:val="17"/>
                <w:color w:val="auto"/>
              </w:rPr>
            </w:pPr>
          </w:p>
        </w:tc>
        <w:tc>
          <w:tcPr>
            <w:tcW w:w="1740" w:type="dxa"/>
            <w:vAlign w:val="bottom"/>
            <w:gridSpan w:val="2"/>
            <w:shd w:val="clear" w:color="auto" w:fill="D5E6F7"/>
          </w:tcPr>
          <w:p>
            <w:pPr>
              <w:jc w:val="right"/>
              <w:ind w:right="20"/>
              <w:spacing w:after="0" w:line="202" w:lineRule="exact"/>
              <w:rPr>
                <w:sz w:val="20"/>
                <w:szCs w:val="20"/>
                <w:color w:val="auto"/>
              </w:rPr>
            </w:pPr>
            <w:r>
              <w:rPr>
                <w:rFonts w:ascii="Arial" w:cs="Arial" w:eastAsia="Arial" w:hAnsi="Arial"/>
                <w:sz w:val="18"/>
                <w:szCs w:val="18"/>
                <w:color w:val="auto"/>
              </w:rPr>
              <w:t>(18,030 )</w:t>
            </w:r>
          </w:p>
        </w:tc>
      </w:tr>
      <w:tr>
        <w:trPr>
          <w:trHeight w:val="196"/>
        </w:trPr>
        <w:tc>
          <w:tcPr>
            <w:tcW w:w="3780" w:type="dxa"/>
            <w:vAlign w:val="bottom"/>
            <w:tcBorders>
              <w:top w:val="single" w:sz="8" w:color="D5E6F7"/>
            </w:tcBorders>
          </w:tcPr>
          <w:p>
            <w:pPr>
              <w:spacing w:after="0"/>
              <w:rPr>
                <w:sz w:val="17"/>
                <w:szCs w:val="17"/>
                <w:color w:val="auto"/>
              </w:rPr>
            </w:pPr>
          </w:p>
        </w:tc>
        <w:tc>
          <w:tcPr>
            <w:tcW w:w="1940" w:type="dxa"/>
            <w:vAlign w:val="bottom"/>
            <w:tcBorders>
              <w:top w:val="single" w:sz="8" w:color="D5E6F7"/>
            </w:tcBorders>
          </w:tcPr>
          <w:p>
            <w:pPr>
              <w:spacing w:after="0"/>
              <w:rPr>
                <w:sz w:val="17"/>
                <w:szCs w:val="17"/>
                <w:color w:val="auto"/>
              </w:rPr>
            </w:pPr>
          </w:p>
        </w:tc>
        <w:tc>
          <w:tcPr>
            <w:tcW w:w="200" w:type="dxa"/>
            <w:vAlign w:val="bottom"/>
            <w:tcBorders>
              <w:top w:val="single" w:sz="8" w:color="D5E6F7"/>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292,051</w:t>
            </w:r>
          </w:p>
        </w:tc>
        <w:tc>
          <w:tcPr>
            <w:tcW w:w="280" w:type="dxa"/>
            <w:vAlign w:val="bottom"/>
            <w:tcBorders>
              <w:top w:val="single" w:sz="8" w:color="D5E6F7"/>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217,091</w:t>
            </w:r>
          </w:p>
        </w:tc>
        <w:tc>
          <w:tcPr>
            <w:tcW w:w="80" w:type="dxa"/>
            <w:vAlign w:val="bottom"/>
            <w:tcBorders>
              <w:top w:val="single" w:sz="8" w:color="D5E6F7"/>
            </w:tcBorders>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-424815</wp:posOffset>
            </wp:positionV>
            <wp:extent cx="5969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-424815</wp:posOffset>
            </wp:positionV>
            <wp:extent cx="5969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-159385</wp:posOffset>
            </wp:positionV>
            <wp:extent cx="5969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596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was $3.7 million and $1.3 million for the three months ended March 31, 2022 and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finite-lived intangible assets: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6"/>
                <w:szCs w:val="16"/>
                <w:color w:val="auto"/>
              </w:rPr>
            </w:pPr>
          </w:p>
        </w:tc>
        <w:tc>
          <w:tcPr>
            <w:tcW w:w="136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Intangible Assets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Amortization</w:t>
            </w:r>
          </w:p>
        </w:tc>
        <w:tc>
          <w:tcPr>
            <w:tcW w:w="1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Intangible Assets, Net</w:t>
            </w:r>
          </w:p>
        </w:tc>
      </w:tr>
      <w:tr>
        <w:trPr>
          <w:trHeight w:val="196"/>
        </w:trPr>
        <w:tc>
          <w:tcPr>
            <w:tcW w:w="492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3,810</w:t>
            </w:r>
          </w:p>
        </w:tc>
        <w:tc>
          <w:tcPr>
            <w:tcW w:w="280" w:type="dxa"/>
            <w:vAlign w:val="bottom"/>
            <w:shd w:val="clear" w:color="auto" w:fill="D5E6F7"/>
          </w:tcPr>
          <w:p>
            <w:pPr>
              <w:spacing w:after="0"/>
              <w:rPr>
                <w:sz w:val="17"/>
                <w:szCs w:val="17"/>
                <w:color w:val="auto"/>
              </w:rPr>
            </w:pPr>
          </w:p>
        </w:tc>
        <w:tc>
          <w:tcPr>
            <w:tcW w:w="220" w:type="dxa"/>
            <w:vAlign w:val="bottom"/>
            <w:tcBorders>
              <w:top w:val="single" w:sz="8" w:color="auto"/>
            </w:tcBorders>
            <w:shd w:val="clear" w:color="auto" w:fill="D5E6F7"/>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(273</w:t>
            </w:r>
          </w:p>
        </w:tc>
        <w:tc>
          <w:tcPr>
            <w:tcW w:w="320" w:type="dxa"/>
            <w:vAlign w:val="bottom"/>
            <w:shd w:val="clear" w:color="auto" w:fill="D5E6F7"/>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D5E6F7"/>
          </w:tcPr>
          <w:p>
            <w:pPr>
              <w:jc w:val="right"/>
              <w:ind w:right="39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3,537</w:t>
            </w:r>
          </w:p>
        </w:tc>
        <w:tc>
          <w:tcPr>
            <w:tcW w:w="80" w:type="dxa"/>
            <w:vAlign w:val="bottom"/>
            <w:shd w:val="clear" w:color="auto" w:fill="D5E6F7"/>
          </w:tcPr>
          <w:p>
            <w:pPr>
              <w:spacing w:after="0"/>
              <w:rPr>
                <w:sz w:val="17"/>
                <w:szCs w:val="17"/>
                <w:color w:val="auto"/>
              </w:rPr>
            </w:pP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92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D5E6F7"/>
          </w:tcPr>
          <w:p>
            <w:pPr>
              <w:spacing w:after="0"/>
              <w:rPr>
                <w:sz w:val="17"/>
                <w:szCs w:val="17"/>
                <w:color w:val="auto"/>
              </w:rPr>
            </w:pPr>
          </w:p>
        </w:tc>
        <w:tc>
          <w:tcPr>
            <w:tcW w:w="13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1600" w:type="dxa"/>
            <w:vAlign w:val="bottom"/>
            <w:gridSpan w:val="2"/>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rPr>
              <w:t>(207 )</w:t>
            </w:r>
          </w:p>
        </w:tc>
        <w:tc>
          <w:tcPr>
            <w:tcW w:w="580" w:type="dxa"/>
            <w:vAlign w:val="bottom"/>
            <w:shd w:val="clear" w:color="auto" w:fill="D5E6F7"/>
          </w:tcPr>
          <w:p>
            <w:pPr>
              <w:spacing w:after="0"/>
              <w:rPr>
                <w:sz w:val="17"/>
                <w:szCs w:val="17"/>
                <w:color w:val="auto"/>
              </w:rPr>
            </w:pPr>
          </w:p>
        </w:tc>
        <w:tc>
          <w:tcPr>
            <w:tcW w:w="980" w:type="dxa"/>
            <w:vAlign w:val="bottom"/>
            <w:gridSpan w:val="2"/>
            <w:shd w:val="clear" w:color="auto" w:fill="D5E6F7"/>
          </w:tcPr>
          <w:p>
            <w:pPr>
              <w:jc w:val="right"/>
              <w:ind w:right="20"/>
              <w:spacing w:after="0" w:line="202" w:lineRule="exact"/>
              <w:rPr>
                <w:sz w:val="20"/>
                <w:szCs w:val="20"/>
                <w:color w:val="auto"/>
              </w:rPr>
            </w:pPr>
            <w:r>
              <w:rPr>
                <w:rFonts w:ascii="Arial" w:cs="Arial" w:eastAsia="Arial" w:hAnsi="Arial"/>
                <w:sz w:val="18"/>
                <w:szCs w:val="18"/>
                <w:color w:val="auto"/>
              </w:rPr>
              <w:t>(207 )</w:t>
            </w:r>
          </w:p>
        </w:tc>
      </w:tr>
      <w:tr>
        <w:trPr>
          <w:trHeight w:val="203"/>
        </w:trPr>
        <w:tc>
          <w:tcPr>
            <w:tcW w:w="4920" w:type="dxa"/>
            <w:vAlign w:val="bottom"/>
          </w:tcPr>
          <w:p>
            <w:pPr>
              <w:ind w:left="200"/>
              <w:spacing w:after="0" w:line="202" w:lineRule="exact"/>
              <w:rPr>
                <w:sz w:val="20"/>
                <w:szCs w:val="20"/>
                <w:color w:val="auto"/>
              </w:rPr>
            </w:pPr>
            <w:r>
              <w:rPr>
                <w:rFonts w:ascii="Arial" w:cs="Arial" w:eastAsia="Arial" w:hAnsi="Arial"/>
                <w:sz w:val="18"/>
                <w:szCs w:val="18"/>
                <w:color w:val="auto"/>
              </w:rPr>
              <w:t>Tradename</w:t>
            </w:r>
          </w:p>
        </w:tc>
        <w:tc>
          <w:tcPr>
            <w:tcW w:w="1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(25 )</w:t>
            </w:r>
          </w:p>
        </w:tc>
        <w:tc>
          <w:tcPr>
            <w:tcW w:w="58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(25 )</w:t>
            </w:r>
          </w:p>
        </w:tc>
      </w:tr>
      <w:tr>
        <w:trPr>
          <w:trHeight w:val="236"/>
        </w:trPr>
        <w:tc>
          <w:tcPr>
            <w:tcW w:w="4920" w:type="dxa"/>
            <w:vAlign w:val="bottom"/>
            <w:tcBorders>
              <w:bottom w:val="single" w:sz="8" w:color="D5E6F7"/>
            </w:tcBorders>
            <w:shd w:val="clear" w:color="auto" w:fill="D5E6F7"/>
          </w:tcPr>
          <w:p>
            <w:pPr>
              <w:ind w:left="20"/>
              <w:spacing w:after="0" w:line="182" w:lineRule="exact"/>
              <w:rPr>
                <w:sz w:val="20"/>
                <w:szCs w:val="20"/>
                <w:color w:val="auto"/>
              </w:rPr>
            </w:pPr>
            <w:r>
              <w:rPr>
                <w:rFonts w:ascii="Arial" w:cs="Arial" w:eastAsia="Arial" w:hAnsi="Arial"/>
                <w:sz w:val="18"/>
                <w:szCs w:val="18"/>
                <w:color w:val="auto"/>
              </w:rPr>
              <w:t>Balance at March 31, 2022</w:t>
            </w:r>
          </w:p>
        </w:tc>
        <w:tc>
          <w:tcPr>
            <w:tcW w:w="16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3,810</w:t>
            </w:r>
          </w:p>
        </w:tc>
        <w:tc>
          <w:tcPr>
            <w:tcW w:w="280" w:type="dxa"/>
            <w:vAlign w:val="bottom"/>
            <w:tcBorders>
              <w:bottom w:val="single" w:sz="8" w:color="D5E6F7"/>
            </w:tcBorders>
            <w:shd w:val="clear" w:color="auto" w:fill="D5E6F7"/>
          </w:tcPr>
          <w:p>
            <w:pPr>
              <w:spacing w:after="0"/>
              <w:rPr>
                <w:sz w:val="20"/>
                <w:szCs w:val="20"/>
                <w:color w:val="auto"/>
              </w:rPr>
            </w:pPr>
          </w:p>
        </w:tc>
        <w:tc>
          <w:tcPr>
            <w:tcW w:w="220" w:type="dxa"/>
            <w:vAlign w:val="bottom"/>
            <w:tcBorders>
              <w:top w:val="single" w:sz="8" w:color="auto"/>
              <w:bottom w:val="single" w:sz="8" w:color="auto"/>
            </w:tcBorders>
            <w:shd w:val="clear" w:color="auto" w:fill="D5E6F7"/>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(505</w:t>
            </w:r>
          </w:p>
        </w:tc>
        <w:tc>
          <w:tcPr>
            <w:tcW w:w="320" w:type="dxa"/>
            <w:vAlign w:val="bottom"/>
            <w:tcBorders>
              <w:bottom w:val="single" w:sz="8" w:color="D5E6F7"/>
            </w:tcBorders>
            <w:shd w:val="clear" w:color="auto" w:fill="D5E6F7"/>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D5E6F7"/>
          </w:tcPr>
          <w:p>
            <w:pPr>
              <w:jc w:val="right"/>
              <w:ind w:right="396"/>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3,305</w:t>
            </w:r>
          </w:p>
        </w:tc>
        <w:tc>
          <w:tcPr>
            <w:tcW w:w="8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-25400</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59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As described in Notes 1 and 3, on September 14, 2021, Greenidge and Support.com combined their respective businesses through an all-stock merger transaction that was accounted for as a business combination in accordance with ASC 805. Prior to the Merger, Greenidge did not have any intangible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02" w:lineRule="exact"/>
        <w:rPr>
          <w:sz w:val="20"/>
          <w:szCs w:val="20"/>
          <w:color w:val="auto"/>
        </w:rPr>
      </w:pPr>
    </w:p>
    <w:p>
      <w:pPr>
        <w:jc w:val="both"/>
        <w:ind w:right="380"/>
        <w:spacing w:after="0" w:line="324" w:lineRule="auto"/>
        <w:rPr>
          <w:sz w:val="20"/>
          <w:szCs w:val="20"/>
          <w:color w:val="auto"/>
        </w:rPr>
      </w:pPr>
      <w:r>
        <w:rPr>
          <w:rFonts w:ascii="Arial" w:cs="Arial" w:eastAsia="Arial" w:hAnsi="Arial"/>
          <w:sz w:val="16"/>
          <w:szCs w:val="16"/>
          <w:color w:val="auto"/>
        </w:rPr>
        <w:t>The Company has entered into equipment finance agreements that are secured by the purchased miner equipment. These agreements generally require monthly payments of principal, interest and a risk premium fee. The following table provides information on the equipment financing agreements: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4"/>
            <w:vMerge w:val="restart"/>
          </w:tcPr>
          <w:p>
            <w:pPr>
              <w:jc w:val="right"/>
              <w:ind w:right="812"/>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4"/>
        </w:trPr>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1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Note</w:t>
            </w:r>
          </w:p>
        </w:tc>
        <w:tc>
          <w:tcPr>
            <w:tcW w:w="180" w:type="dxa"/>
            <w:vAlign w:val="bottom"/>
          </w:tcPr>
          <w:p>
            <w:pPr>
              <w:spacing w:after="0"/>
              <w:rPr>
                <w:sz w:val="11"/>
                <w:szCs w:val="11"/>
                <w:color w:val="auto"/>
              </w:rPr>
            </w:pPr>
          </w:p>
        </w:tc>
        <w:tc>
          <w:tcPr>
            <w:tcW w:w="15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Loan Date</w:t>
            </w:r>
          </w:p>
        </w:tc>
        <w:tc>
          <w:tcPr>
            <w:tcW w:w="180" w:type="dxa"/>
            <w:vAlign w:val="bottom"/>
          </w:tcPr>
          <w:p>
            <w:pPr>
              <w:spacing w:after="0"/>
              <w:rPr>
                <w:sz w:val="11"/>
                <w:szCs w:val="11"/>
                <w:color w:val="auto"/>
              </w:rPr>
            </w:pPr>
          </w:p>
        </w:tc>
        <w:tc>
          <w:tcPr>
            <w:tcW w:w="20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Maturity Date</w:t>
            </w:r>
          </w:p>
        </w:tc>
        <w:tc>
          <w:tcPr>
            <w:tcW w:w="200" w:type="dxa"/>
            <w:vAlign w:val="bottom"/>
          </w:tcPr>
          <w:p>
            <w:pPr>
              <w:spacing w:after="0"/>
              <w:rPr>
                <w:sz w:val="11"/>
                <w:szCs w:val="11"/>
                <w:color w:val="auto"/>
              </w:rPr>
            </w:pPr>
          </w:p>
        </w:tc>
        <w:tc>
          <w:tcPr>
            <w:tcW w:w="980" w:type="dxa"/>
            <w:vAlign w:val="bottom"/>
          </w:tcPr>
          <w:p>
            <w:pPr>
              <w:jc w:val="right"/>
              <w:ind w:right="288"/>
              <w:spacing w:after="0" w:line="133"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Initial</w:t>
            </w:r>
          </w:p>
        </w:tc>
        <w:tc>
          <w:tcPr>
            <w:tcW w:w="1200" w:type="dxa"/>
            <w:vAlign w:val="bottom"/>
            <w:gridSpan w:val="2"/>
            <w:vMerge w:val="restart"/>
          </w:tcPr>
          <w:p>
            <w:pPr>
              <w:jc w:val="right"/>
              <w:ind w:right="71"/>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52"/>
              <w:spacing w:after="0" w:line="13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5"/>
        </w:trPr>
        <w:tc>
          <w:tcPr>
            <w:tcW w:w="2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Financing</w:t>
            </w: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10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Equipment Financings:</w:t>
            </w:r>
          </w:p>
        </w:tc>
        <w:tc>
          <w:tcPr>
            <w:tcW w:w="1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A</w:t>
            </w:r>
          </w:p>
        </w:tc>
        <w:tc>
          <w:tcPr>
            <w:tcW w:w="180" w:type="dxa"/>
            <w:vAlign w:val="bottom"/>
            <w:shd w:val="clear" w:color="auto" w:fill="D5E6F7"/>
          </w:tcPr>
          <w:p>
            <w:pPr>
              <w:spacing w:after="0"/>
              <w:rPr>
                <w:sz w:val="17"/>
                <w:szCs w:val="17"/>
                <w:color w:val="auto"/>
              </w:rPr>
            </w:pPr>
          </w:p>
        </w:tc>
        <w:tc>
          <w:tcPr>
            <w:tcW w:w="15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December 2020</w:t>
            </w:r>
          </w:p>
        </w:tc>
        <w:tc>
          <w:tcPr>
            <w:tcW w:w="180" w:type="dxa"/>
            <w:vAlign w:val="bottom"/>
            <w:shd w:val="clear" w:color="auto" w:fill="D5E6F7"/>
          </w:tcPr>
          <w:p>
            <w:pPr>
              <w:spacing w:after="0"/>
              <w:rPr>
                <w:sz w:val="17"/>
                <w:szCs w:val="17"/>
                <w:color w:val="auto"/>
              </w:rPr>
            </w:pPr>
          </w:p>
        </w:tc>
        <w:tc>
          <w:tcPr>
            <w:tcW w:w="20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June 2022</w:t>
            </w:r>
          </w:p>
        </w:tc>
        <w:tc>
          <w:tcPr>
            <w:tcW w:w="11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17.0 %</w:t>
            </w:r>
          </w:p>
        </w:tc>
        <w:tc>
          <w:tcPr>
            <w:tcW w:w="320" w:type="dxa"/>
            <w:vAlign w:val="bottom"/>
            <w:gridSpan w:val="2"/>
            <w:shd w:val="clear" w:color="auto" w:fill="D5E6F7"/>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4,482</w:t>
            </w:r>
          </w:p>
        </w:tc>
        <w:tc>
          <w:tcPr>
            <w:tcW w:w="18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6"/>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D5E6F7"/>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D5E6F7"/>
          </w:tcPr>
          <w:p>
            <w:pPr>
              <w:jc w:val="right"/>
              <w:ind w:right="12"/>
              <w:spacing w:after="0" w:line="202" w:lineRule="exact"/>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03"/>
        </w:trPr>
        <w:tc>
          <w:tcPr>
            <w:tcW w:w="2100" w:type="dxa"/>
            <w:vAlign w:val="bottom"/>
          </w:tcPr>
          <w:p>
            <w:pPr>
              <w:ind w:left="120"/>
              <w:spacing w:after="0" w:line="202" w:lineRule="exact"/>
              <w:rPr>
                <w:sz w:val="20"/>
                <w:szCs w:val="20"/>
                <w:color w:val="auto"/>
              </w:rPr>
            </w:pPr>
            <w:r>
              <w:rPr>
                <w:rFonts w:ascii="Arial" w:cs="Arial" w:eastAsia="Arial" w:hAnsi="Arial"/>
                <w:sz w:val="18"/>
                <w:szCs w:val="18"/>
                <w:color w:val="auto"/>
              </w:rPr>
              <w:t>B</w:t>
            </w:r>
          </w:p>
        </w:tc>
        <w:tc>
          <w:tcPr>
            <w:tcW w:w="180" w:type="dxa"/>
            <w:vAlign w:val="bottom"/>
          </w:tcPr>
          <w:p>
            <w:pPr>
              <w:spacing w:after="0"/>
              <w:rPr>
                <w:sz w:val="17"/>
                <w:szCs w:val="17"/>
                <w:color w:val="auto"/>
              </w:rPr>
            </w:pPr>
          </w:p>
        </w:tc>
        <w:tc>
          <w:tcPr>
            <w:tcW w:w="1540" w:type="dxa"/>
            <w:vAlign w:val="bottom"/>
          </w:tcPr>
          <w:p>
            <w:pPr>
              <w:ind w:left="20"/>
              <w:spacing w:after="0" w:line="202" w:lineRule="exact"/>
              <w:rPr>
                <w:sz w:val="20"/>
                <w:szCs w:val="20"/>
                <w:color w:val="auto"/>
              </w:rPr>
            </w:pPr>
            <w:r>
              <w:rPr>
                <w:rFonts w:ascii="Arial" w:cs="Arial" w:eastAsia="Arial" w:hAnsi="Arial"/>
                <w:sz w:val="18"/>
                <w:szCs w:val="18"/>
                <w:color w:val="auto"/>
              </w:rPr>
              <w:t>December 2020</w:t>
            </w:r>
          </w:p>
        </w:tc>
        <w:tc>
          <w:tcPr>
            <w:tcW w:w="180" w:type="dxa"/>
            <w:vAlign w:val="bottom"/>
          </w:tcPr>
          <w:p>
            <w:pPr>
              <w:spacing w:after="0"/>
              <w:rPr>
                <w:sz w:val="17"/>
                <w:szCs w:val="17"/>
                <w:color w:val="auto"/>
              </w:rPr>
            </w:pPr>
          </w:p>
        </w:tc>
        <w:tc>
          <w:tcPr>
            <w:tcW w:w="2080" w:type="dxa"/>
            <w:vAlign w:val="bottom"/>
          </w:tcPr>
          <w:p>
            <w:pPr>
              <w:ind w:left="20"/>
              <w:spacing w:after="0" w:line="202" w:lineRule="exact"/>
              <w:rPr>
                <w:sz w:val="20"/>
                <w:szCs w:val="20"/>
                <w:color w:val="auto"/>
              </w:rPr>
            </w:pPr>
            <w:r>
              <w:rPr>
                <w:rFonts w:ascii="Arial" w:cs="Arial" w:eastAsia="Arial" w:hAnsi="Arial"/>
                <w:sz w:val="18"/>
                <w:szCs w:val="18"/>
                <w:color w:val="auto"/>
              </w:rPr>
              <w:t>June 2022</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17.0 %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210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C</w:t>
            </w:r>
          </w:p>
        </w:tc>
        <w:tc>
          <w:tcPr>
            <w:tcW w:w="180" w:type="dxa"/>
            <w:vAlign w:val="bottom"/>
            <w:shd w:val="clear" w:color="auto" w:fill="D5E6F7"/>
          </w:tcPr>
          <w:p>
            <w:pPr>
              <w:spacing w:after="0"/>
              <w:rPr>
                <w:sz w:val="17"/>
                <w:szCs w:val="17"/>
                <w:color w:val="auto"/>
              </w:rPr>
            </w:pPr>
          </w:p>
        </w:tc>
        <w:tc>
          <w:tcPr>
            <w:tcW w:w="15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March 2021</w:t>
            </w:r>
          </w:p>
        </w:tc>
        <w:tc>
          <w:tcPr>
            <w:tcW w:w="180" w:type="dxa"/>
            <w:vAlign w:val="bottom"/>
            <w:shd w:val="clear" w:color="auto" w:fill="D5E6F7"/>
          </w:tcPr>
          <w:p>
            <w:pPr>
              <w:spacing w:after="0"/>
              <w:rPr>
                <w:sz w:val="17"/>
                <w:szCs w:val="17"/>
                <w:color w:val="auto"/>
              </w:rPr>
            </w:pPr>
          </w:p>
        </w:tc>
        <w:tc>
          <w:tcPr>
            <w:tcW w:w="20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November 2022</w:t>
            </w:r>
          </w:p>
        </w:tc>
        <w:tc>
          <w:tcPr>
            <w:tcW w:w="11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17.0 %</w:t>
            </w:r>
          </w:p>
        </w:tc>
        <w:tc>
          <w:tcPr>
            <w:tcW w:w="180" w:type="dxa"/>
            <w:vAlign w:val="bottom"/>
            <w:shd w:val="clear" w:color="auto" w:fill="D5E6F7"/>
          </w:tcPr>
          <w:p>
            <w:pPr>
              <w:spacing w:after="0"/>
              <w:rPr>
                <w:sz w:val="17"/>
                <w:szCs w:val="17"/>
                <w:color w:val="auto"/>
              </w:rPr>
            </w:pPr>
          </w:p>
        </w:tc>
        <w:tc>
          <w:tcPr>
            <w:tcW w:w="140" w:type="dxa"/>
            <w:vAlign w:val="bottom"/>
            <w:shd w:val="clear" w:color="auto" w:fill="D5E6F7"/>
          </w:tcPr>
          <w:p>
            <w:pPr>
              <w:spacing w:after="0"/>
              <w:rPr>
                <w:sz w:val="17"/>
                <w:szCs w:val="17"/>
                <w:color w:val="auto"/>
              </w:rPr>
            </w:pPr>
          </w:p>
        </w:tc>
        <w:tc>
          <w:tcPr>
            <w:tcW w:w="9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2,229</w:t>
            </w:r>
          </w:p>
        </w:tc>
        <w:tc>
          <w:tcPr>
            <w:tcW w:w="18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880" w:type="dxa"/>
            <w:vAlign w:val="bottom"/>
            <w:shd w:val="clear" w:color="auto" w:fill="D5E6F7"/>
          </w:tcPr>
          <w:p>
            <w:pPr>
              <w:jc w:val="right"/>
              <w:ind w:right="11"/>
              <w:spacing w:after="0" w:line="202" w:lineRule="exact"/>
              <w:rPr>
                <w:sz w:val="20"/>
                <w:szCs w:val="20"/>
                <w:color w:val="auto"/>
              </w:rPr>
            </w:pPr>
            <w:r>
              <w:rPr>
                <w:rFonts w:ascii="Arial" w:cs="Arial" w:eastAsia="Arial" w:hAnsi="Arial"/>
                <w:sz w:val="18"/>
                <w:szCs w:val="18"/>
                <w:color w:val="auto"/>
              </w:rPr>
              <w:t>991</w:t>
            </w:r>
          </w:p>
        </w:tc>
        <w:tc>
          <w:tcPr>
            <w:tcW w:w="18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1080" w:type="dxa"/>
            <w:vAlign w:val="bottom"/>
            <w:shd w:val="clear" w:color="auto" w:fill="D5E6F7"/>
          </w:tcPr>
          <w:p>
            <w:pPr>
              <w:jc w:val="right"/>
              <w:ind w:right="12"/>
              <w:spacing w:after="0" w:line="202" w:lineRule="exact"/>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3"/>
        </w:trPr>
        <w:tc>
          <w:tcPr>
            <w:tcW w:w="2100" w:type="dxa"/>
            <w:vAlign w:val="bottom"/>
          </w:tcPr>
          <w:p>
            <w:pPr>
              <w:ind w:left="120"/>
              <w:spacing w:after="0" w:line="202" w:lineRule="exact"/>
              <w:rPr>
                <w:sz w:val="20"/>
                <w:szCs w:val="20"/>
                <w:color w:val="auto"/>
              </w:rPr>
            </w:pPr>
            <w:r>
              <w:rPr>
                <w:rFonts w:ascii="Arial" w:cs="Arial" w:eastAsia="Arial" w:hAnsi="Arial"/>
                <w:sz w:val="18"/>
                <w:szCs w:val="18"/>
                <w:color w:val="auto"/>
              </w:rPr>
              <w:t>D</w:t>
            </w:r>
          </w:p>
        </w:tc>
        <w:tc>
          <w:tcPr>
            <w:tcW w:w="180" w:type="dxa"/>
            <w:vAlign w:val="bottom"/>
          </w:tcPr>
          <w:p>
            <w:pPr>
              <w:spacing w:after="0"/>
              <w:rPr>
                <w:sz w:val="17"/>
                <w:szCs w:val="17"/>
                <w:color w:val="auto"/>
              </w:rPr>
            </w:pPr>
          </w:p>
        </w:tc>
        <w:tc>
          <w:tcPr>
            <w:tcW w:w="1540" w:type="dxa"/>
            <w:vAlign w:val="bottom"/>
          </w:tcPr>
          <w:p>
            <w:pPr>
              <w:ind w:left="20"/>
              <w:spacing w:after="0" w:line="202" w:lineRule="exact"/>
              <w:rPr>
                <w:sz w:val="20"/>
                <w:szCs w:val="20"/>
                <w:color w:val="auto"/>
              </w:rPr>
            </w:pPr>
            <w:r>
              <w:rPr>
                <w:rFonts w:ascii="Arial" w:cs="Arial" w:eastAsia="Arial" w:hAnsi="Arial"/>
                <w:sz w:val="18"/>
                <w:szCs w:val="18"/>
                <w:color w:val="auto"/>
              </w:rPr>
              <w:t>April 2021</w:t>
            </w:r>
          </w:p>
        </w:tc>
        <w:tc>
          <w:tcPr>
            <w:tcW w:w="180" w:type="dxa"/>
            <w:vAlign w:val="bottom"/>
          </w:tcPr>
          <w:p>
            <w:pPr>
              <w:spacing w:after="0"/>
              <w:rPr>
                <w:sz w:val="17"/>
                <w:szCs w:val="17"/>
                <w:color w:val="auto"/>
              </w:rPr>
            </w:pPr>
          </w:p>
        </w:tc>
        <w:tc>
          <w:tcPr>
            <w:tcW w:w="2080" w:type="dxa"/>
            <w:vAlign w:val="bottom"/>
          </w:tcPr>
          <w:p>
            <w:pPr>
              <w:ind w:left="20"/>
              <w:spacing w:after="0" w:line="202" w:lineRule="exact"/>
              <w:rPr>
                <w:sz w:val="20"/>
                <w:szCs w:val="20"/>
                <w:color w:val="auto"/>
              </w:rPr>
            </w:pPr>
            <w:r>
              <w:rPr>
                <w:rFonts w:ascii="Arial" w:cs="Arial" w:eastAsia="Arial" w:hAnsi="Arial"/>
                <w:sz w:val="18"/>
                <w:szCs w:val="18"/>
                <w:color w:val="auto"/>
              </w:rPr>
              <w:t>December 2022</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17.0 %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4,012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03"/>
        </w:trPr>
        <w:tc>
          <w:tcPr>
            <w:tcW w:w="210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E - H</w:t>
            </w:r>
          </w:p>
        </w:tc>
        <w:tc>
          <w:tcPr>
            <w:tcW w:w="180" w:type="dxa"/>
            <w:vAlign w:val="bottom"/>
            <w:shd w:val="clear" w:color="auto" w:fill="D5E6F7"/>
          </w:tcPr>
          <w:p>
            <w:pPr>
              <w:spacing w:after="0"/>
              <w:rPr>
                <w:sz w:val="17"/>
                <w:szCs w:val="17"/>
                <w:color w:val="auto"/>
              </w:rPr>
            </w:pPr>
          </w:p>
        </w:tc>
        <w:tc>
          <w:tcPr>
            <w:tcW w:w="15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May 2021</w:t>
            </w:r>
          </w:p>
        </w:tc>
        <w:tc>
          <w:tcPr>
            <w:tcW w:w="180" w:type="dxa"/>
            <w:vAlign w:val="bottom"/>
            <w:shd w:val="clear" w:color="auto" w:fill="D5E6F7"/>
          </w:tcPr>
          <w:p>
            <w:pPr>
              <w:spacing w:after="0"/>
              <w:rPr>
                <w:sz w:val="17"/>
                <w:szCs w:val="17"/>
                <w:color w:val="auto"/>
              </w:rPr>
            </w:pPr>
          </w:p>
        </w:tc>
        <w:tc>
          <w:tcPr>
            <w:tcW w:w="20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October 2023</w:t>
            </w:r>
          </w:p>
        </w:tc>
        <w:tc>
          <w:tcPr>
            <w:tcW w:w="11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15.0 %</w:t>
            </w:r>
          </w:p>
        </w:tc>
        <w:tc>
          <w:tcPr>
            <w:tcW w:w="180" w:type="dxa"/>
            <w:vAlign w:val="bottom"/>
            <w:shd w:val="clear" w:color="auto" w:fill="D5E6F7"/>
          </w:tcPr>
          <w:p>
            <w:pPr>
              <w:spacing w:after="0"/>
              <w:rPr>
                <w:sz w:val="17"/>
                <w:szCs w:val="17"/>
                <w:color w:val="auto"/>
              </w:rPr>
            </w:pPr>
          </w:p>
        </w:tc>
        <w:tc>
          <w:tcPr>
            <w:tcW w:w="140" w:type="dxa"/>
            <w:vAlign w:val="bottom"/>
            <w:shd w:val="clear" w:color="auto" w:fill="D5E6F7"/>
          </w:tcPr>
          <w:p>
            <w:pPr>
              <w:spacing w:after="0"/>
              <w:rPr>
                <w:sz w:val="17"/>
                <w:szCs w:val="17"/>
                <w:color w:val="auto"/>
              </w:rPr>
            </w:pPr>
          </w:p>
        </w:tc>
        <w:tc>
          <w:tcPr>
            <w:tcW w:w="9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15,724</w:t>
            </w:r>
          </w:p>
        </w:tc>
        <w:tc>
          <w:tcPr>
            <w:tcW w:w="18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880" w:type="dxa"/>
            <w:vAlign w:val="bottom"/>
            <w:shd w:val="clear" w:color="auto" w:fill="D5E6F7"/>
          </w:tcPr>
          <w:p>
            <w:pPr>
              <w:jc w:val="right"/>
              <w:ind w:right="11"/>
              <w:spacing w:after="0" w:line="202" w:lineRule="exact"/>
              <w:rPr>
                <w:sz w:val="20"/>
                <w:szCs w:val="20"/>
                <w:color w:val="auto"/>
              </w:rPr>
            </w:pPr>
            <w:r>
              <w:rPr>
                <w:rFonts w:ascii="Arial" w:cs="Arial" w:eastAsia="Arial" w:hAnsi="Arial"/>
                <w:sz w:val="18"/>
                <w:szCs w:val="18"/>
                <w:color w:val="auto"/>
              </w:rPr>
              <w:t>16,089</w:t>
            </w:r>
          </w:p>
        </w:tc>
        <w:tc>
          <w:tcPr>
            <w:tcW w:w="18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1080" w:type="dxa"/>
            <w:vAlign w:val="bottom"/>
            <w:shd w:val="clear" w:color="auto" w:fill="D5E6F7"/>
          </w:tcPr>
          <w:p>
            <w:pPr>
              <w:jc w:val="right"/>
              <w:ind w:right="12"/>
              <w:spacing w:after="0" w:line="202" w:lineRule="exact"/>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03"/>
        </w:trPr>
        <w:tc>
          <w:tcPr>
            <w:tcW w:w="2100" w:type="dxa"/>
            <w:vAlign w:val="bottom"/>
          </w:tcPr>
          <w:p>
            <w:pPr>
              <w:ind w:left="120"/>
              <w:spacing w:after="0" w:line="202" w:lineRule="exact"/>
              <w:rPr>
                <w:sz w:val="20"/>
                <w:szCs w:val="20"/>
                <w:color w:val="auto"/>
              </w:rPr>
            </w:pPr>
            <w:r>
              <w:rPr>
                <w:rFonts w:ascii="Arial" w:cs="Arial" w:eastAsia="Arial" w:hAnsi="Arial"/>
                <w:sz w:val="18"/>
                <w:szCs w:val="18"/>
                <w:color w:val="auto"/>
              </w:rPr>
              <w:t>I</w:t>
            </w:r>
          </w:p>
        </w:tc>
        <w:tc>
          <w:tcPr>
            <w:tcW w:w="180" w:type="dxa"/>
            <w:vAlign w:val="bottom"/>
          </w:tcPr>
          <w:p>
            <w:pPr>
              <w:spacing w:after="0"/>
              <w:rPr>
                <w:sz w:val="17"/>
                <w:szCs w:val="17"/>
                <w:color w:val="auto"/>
              </w:rPr>
            </w:pPr>
          </w:p>
        </w:tc>
        <w:tc>
          <w:tcPr>
            <w:tcW w:w="1540" w:type="dxa"/>
            <w:vAlign w:val="bottom"/>
          </w:tcPr>
          <w:p>
            <w:pPr>
              <w:ind w:left="20"/>
              <w:spacing w:after="0" w:line="202" w:lineRule="exact"/>
              <w:rPr>
                <w:sz w:val="20"/>
                <w:szCs w:val="20"/>
                <w:color w:val="auto"/>
              </w:rPr>
            </w:pPr>
            <w:r>
              <w:rPr>
                <w:rFonts w:ascii="Arial" w:cs="Arial" w:eastAsia="Arial" w:hAnsi="Arial"/>
                <w:sz w:val="18"/>
                <w:szCs w:val="18"/>
                <w:color w:val="auto"/>
              </w:rPr>
              <w:t>July 2021</w:t>
            </w:r>
          </w:p>
        </w:tc>
        <w:tc>
          <w:tcPr>
            <w:tcW w:w="180" w:type="dxa"/>
            <w:vAlign w:val="bottom"/>
          </w:tcPr>
          <w:p>
            <w:pPr>
              <w:spacing w:after="0"/>
              <w:rPr>
                <w:sz w:val="17"/>
                <w:szCs w:val="17"/>
                <w:color w:val="auto"/>
              </w:rPr>
            </w:pPr>
          </w:p>
        </w:tc>
        <w:tc>
          <w:tcPr>
            <w:tcW w:w="2080" w:type="dxa"/>
            <w:vAlign w:val="bottom"/>
          </w:tcPr>
          <w:p>
            <w:pPr>
              <w:ind w:left="20"/>
              <w:spacing w:after="0" w:line="202" w:lineRule="exact"/>
              <w:rPr>
                <w:sz w:val="20"/>
                <w:szCs w:val="20"/>
                <w:color w:val="auto"/>
              </w:rPr>
            </w:pPr>
            <w:r>
              <w:rPr>
                <w:rFonts w:ascii="Arial" w:cs="Arial" w:eastAsia="Arial" w:hAnsi="Arial"/>
                <w:sz w:val="18"/>
                <w:szCs w:val="18"/>
                <w:color w:val="auto"/>
              </w:rPr>
              <w:t>January 2023</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17.0 %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4,457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2,724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03"/>
        </w:trPr>
        <w:tc>
          <w:tcPr>
            <w:tcW w:w="210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J</w:t>
            </w:r>
          </w:p>
        </w:tc>
        <w:tc>
          <w:tcPr>
            <w:tcW w:w="180" w:type="dxa"/>
            <w:vAlign w:val="bottom"/>
            <w:shd w:val="clear" w:color="auto" w:fill="D5E6F7"/>
          </w:tcPr>
          <w:p>
            <w:pPr>
              <w:spacing w:after="0"/>
              <w:rPr>
                <w:sz w:val="17"/>
                <w:szCs w:val="17"/>
                <w:color w:val="auto"/>
              </w:rPr>
            </w:pPr>
          </w:p>
        </w:tc>
        <w:tc>
          <w:tcPr>
            <w:tcW w:w="15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July 2021</w:t>
            </w:r>
          </w:p>
        </w:tc>
        <w:tc>
          <w:tcPr>
            <w:tcW w:w="180" w:type="dxa"/>
            <w:vAlign w:val="bottom"/>
            <w:shd w:val="clear" w:color="auto" w:fill="D5E6F7"/>
          </w:tcPr>
          <w:p>
            <w:pPr>
              <w:spacing w:after="0"/>
              <w:rPr>
                <w:sz w:val="17"/>
                <w:szCs w:val="17"/>
                <w:color w:val="auto"/>
              </w:rPr>
            </w:pPr>
          </w:p>
        </w:tc>
        <w:tc>
          <w:tcPr>
            <w:tcW w:w="20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March 2023</w:t>
            </w:r>
          </w:p>
        </w:tc>
        <w:tc>
          <w:tcPr>
            <w:tcW w:w="11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17.0 %</w:t>
            </w:r>
          </w:p>
        </w:tc>
        <w:tc>
          <w:tcPr>
            <w:tcW w:w="180" w:type="dxa"/>
            <w:vAlign w:val="bottom"/>
            <w:shd w:val="clear" w:color="auto" w:fill="D5E6F7"/>
          </w:tcPr>
          <w:p>
            <w:pPr>
              <w:spacing w:after="0"/>
              <w:rPr>
                <w:sz w:val="17"/>
                <w:szCs w:val="17"/>
                <w:color w:val="auto"/>
              </w:rPr>
            </w:pPr>
          </w:p>
        </w:tc>
        <w:tc>
          <w:tcPr>
            <w:tcW w:w="140" w:type="dxa"/>
            <w:vAlign w:val="bottom"/>
            <w:shd w:val="clear" w:color="auto" w:fill="D5E6F7"/>
          </w:tcPr>
          <w:p>
            <w:pPr>
              <w:spacing w:after="0"/>
              <w:rPr>
                <w:sz w:val="17"/>
                <w:szCs w:val="17"/>
                <w:color w:val="auto"/>
              </w:rPr>
            </w:pPr>
          </w:p>
        </w:tc>
        <w:tc>
          <w:tcPr>
            <w:tcW w:w="9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2,717</w:t>
            </w:r>
          </w:p>
        </w:tc>
        <w:tc>
          <w:tcPr>
            <w:tcW w:w="18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880" w:type="dxa"/>
            <w:vAlign w:val="bottom"/>
            <w:shd w:val="clear" w:color="auto" w:fill="D5E6F7"/>
          </w:tcPr>
          <w:p>
            <w:pPr>
              <w:jc w:val="right"/>
              <w:ind w:right="11"/>
              <w:spacing w:after="0" w:line="202" w:lineRule="exact"/>
              <w:rPr>
                <w:sz w:val="20"/>
                <w:szCs w:val="20"/>
                <w:color w:val="auto"/>
              </w:rPr>
            </w:pPr>
            <w:r>
              <w:rPr>
                <w:rFonts w:ascii="Arial" w:cs="Arial" w:eastAsia="Arial" w:hAnsi="Arial"/>
                <w:sz w:val="18"/>
                <w:szCs w:val="18"/>
                <w:color w:val="auto"/>
              </w:rPr>
              <w:t>1,509</w:t>
            </w:r>
          </w:p>
        </w:tc>
        <w:tc>
          <w:tcPr>
            <w:tcW w:w="18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1080" w:type="dxa"/>
            <w:vAlign w:val="bottom"/>
            <w:shd w:val="clear" w:color="auto" w:fill="D5E6F7"/>
          </w:tcPr>
          <w:p>
            <w:pPr>
              <w:jc w:val="right"/>
              <w:ind w:right="12"/>
              <w:spacing w:after="0" w:line="202" w:lineRule="exact"/>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03"/>
        </w:trPr>
        <w:tc>
          <w:tcPr>
            <w:tcW w:w="2100" w:type="dxa"/>
            <w:vAlign w:val="bottom"/>
          </w:tcPr>
          <w:p>
            <w:pPr>
              <w:ind w:left="120"/>
              <w:spacing w:after="0" w:line="202" w:lineRule="exact"/>
              <w:rPr>
                <w:sz w:val="20"/>
                <w:szCs w:val="20"/>
                <w:color w:val="auto"/>
              </w:rPr>
            </w:pPr>
            <w:r>
              <w:rPr>
                <w:rFonts w:ascii="Arial" w:cs="Arial" w:eastAsia="Arial" w:hAnsi="Arial"/>
                <w:sz w:val="18"/>
                <w:szCs w:val="18"/>
                <w:color w:val="auto"/>
              </w:rPr>
              <w:t>K</w:t>
            </w:r>
          </w:p>
        </w:tc>
        <w:tc>
          <w:tcPr>
            <w:tcW w:w="180" w:type="dxa"/>
            <w:vAlign w:val="bottom"/>
          </w:tcPr>
          <w:p>
            <w:pPr>
              <w:spacing w:after="0"/>
              <w:rPr>
                <w:sz w:val="17"/>
                <w:szCs w:val="17"/>
                <w:color w:val="auto"/>
              </w:rPr>
            </w:pPr>
          </w:p>
        </w:tc>
        <w:tc>
          <w:tcPr>
            <w:tcW w:w="1540" w:type="dxa"/>
            <w:vAlign w:val="bottom"/>
          </w:tcPr>
          <w:p>
            <w:pPr>
              <w:ind w:left="20"/>
              <w:spacing w:after="0" w:line="202" w:lineRule="exact"/>
              <w:rPr>
                <w:sz w:val="20"/>
                <w:szCs w:val="20"/>
                <w:color w:val="auto"/>
              </w:rPr>
            </w:pPr>
            <w:r>
              <w:rPr>
                <w:rFonts w:ascii="Arial" w:cs="Arial" w:eastAsia="Arial" w:hAnsi="Arial"/>
                <w:sz w:val="18"/>
                <w:szCs w:val="18"/>
                <w:color w:val="auto"/>
              </w:rPr>
              <w:t>October 2021</w:t>
            </w:r>
          </w:p>
        </w:tc>
        <w:tc>
          <w:tcPr>
            <w:tcW w:w="180" w:type="dxa"/>
            <w:vAlign w:val="bottom"/>
          </w:tcPr>
          <w:p>
            <w:pPr>
              <w:spacing w:after="0"/>
              <w:rPr>
                <w:sz w:val="17"/>
                <w:szCs w:val="17"/>
                <w:color w:val="auto"/>
              </w:rPr>
            </w:pPr>
          </w:p>
        </w:tc>
        <w:tc>
          <w:tcPr>
            <w:tcW w:w="2080" w:type="dxa"/>
            <w:vAlign w:val="bottom"/>
          </w:tcPr>
          <w:p>
            <w:pPr>
              <w:ind w:left="20"/>
              <w:spacing w:after="0" w:line="202" w:lineRule="exact"/>
              <w:rPr>
                <w:sz w:val="20"/>
                <w:szCs w:val="20"/>
                <w:color w:val="auto"/>
              </w:rPr>
            </w:pPr>
            <w:r>
              <w:rPr>
                <w:rFonts w:ascii="Arial" w:cs="Arial" w:eastAsia="Arial" w:hAnsi="Arial"/>
                <w:sz w:val="18"/>
                <w:szCs w:val="18"/>
                <w:color w:val="auto"/>
              </w:rPr>
              <w:t>June 2023</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17.0 %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2,223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03"/>
        </w:trPr>
        <w:tc>
          <w:tcPr>
            <w:tcW w:w="210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L</w:t>
            </w:r>
          </w:p>
        </w:tc>
        <w:tc>
          <w:tcPr>
            <w:tcW w:w="180" w:type="dxa"/>
            <w:vAlign w:val="bottom"/>
            <w:shd w:val="clear" w:color="auto" w:fill="D5E6F7"/>
          </w:tcPr>
          <w:p>
            <w:pPr>
              <w:spacing w:after="0"/>
              <w:rPr>
                <w:sz w:val="17"/>
                <w:szCs w:val="17"/>
                <w:color w:val="auto"/>
              </w:rPr>
            </w:pPr>
          </w:p>
        </w:tc>
        <w:tc>
          <w:tcPr>
            <w:tcW w:w="15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March 2022</w:t>
            </w:r>
          </w:p>
        </w:tc>
        <w:tc>
          <w:tcPr>
            <w:tcW w:w="180" w:type="dxa"/>
            <w:vAlign w:val="bottom"/>
            <w:shd w:val="clear" w:color="auto" w:fill="D5E6F7"/>
          </w:tcPr>
          <w:p>
            <w:pPr>
              <w:spacing w:after="0"/>
              <w:rPr>
                <w:sz w:val="17"/>
                <w:szCs w:val="17"/>
                <w:color w:val="auto"/>
              </w:rPr>
            </w:pPr>
          </w:p>
        </w:tc>
        <w:tc>
          <w:tcPr>
            <w:tcW w:w="20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April 2024</w:t>
            </w:r>
          </w:p>
        </w:tc>
        <w:tc>
          <w:tcPr>
            <w:tcW w:w="11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13.0 %</w:t>
            </w:r>
          </w:p>
        </w:tc>
        <w:tc>
          <w:tcPr>
            <w:tcW w:w="180" w:type="dxa"/>
            <w:vAlign w:val="bottom"/>
            <w:shd w:val="clear" w:color="auto" w:fill="D5E6F7"/>
          </w:tcPr>
          <w:p>
            <w:pPr>
              <w:spacing w:after="0"/>
              <w:rPr>
                <w:sz w:val="17"/>
                <w:szCs w:val="17"/>
                <w:color w:val="auto"/>
              </w:rPr>
            </w:pPr>
          </w:p>
        </w:tc>
        <w:tc>
          <w:tcPr>
            <w:tcW w:w="140" w:type="dxa"/>
            <w:vAlign w:val="bottom"/>
            <w:shd w:val="clear" w:color="auto" w:fill="D5E6F7"/>
          </w:tcPr>
          <w:p>
            <w:pPr>
              <w:spacing w:after="0"/>
              <w:rPr>
                <w:sz w:val="17"/>
                <w:szCs w:val="17"/>
                <w:color w:val="auto"/>
              </w:rPr>
            </w:pPr>
          </w:p>
        </w:tc>
        <w:tc>
          <w:tcPr>
            <w:tcW w:w="9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54,425</w:t>
            </w:r>
          </w:p>
        </w:tc>
        <w:tc>
          <w:tcPr>
            <w:tcW w:w="18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880" w:type="dxa"/>
            <w:vAlign w:val="bottom"/>
            <w:shd w:val="clear" w:color="auto" w:fill="D5E6F7"/>
          </w:tcPr>
          <w:p>
            <w:pPr>
              <w:jc w:val="right"/>
              <w:ind w:right="11"/>
              <w:spacing w:after="0" w:line="202" w:lineRule="exact"/>
              <w:rPr>
                <w:sz w:val="20"/>
                <w:szCs w:val="20"/>
                <w:color w:val="auto"/>
              </w:rPr>
            </w:pPr>
            <w:r>
              <w:rPr>
                <w:rFonts w:ascii="Arial" w:cs="Arial" w:eastAsia="Arial" w:hAnsi="Arial"/>
                <w:sz w:val="18"/>
                <w:szCs w:val="18"/>
                <w:color w:val="auto"/>
              </w:rPr>
              <w:t>52,706</w:t>
            </w:r>
          </w:p>
        </w:tc>
        <w:tc>
          <w:tcPr>
            <w:tcW w:w="18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1080" w:type="dxa"/>
            <w:vAlign w:val="bottom"/>
            <w:shd w:val="clear" w:color="auto" w:fill="D5E6F7"/>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line="202" w:lineRule="exact"/>
              <w:rPr>
                <w:sz w:val="20"/>
                <w:szCs w:val="20"/>
                <w:color w:val="auto"/>
              </w:rPr>
            </w:pPr>
            <w:r>
              <w:rPr>
                <w:rFonts w:ascii="Arial" w:cs="Arial" w:eastAsia="Arial" w:hAnsi="Arial"/>
                <w:sz w:val="18"/>
                <w:szCs w:val="18"/>
                <w:color w:val="auto"/>
              </w:rPr>
              <w:t>Bonds Payable</w:t>
            </w:r>
          </w:p>
        </w:tc>
        <w:tc>
          <w:tcPr>
            <w:tcW w:w="180" w:type="dxa"/>
            <w:vAlign w:val="bottom"/>
          </w:tcPr>
          <w:p>
            <w:pPr>
              <w:spacing w:after="0"/>
              <w:rPr>
                <w:sz w:val="17"/>
                <w:szCs w:val="17"/>
                <w:color w:val="auto"/>
              </w:rPr>
            </w:pPr>
          </w:p>
        </w:tc>
        <w:tc>
          <w:tcPr>
            <w:tcW w:w="1540" w:type="dxa"/>
            <w:vAlign w:val="bottom"/>
          </w:tcPr>
          <w:p>
            <w:pPr>
              <w:ind w:left="20"/>
              <w:spacing w:after="0" w:line="202" w:lineRule="exact"/>
              <w:rPr>
                <w:sz w:val="20"/>
                <w:szCs w:val="20"/>
                <w:color w:val="auto"/>
              </w:rPr>
            </w:pPr>
            <w:r>
              <w:rPr>
                <w:rFonts w:ascii="Arial" w:cs="Arial" w:eastAsia="Arial" w:hAnsi="Arial"/>
                <w:sz w:val="18"/>
                <w:szCs w:val="18"/>
                <w:color w:val="auto"/>
              </w:rPr>
              <w:t>October 2021</w:t>
            </w:r>
          </w:p>
        </w:tc>
        <w:tc>
          <w:tcPr>
            <w:tcW w:w="180" w:type="dxa"/>
            <w:vAlign w:val="bottom"/>
          </w:tcPr>
          <w:p>
            <w:pPr>
              <w:spacing w:after="0"/>
              <w:rPr>
                <w:sz w:val="17"/>
                <w:szCs w:val="17"/>
                <w:color w:val="auto"/>
              </w:rPr>
            </w:pPr>
          </w:p>
        </w:tc>
        <w:tc>
          <w:tcPr>
            <w:tcW w:w="2080" w:type="dxa"/>
            <w:vAlign w:val="bottom"/>
          </w:tcPr>
          <w:p>
            <w:pPr>
              <w:ind w:left="20"/>
              <w:spacing w:after="0" w:line="202" w:lineRule="exact"/>
              <w:rPr>
                <w:sz w:val="20"/>
                <w:szCs w:val="20"/>
                <w:color w:val="auto"/>
              </w:rPr>
            </w:pPr>
            <w:r>
              <w:rPr>
                <w:rFonts w:ascii="Arial" w:cs="Arial" w:eastAsia="Arial" w:hAnsi="Arial"/>
                <w:sz w:val="18"/>
                <w:szCs w:val="18"/>
                <w:color w:val="auto"/>
              </w:rPr>
              <w:t>October 2026</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55,200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51,961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51,843</w:t>
            </w:r>
          </w:p>
        </w:tc>
        <w:tc>
          <w:tcPr>
            <w:tcW w:w="0" w:type="dxa"/>
            <w:vAlign w:val="bottom"/>
          </w:tcPr>
          <w:p>
            <w:pPr>
              <w:spacing w:after="0"/>
              <w:rPr>
                <w:sz w:val="1"/>
                <w:szCs w:val="1"/>
                <w:color w:val="auto"/>
              </w:rPr>
            </w:pPr>
          </w:p>
        </w:tc>
      </w:tr>
      <w:tr>
        <w:trPr>
          <w:trHeight w:val="203"/>
        </w:trPr>
        <w:tc>
          <w:tcPr>
            <w:tcW w:w="21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Bonds Payable</w:t>
            </w:r>
          </w:p>
        </w:tc>
        <w:tc>
          <w:tcPr>
            <w:tcW w:w="180" w:type="dxa"/>
            <w:vAlign w:val="bottom"/>
            <w:shd w:val="clear" w:color="auto" w:fill="D5E6F7"/>
          </w:tcPr>
          <w:p>
            <w:pPr>
              <w:spacing w:after="0"/>
              <w:rPr>
                <w:sz w:val="17"/>
                <w:szCs w:val="17"/>
                <w:color w:val="auto"/>
              </w:rPr>
            </w:pPr>
          </w:p>
        </w:tc>
        <w:tc>
          <w:tcPr>
            <w:tcW w:w="15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December 2021</w:t>
            </w:r>
          </w:p>
        </w:tc>
        <w:tc>
          <w:tcPr>
            <w:tcW w:w="180" w:type="dxa"/>
            <w:vAlign w:val="bottom"/>
            <w:shd w:val="clear" w:color="auto" w:fill="D5E6F7"/>
          </w:tcPr>
          <w:p>
            <w:pPr>
              <w:spacing w:after="0"/>
              <w:rPr>
                <w:sz w:val="17"/>
                <w:szCs w:val="17"/>
                <w:color w:val="auto"/>
              </w:rPr>
            </w:pPr>
          </w:p>
        </w:tc>
        <w:tc>
          <w:tcPr>
            <w:tcW w:w="208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October 2026</w:t>
            </w:r>
          </w:p>
        </w:tc>
        <w:tc>
          <w:tcPr>
            <w:tcW w:w="118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8.5 %</w:t>
            </w:r>
          </w:p>
        </w:tc>
        <w:tc>
          <w:tcPr>
            <w:tcW w:w="180" w:type="dxa"/>
            <w:vAlign w:val="bottom"/>
            <w:shd w:val="clear" w:color="auto" w:fill="D5E6F7"/>
          </w:tcPr>
          <w:p>
            <w:pPr>
              <w:spacing w:after="0"/>
              <w:rPr>
                <w:sz w:val="17"/>
                <w:szCs w:val="17"/>
                <w:color w:val="auto"/>
              </w:rPr>
            </w:pPr>
          </w:p>
        </w:tc>
        <w:tc>
          <w:tcPr>
            <w:tcW w:w="140" w:type="dxa"/>
            <w:vAlign w:val="bottom"/>
            <w:shd w:val="clear" w:color="auto" w:fill="D5E6F7"/>
          </w:tcPr>
          <w:p>
            <w:pPr>
              <w:spacing w:after="0"/>
              <w:rPr>
                <w:sz w:val="17"/>
                <w:szCs w:val="17"/>
                <w:color w:val="auto"/>
              </w:rPr>
            </w:pPr>
          </w:p>
        </w:tc>
        <w:tc>
          <w:tcPr>
            <w:tcW w:w="9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17,000</w:t>
            </w:r>
          </w:p>
        </w:tc>
        <w:tc>
          <w:tcPr>
            <w:tcW w:w="18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880" w:type="dxa"/>
            <w:vAlign w:val="bottom"/>
            <w:shd w:val="clear" w:color="auto" w:fill="D5E6F7"/>
          </w:tcPr>
          <w:p>
            <w:pPr>
              <w:jc w:val="right"/>
              <w:ind w:right="11"/>
              <w:spacing w:after="0" w:line="202" w:lineRule="exact"/>
              <w:rPr>
                <w:sz w:val="20"/>
                <w:szCs w:val="20"/>
                <w:color w:val="auto"/>
              </w:rPr>
            </w:pPr>
            <w:r>
              <w:rPr>
                <w:rFonts w:ascii="Arial" w:cs="Arial" w:eastAsia="Arial" w:hAnsi="Arial"/>
                <w:sz w:val="18"/>
                <w:szCs w:val="18"/>
                <w:color w:val="auto"/>
              </w:rPr>
              <w:t>15,053</w:t>
            </w:r>
          </w:p>
        </w:tc>
        <w:tc>
          <w:tcPr>
            <w:tcW w:w="18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1080" w:type="dxa"/>
            <w:vAlign w:val="bottom"/>
            <w:shd w:val="clear" w:color="auto" w:fill="D5E6F7"/>
          </w:tcPr>
          <w:p>
            <w:pPr>
              <w:jc w:val="right"/>
              <w:ind w:right="12"/>
              <w:spacing w:after="0" w:line="202" w:lineRule="exact"/>
              <w:rPr>
                <w:sz w:val="20"/>
                <w:szCs w:val="20"/>
                <w:color w:val="auto"/>
              </w:rPr>
            </w:pPr>
            <w:r>
              <w:rPr>
                <w:rFonts w:ascii="Arial" w:cs="Arial" w:eastAsia="Arial" w:hAnsi="Arial"/>
                <w:sz w:val="18"/>
                <w:szCs w:val="18"/>
                <w:color w:val="auto"/>
              </w:rPr>
              <w:t>14,980</w:t>
            </w:r>
          </w:p>
        </w:tc>
        <w:tc>
          <w:tcPr>
            <w:tcW w:w="0" w:type="dxa"/>
            <w:vAlign w:val="bottom"/>
          </w:tcPr>
          <w:p>
            <w:pPr>
              <w:spacing w:after="0"/>
              <w:rPr>
                <w:sz w:val="1"/>
                <w:szCs w:val="1"/>
                <w:color w:val="auto"/>
              </w:rPr>
            </w:pPr>
          </w:p>
        </w:tc>
      </w:tr>
      <w:tr>
        <w:trPr>
          <w:trHeight w:val="162"/>
        </w:trPr>
        <w:tc>
          <w:tcPr>
            <w:tcW w:w="2100" w:type="dxa"/>
            <w:vAlign w:val="bottom"/>
          </w:tcPr>
          <w:p>
            <w:pPr>
              <w:ind w:left="20"/>
              <w:spacing w:after="0" w:line="162" w:lineRule="exact"/>
              <w:rPr>
                <w:sz w:val="20"/>
                <w:szCs w:val="20"/>
                <w:color w:val="auto"/>
              </w:rPr>
            </w:pPr>
            <w:r>
              <w:rPr>
                <w:rFonts w:ascii="Arial" w:cs="Arial" w:eastAsia="Arial" w:hAnsi="Arial"/>
                <w:sz w:val="18"/>
                <w:szCs w:val="18"/>
                <w:color w:val="auto"/>
              </w:rPr>
              <w:t>Secured Promissory Note</w:t>
            </w:r>
          </w:p>
        </w:tc>
        <w:tc>
          <w:tcPr>
            <w:tcW w:w="180" w:type="dxa"/>
            <w:vAlign w:val="bottom"/>
          </w:tcPr>
          <w:p>
            <w:pPr>
              <w:spacing w:after="0"/>
              <w:rPr>
                <w:sz w:val="14"/>
                <w:szCs w:val="14"/>
                <w:color w:val="auto"/>
              </w:rPr>
            </w:pPr>
          </w:p>
        </w:tc>
        <w:tc>
          <w:tcPr>
            <w:tcW w:w="1540" w:type="dxa"/>
            <w:vAlign w:val="bottom"/>
          </w:tcPr>
          <w:p>
            <w:pPr>
              <w:ind w:left="20"/>
              <w:spacing w:after="0" w:line="162" w:lineRule="exact"/>
              <w:rPr>
                <w:sz w:val="20"/>
                <w:szCs w:val="20"/>
                <w:color w:val="auto"/>
              </w:rPr>
            </w:pPr>
            <w:r>
              <w:rPr>
                <w:rFonts w:ascii="Arial" w:cs="Arial" w:eastAsia="Arial" w:hAnsi="Arial"/>
                <w:sz w:val="18"/>
                <w:szCs w:val="18"/>
                <w:color w:val="auto"/>
              </w:rPr>
              <w:t>March 2022</w:t>
            </w:r>
          </w:p>
        </w:tc>
        <w:tc>
          <w:tcPr>
            <w:tcW w:w="180" w:type="dxa"/>
            <w:vAlign w:val="bottom"/>
          </w:tcPr>
          <w:p>
            <w:pPr>
              <w:spacing w:after="0"/>
              <w:rPr>
                <w:sz w:val="14"/>
                <w:szCs w:val="14"/>
                <w:color w:val="auto"/>
              </w:rPr>
            </w:pPr>
          </w:p>
        </w:tc>
        <w:tc>
          <w:tcPr>
            <w:tcW w:w="2080" w:type="dxa"/>
            <w:vAlign w:val="bottom"/>
          </w:tcPr>
          <w:p>
            <w:pPr>
              <w:ind w:left="20"/>
              <w:spacing w:after="0" w:line="162" w:lineRule="exact"/>
              <w:rPr>
                <w:sz w:val="20"/>
                <w:szCs w:val="20"/>
                <w:color w:val="auto"/>
              </w:rPr>
            </w:pPr>
            <w:r>
              <w:rPr>
                <w:rFonts w:ascii="Arial" w:cs="Arial" w:eastAsia="Arial" w:hAnsi="Arial"/>
                <w:sz w:val="18"/>
                <w:szCs w:val="18"/>
                <w:color w:val="auto"/>
              </w:rPr>
              <w:t>July 2022 /</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6.0 %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26,500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25,251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ind w:left="20"/>
              <w:spacing w:after="0" w:line="202" w:lineRule="exact"/>
              <w:rPr>
                <w:sz w:val="20"/>
                <w:szCs w:val="20"/>
                <w:color w:val="auto"/>
              </w:rPr>
            </w:pPr>
            <w:r>
              <w:rPr>
                <w:rFonts w:ascii="Arial" w:cs="Arial" w:eastAsia="Arial" w:hAnsi="Arial"/>
                <w:sz w:val="18"/>
                <w:szCs w:val="18"/>
                <w:color w:val="auto"/>
              </w:rPr>
              <w:t>December 2022</w:t>
            </w:r>
          </w:p>
        </w:tc>
        <w:tc>
          <w:tcPr>
            <w:tcW w:w="11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54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2080" w:type="dxa"/>
            <w:vAlign w:val="bottom"/>
            <w:shd w:val="clear" w:color="auto" w:fill="D5E6F7"/>
          </w:tcPr>
          <w:p>
            <w:pPr>
              <w:spacing w:after="0"/>
              <w:rPr>
                <w:sz w:val="17"/>
                <w:szCs w:val="17"/>
                <w:color w:val="auto"/>
              </w:rPr>
            </w:pPr>
          </w:p>
        </w:tc>
        <w:tc>
          <w:tcPr>
            <w:tcW w:w="200" w:type="dxa"/>
            <w:vAlign w:val="bottom"/>
            <w:shd w:val="clear" w:color="auto" w:fill="D5E6F7"/>
          </w:tcPr>
          <w:p>
            <w:pPr>
              <w:spacing w:after="0"/>
              <w:rPr>
                <w:sz w:val="17"/>
                <w:szCs w:val="17"/>
                <w:color w:val="auto"/>
              </w:rPr>
            </w:pPr>
          </w:p>
        </w:tc>
        <w:tc>
          <w:tcPr>
            <w:tcW w:w="98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140" w:type="dxa"/>
            <w:vAlign w:val="bottom"/>
            <w:shd w:val="clear" w:color="auto" w:fill="D5E6F7"/>
          </w:tcPr>
          <w:p>
            <w:pPr>
              <w:spacing w:after="0"/>
              <w:rPr>
                <w:sz w:val="17"/>
                <w:szCs w:val="17"/>
                <w:color w:val="auto"/>
              </w:rPr>
            </w:pPr>
          </w:p>
        </w:tc>
        <w:tc>
          <w:tcPr>
            <w:tcW w:w="900" w:type="dxa"/>
            <w:vAlign w:val="bottom"/>
            <w:shd w:val="clear" w:color="auto" w:fill="D5E6F7"/>
          </w:tcPr>
          <w:p>
            <w:pPr>
              <w:spacing w:after="0"/>
              <w:rPr>
                <w:sz w:val="17"/>
                <w:szCs w:val="17"/>
                <w:color w:val="auto"/>
              </w:rPr>
            </w:pPr>
          </w:p>
        </w:tc>
        <w:tc>
          <w:tcPr>
            <w:tcW w:w="18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880" w:type="dxa"/>
            <w:vAlign w:val="bottom"/>
            <w:shd w:val="clear" w:color="auto" w:fill="D5E6F7"/>
          </w:tcPr>
          <w:p>
            <w:pPr>
              <w:jc w:val="right"/>
              <w:ind w:right="11"/>
              <w:spacing w:after="0" w:line="196" w:lineRule="exact"/>
              <w:rPr>
                <w:sz w:val="20"/>
                <w:szCs w:val="20"/>
                <w:color w:val="auto"/>
              </w:rPr>
            </w:pPr>
            <w:r>
              <w:rPr>
                <w:rFonts w:ascii="Arial" w:cs="Arial" w:eastAsia="Arial" w:hAnsi="Arial"/>
                <w:sz w:val="18"/>
                <w:szCs w:val="18"/>
                <w:color w:val="auto"/>
              </w:rPr>
              <w:t>169,920</w:t>
            </w:r>
          </w:p>
        </w:tc>
        <w:tc>
          <w:tcPr>
            <w:tcW w:w="180" w:type="dxa"/>
            <w:vAlign w:val="bottom"/>
            <w:shd w:val="clear" w:color="auto" w:fill="D5E6F7"/>
          </w:tcPr>
          <w:p>
            <w:pPr>
              <w:spacing w:after="0"/>
              <w:rPr>
                <w:sz w:val="17"/>
                <w:szCs w:val="17"/>
                <w:color w:val="auto"/>
              </w:rPr>
            </w:pPr>
          </w:p>
        </w:tc>
        <w:tc>
          <w:tcPr>
            <w:tcW w:w="120" w:type="dxa"/>
            <w:vAlign w:val="bottom"/>
            <w:shd w:val="clear" w:color="auto" w:fill="D5E6F7"/>
          </w:tcPr>
          <w:p>
            <w:pPr>
              <w:spacing w:after="0"/>
              <w:rPr>
                <w:sz w:val="17"/>
                <w:szCs w:val="17"/>
                <w:color w:val="auto"/>
              </w:rPr>
            </w:pPr>
          </w:p>
        </w:tc>
        <w:tc>
          <w:tcPr>
            <w:tcW w:w="1080" w:type="dxa"/>
            <w:vAlign w:val="bottom"/>
            <w:shd w:val="clear" w:color="auto" w:fill="D5E6F7"/>
          </w:tcPr>
          <w:p>
            <w:pPr>
              <w:jc w:val="right"/>
              <w:ind w:right="12"/>
              <w:spacing w:after="0" w:line="196" w:lineRule="exact"/>
              <w:rPr>
                <w:sz w:val="20"/>
                <w:szCs w:val="20"/>
                <w:color w:val="auto"/>
              </w:rPr>
            </w:pPr>
            <w:r>
              <w:rPr>
                <w:rFonts w:ascii="Arial" w:cs="Arial" w:eastAsia="Arial" w:hAnsi="Arial"/>
                <w:sz w:val="18"/>
                <w:szCs w:val="18"/>
                <w:color w:val="auto"/>
              </w:rPr>
              <w:t>94,828</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(66,729 )</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(19,577 )</w:t>
            </w:r>
          </w:p>
        </w:tc>
        <w:tc>
          <w:tcPr>
            <w:tcW w:w="0" w:type="dxa"/>
            <w:vAlign w:val="bottom"/>
          </w:tcPr>
          <w:p>
            <w:pPr>
              <w:spacing w:after="0"/>
              <w:rPr>
                <w:sz w:val="1"/>
                <w:szCs w:val="1"/>
                <w:color w:val="auto"/>
              </w:rPr>
            </w:pPr>
          </w:p>
        </w:tc>
      </w:tr>
      <w:tr>
        <w:trPr>
          <w:trHeight w:val="236"/>
        </w:trPr>
        <w:tc>
          <w:tcPr>
            <w:tcW w:w="2100" w:type="dxa"/>
            <w:vAlign w:val="bottom"/>
            <w:tcBorders>
              <w:bottom w:val="single" w:sz="8" w:color="D5E6F7"/>
            </w:tcBorders>
            <w:shd w:val="clear" w:color="auto" w:fill="D5E6F7"/>
          </w:tcPr>
          <w:p>
            <w:pPr>
              <w:spacing w:after="0"/>
              <w:rPr>
                <w:sz w:val="20"/>
                <w:szCs w:val="20"/>
                <w:color w:val="auto"/>
              </w:rPr>
            </w:pPr>
          </w:p>
        </w:tc>
        <w:tc>
          <w:tcPr>
            <w:tcW w:w="180" w:type="dxa"/>
            <w:vAlign w:val="bottom"/>
            <w:tcBorders>
              <w:bottom w:val="single" w:sz="8" w:color="D5E6F7"/>
            </w:tcBorders>
            <w:shd w:val="clear" w:color="auto" w:fill="D5E6F7"/>
          </w:tcPr>
          <w:p>
            <w:pPr>
              <w:spacing w:after="0"/>
              <w:rPr>
                <w:sz w:val="20"/>
                <w:szCs w:val="20"/>
                <w:color w:val="auto"/>
              </w:rPr>
            </w:pPr>
          </w:p>
        </w:tc>
        <w:tc>
          <w:tcPr>
            <w:tcW w:w="1540" w:type="dxa"/>
            <w:vAlign w:val="bottom"/>
            <w:tcBorders>
              <w:bottom w:val="single" w:sz="8" w:color="D5E6F7"/>
            </w:tcBorders>
            <w:shd w:val="clear" w:color="auto" w:fill="D5E6F7"/>
          </w:tcPr>
          <w:p>
            <w:pPr>
              <w:spacing w:after="0"/>
              <w:rPr>
                <w:sz w:val="20"/>
                <w:szCs w:val="20"/>
                <w:color w:val="auto"/>
              </w:rPr>
            </w:pPr>
          </w:p>
        </w:tc>
        <w:tc>
          <w:tcPr>
            <w:tcW w:w="180" w:type="dxa"/>
            <w:vAlign w:val="bottom"/>
            <w:tcBorders>
              <w:bottom w:val="single" w:sz="8" w:color="D5E6F7"/>
            </w:tcBorders>
            <w:shd w:val="clear" w:color="auto" w:fill="D5E6F7"/>
          </w:tcPr>
          <w:p>
            <w:pPr>
              <w:spacing w:after="0"/>
              <w:rPr>
                <w:sz w:val="20"/>
                <w:szCs w:val="20"/>
                <w:color w:val="auto"/>
              </w:rPr>
            </w:pPr>
          </w:p>
        </w:tc>
        <w:tc>
          <w:tcPr>
            <w:tcW w:w="2080" w:type="dxa"/>
            <w:vAlign w:val="bottom"/>
            <w:tcBorders>
              <w:bottom w:val="single" w:sz="8" w:color="D5E6F7"/>
            </w:tcBorders>
            <w:shd w:val="clear" w:color="auto" w:fill="D5E6F7"/>
          </w:tcPr>
          <w:p>
            <w:pPr>
              <w:spacing w:after="0"/>
              <w:rPr>
                <w:sz w:val="20"/>
                <w:szCs w:val="20"/>
                <w:color w:val="auto"/>
              </w:rPr>
            </w:pPr>
          </w:p>
        </w:tc>
        <w:tc>
          <w:tcPr>
            <w:tcW w:w="200" w:type="dxa"/>
            <w:vAlign w:val="bottom"/>
            <w:tcBorders>
              <w:bottom w:val="single" w:sz="8" w:color="D5E6F7"/>
            </w:tcBorders>
            <w:shd w:val="clear" w:color="auto" w:fill="D5E6F7"/>
          </w:tcPr>
          <w:p>
            <w:pPr>
              <w:spacing w:after="0"/>
              <w:rPr>
                <w:sz w:val="20"/>
                <w:szCs w:val="20"/>
                <w:color w:val="auto"/>
              </w:rPr>
            </w:pPr>
          </w:p>
        </w:tc>
        <w:tc>
          <w:tcPr>
            <w:tcW w:w="980" w:type="dxa"/>
            <w:vAlign w:val="bottom"/>
            <w:tcBorders>
              <w:bottom w:val="single" w:sz="8" w:color="D5E6F7"/>
            </w:tcBorders>
            <w:shd w:val="clear" w:color="auto" w:fill="D5E6F7"/>
          </w:tcPr>
          <w:p>
            <w:pPr>
              <w:spacing w:after="0"/>
              <w:rPr>
                <w:sz w:val="20"/>
                <w:szCs w:val="20"/>
                <w:color w:val="auto"/>
              </w:rPr>
            </w:pPr>
          </w:p>
        </w:tc>
        <w:tc>
          <w:tcPr>
            <w:tcW w:w="180" w:type="dxa"/>
            <w:vAlign w:val="bottom"/>
            <w:tcBorders>
              <w:bottom w:val="single" w:sz="8" w:color="D5E6F7"/>
            </w:tcBorders>
            <w:shd w:val="clear" w:color="auto" w:fill="D5E6F7"/>
          </w:tcPr>
          <w:p>
            <w:pPr>
              <w:spacing w:after="0"/>
              <w:rPr>
                <w:sz w:val="20"/>
                <w:szCs w:val="20"/>
                <w:color w:val="auto"/>
              </w:rPr>
            </w:pPr>
          </w:p>
        </w:tc>
        <w:tc>
          <w:tcPr>
            <w:tcW w:w="140" w:type="dxa"/>
            <w:vAlign w:val="bottom"/>
            <w:tcBorders>
              <w:bottom w:val="single" w:sz="8" w:color="D5E6F7"/>
            </w:tcBorders>
            <w:shd w:val="clear" w:color="auto" w:fill="D5E6F7"/>
          </w:tcPr>
          <w:p>
            <w:pPr>
              <w:spacing w:after="0"/>
              <w:rPr>
                <w:sz w:val="20"/>
                <w:szCs w:val="20"/>
                <w:color w:val="auto"/>
              </w:rPr>
            </w:pPr>
          </w:p>
        </w:tc>
        <w:tc>
          <w:tcPr>
            <w:tcW w:w="900" w:type="dxa"/>
            <w:vAlign w:val="bottom"/>
            <w:tcBorders>
              <w:bottom w:val="single" w:sz="8" w:color="D5E6F7"/>
            </w:tcBorders>
            <w:shd w:val="clear" w:color="auto" w:fill="D5E6F7"/>
          </w:tcPr>
          <w:p>
            <w:pPr>
              <w:spacing w:after="0"/>
              <w:rPr>
                <w:sz w:val="20"/>
                <w:szCs w:val="20"/>
                <w:color w:val="auto"/>
              </w:rPr>
            </w:pPr>
          </w:p>
        </w:tc>
        <w:tc>
          <w:tcPr>
            <w:tcW w:w="180" w:type="dxa"/>
            <w:vAlign w:val="bottom"/>
            <w:tcBorders>
              <w:bottom w:val="single" w:sz="8" w:color="D5E6F7"/>
            </w:tcBorders>
            <w:shd w:val="clear" w:color="auto" w:fill="D5E6F7"/>
          </w:tcPr>
          <w:p>
            <w:pPr>
              <w:spacing w:after="0"/>
              <w:rPr>
                <w:sz w:val="20"/>
                <w:szCs w:val="20"/>
                <w:color w:val="auto"/>
              </w:rPr>
            </w:pPr>
          </w:p>
        </w:tc>
        <w:tc>
          <w:tcPr>
            <w:tcW w:w="320" w:type="dxa"/>
            <w:vAlign w:val="bottom"/>
            <w:tcBorders>
              <w:bottom w:val="single" w:sz="8" w:color="auto"/>
            </w:tcBorders>
            <w:shd w:val="clear" w:color="auto" w:fill="D5E6F7"/>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D5E6F7"/>
          </w:tcPr>
          <w:p>
            <w:pPr>
              <w:jc w:val="right"/>
              <w:ind w:right="11"/>
              <w:spacing w:after="0" w:line="196" w:lineRule="exact"/>
              <w:rPr>
                <w:sz w:val="20"/>
                <w:szCs w:val="20"/>
                <w:color w:val="auto"/>
              </w:rPr>
            </w:pPr>
            <w:r>
              <w:rPr>
                <w:rFonts w:ascii="Arial" w:cs="Arial" w:eastAsia="Arial" w:hAnsi="Arial"/>
                <w:sz w:val="18"/>
                <w:szCs w:val="18"/>
                <w:color w:val="auto"/>
              </w:rPr>
              <w:t>103,191</w:t>
            </w:r>
          </w:p>
        </w:tc>
        <w:tc>
          <w:tcPr>
            <w:tcW w:w="180" w:type="dxa"/>
            <w:vAlign w:val="bottom"/>
            <w:tcBorders>
              <w:bottom w:val="single" w:sz="8" w:color="D5E6F7"/>
            </w:tcBorders>
            <w:shd w:val="clear" w:color="auto" w:fill="D5E6F7"/>
          </w:tcPr>
          <w:p>
            <w:pPr>
              <w:spacing w:after="0"/>
              <w:rPr>
                <w:sz w:val="20"/>
                <w:szCs w:val="20"/>
                <w:color w:val="auto"/>
              </w:rPr>
            </w:pPr>
          </w:p>
        </w:tc>
        <w:tc>
          <w:tcPr>
            <w:tcW w:w="120" w:type="dxa"/>
            <w:vAlign w:val="bottom"/>
            <w:tcBorders>
              <w:bottom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5E6F7"/>
          </w:tcPr>
          <w:p>
            <w:pPr>
              <w:jc w:val="right"/>
              <w:ind w:right="12"/>
              <w:spacing w:after="0" w:line="196" w:lineRule="exact"/>
              <w:rPr>
                <w:sz w:val="20"/>
                <w:szCs w:val="20"/>
                <w:color w:val="auto"/>
              </w:rPr>
            </w:pPr>
            <w:r>
              <w:rPr>
                <w:rFonts w:ascii="Arial" w:cs="Arial" w:eastAsia="Arial" w:hAnsi="Arial"/>
                <w:sz w:val="18"/>
                <w:szCs w:val="18"/>
                <w:color w:val="auto"/>
              </w:rPr>
              <w:t>75,251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-24765</wp:posOffset>
            </wp:positionV>
            <wp:extent cx="111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incurred interest expense of $3.4 million and $0.2 million during the three months ended March 31, 2022 and 2021, respectively, under the terms of these financings.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Equipment Financing Agreement</w:t>
      </w:r>
    </w:p>
    <w:p>
      <w:pPr>
        <w:spacing w:after="0" w:line="16" w:lineRule="exact"/>
        <w:rPr>
          <w:sz w:val="20"/>
          <w:szCs w:val="20"/>
          <w:color w:val="auto"/>
        </w:rPr>
      </w:pPr>
    </w:p>
    <w:p>
      <w:pPr>
        <w:spacing w:after="0" w:line="248" w:lineRule="auto"/>
        <w:rPr>
          <w:sz w:val="20"/>
          <w:szCs w:val="20"/>
          <w:color w:val="auto"/>
        </w:rPr>
      </w:pPr>
      <w:r>
        <w:rPr>
          <w:rFonts w:ascii="Arial" w:cs="Arial" w:eastAsia="Arial" w:hAnsi="Arial"/>
          <w:sz w:val="17"/>
          <w:szCs w:val="17"/>
          <w:color w:val="231F20"/>
        </w:rPr>
        <w:t>On March 21, 2022, Greenidge, as guarantor, together with its wholly-owned subsidiaries GTX Gen 1 Collateral LLC, GNY Collateral LLC and GSC Collateral LLC (collectively, the “Borrowers”), entered into a Master Equipment Finance Agreement (the “NYDIG Financing Agreement”) with NYDIG ABL LLC ("NYDIG"), as lender, whereby NYDIG agreed to lend to the Borrowers approximately $81 million under loan schedules that were partially funded for approximately $54 million in March 2022 and will continue to be funded to finance the acquisition of certain miners and related equipment (the “Financed Equipment”). The Borrowers' obligations under the NYDIG Financing Agreement are fully and unconditionally guaranteed by Greenidge. Outstanding borrowings under the NYDIG Financing Agreement are secured by all assets of the Borrowers, including without limitation, the Financed Equipment and proceeds thereof (including bitcoin). The partially funded loan schedules bear interest at a rate of 13% per annum and have terms of twenty-five months. Certain loan schedules are interest-only for a specified period and otherwise payments on loan schedules include both an interest and principal payment. Pursuant to the terms of the NYDIG Financing Agreement, the Borrowers and with certain exceptions, the Company, will be subject to certain covenants and restrictive provisions which will, among other things: limit the Borrowers’ ability to incur additional indebtedness for borrowed money; limit additional liens on the collateral or the equity interests of any of the Borrowers; limit consolidations or mergers including the Borrowers or the Company unless such would not constitute a Change in Control (as defined therein); limit disposing of the collateral or any portion of the collateral with certain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231F20"/>
        </w:rPr>
        <w:t>exceptions; limit the Borrowers’ ability to make certain restricted payments and investments; and limit the ability to create direct obligations of the Borrowers or the Company unless the NYDIG Financing Agreement is at least pari passu in right of payment; each of which are subject to customary and usual exceptions and baskets. The loans under the NYDIG Financing Agreement cannot be voluntarily partially prepaid, but may be prepaid in whole subject to a make-whole calculation. The NYDIG Financing Agreement is denoted in the table above as "Equipment Financings: 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Promissory Note</w:t>
      </w:r>
    </w:p>
    <w:p>
      <w:pPr>
        <w:spacing w:after="0" w:line="16" w:lineRule="exact"/>
        <w:rPr>
          <w:sz w:val="20"/>
          <w:szCs w:val="20"/>
          <w:color w:val="auto"/>
        </w:rPr>
      </w:pPr>
    </w:p>
    <w:p>
      <w:pPr>
        <w:spacing w:after="0" w:line="250" w:lineRule="auto"/>
        <w:rPr>
          <w:sz w:val="20"/>
          <w:szCs w:val="20"/>
          <w:color w:val="auto"/>
        </w:rPr>
      </w:pPr>
      <w:r>
        <w:rPr>
          <w:rFonts w:ascii="Arial" w:cs="Arial" w:eastAsia="Arial" w:hAnsi="Arial"/>
          <w:sz w:val="17"/>
          <w:szCs w:val="17"/>
          <w:color w:val="231F20"/>
        </w:rPr>
        <w:t>On March 18, 2022, Greenidge issued a secured promissory note, as borrower, in favor of B. Riley Commercial Capital, LLC, as noteholder (the “Noteholder”), evidencing a $26.5 million aggregate principal amount loan by the Noteholder to Greenidge (the “Secured Promissory Note”). The Secured Promissory Note is guaranteed by certain of Greenidge’s wholly-owned subsidiaries: Greenidge South Carolina LLC, GSC RE LLC and 300 Jones Road LLC. The loan outstanding under the Secured Promissory Note bears interest at a rate of 6% per annum and matures on July 20, 2022, subject to up to five 30-day extensions, through December 2022, that may be elected by Greenidge provided no Event of Default (as defined therein) has occurred and is continuing and Greenidge pays an Exit Fee (as defined therein) to the Noteholder. Pursuant to the terms of the Secured Promissory Note, Greenidge and its subsidiaries will be subject to certain covenants and restrictive provisions which will, among other things, limit their ability to incur additional indebtedness for borrowed money or additional liens other than debt and liens permitted pursuant to the Secured Promissory Note; consolidate or merge unless Greenidge survives; or transfer all or substantially all of their assets; make certain restricted payments or investments; have a Change of Control (as defined therein); modify certain material agreements; and engage in certain types of transactions with affiliates; each of which are subject to customary and usual exceptions and baskets. The Secured Promissory Note is secured by a first priority mortgage lien on certain real property together with related improvements, fixtures and personal property located at Greenidge's South Carolina Facility. Greenidge’s obligations under the Secured Promissory Note may be prepaid in whole or in part without penalties or fees.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Fair Value Disclosure</w:t>
      </w:r>
    </w:p>
    <w:p>
      <w:pPr>
        <w:spacing w:after="0" w:line="20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231F20"/>
        </w:rPr>
        <w:t>The notional value and estimated fair value of the Company's debt totaled $178.4 million and $169.9 million, respectively, at March 31, 2022. The notional value does not include unamortized discounts and debt issuance costs of $8.5 million at March 31, 2022. The estimated fair value of the Bonds Payable, representing the fair value of our 8.50% senior secured notes due 2026, was measured using quoted market prices at the reporting date. Such instruments were valued using Level 1 inputs. For the Equipment Financings and Secured Promissory Note, the Company believes the notional values approximate their fair values.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231F20"/>
        </w:rPr>
        <w:t>Minimum future principal payments on debt as of March 31, 2022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2"/>
        </w:trPr>
        <w:tc>
          <w:tcPr>
            <w:tcW w:w="6820" w:type="dxa"/>
            <w:vAlign w:val="bottom"/>
            <w:shd w:val="clear" w:color="auto" w:fill="D4E5F7"/>
          </w:tcPr>
          <w:p>
            <w:pPr>
              <w:ind w:left="20"/>
              <w:spacing w:after="0" w:line="202" w:lineRule="exact"/>
              <w:rPr>
                <w:sz w:val="20"/>
                <w:szCs w:val="20"/>
                <w:color w:val="auto"/>
              </w:rPr>
            </w:pPr>
            <w:r>
              <w:rPr>
                <w:rFonts w:ascii="Arial" w:cs="Arial" w:eastAsia="Arial" w:hAnsi="Arial"/>
                <w:sz w:val="18"/>
                <w:szCs w:val="18"/>
                <w:color w:val="auto"/>
              </w:rPr>
              <w:t>Remainder of 2022</w:t>
            </w:r>
          </w:p>
        </w:tc>
        <w:tc>
          <w:tcPr>
            <w:tcW w:w="1380" w:type="dxa"/>
            <w:vAlign w:val="bottom"/>
            <w:shd w:val="clear" w:color="auto" w:fill="D4E5F7"/>
          </w:tcPr>
          <w:p>
            <w:pPr>
              <w:jc w:val="right"/>
              <w:ind w:right="1190"/>
              <w:spacing w:after="0" w:line="202"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D4E5F7"/>
          </w:tcPr>
          <w:p>
            <w:pPr>
              <w:jc w:val="right"/>
              <w:spacing w:after="0" w:line="202" w:lineRule="exact"/>
              <w:rPr>
                <w:sz w:val="20"/>
                <w:szCs w:val="20"/>
                <w:color w:val="auto"/>
              </w:rPr>
            </w:pPr>
            <w:r>
              <w:rPr>
                <w:rFonts w:ascii="Arial" w:cs="Arial" w:eastAsia="Arial" w:hAnsi="Arial"/>
                <w:sz w:val="18"/>
                <w:szCs w:val="18"/>
                <w:color w:val="auto"/>
              </w:rPr>
              <w:t>58,116</w:t>
            </w:r>
          </w:p>
        </w:tc>
        <w:tc>
          <w:tcPr>
            <w:tcW w:w="40" w:type="dxa"/>
            <w:vAlign w:val="bottom"/>
            <w:shd w:val="clear" w:color="auto" w:fill="D4E5F7"/>
          </w:tcPr>
          <w:p>
            <w:pPr>
              <w:spacing w:after="0"/>
              <w:rPr>
                <w:sz w:val="17"/>
                <w:szCs w:val="17"/>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38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36,325</w:t>
            </w:r>
          </w:p>
        </w:tc>
        <w:tc>
          <w:tcPr>
            <w:tcW w:w="40" w:type="dxa"/>
            <w:vAlign w:val="bottom"/>
          </w:tcPr>
          <w:p>
            <w:pPr>
              <w:spacing w:after="0"/>
              <w:rPr>
                <w:sz w:val="17"/>
                <w:szCs w:val="17"/>
                <w:color w:val="auto"/>
              </w:rPr>
            </w:pPr>
          </w:p>
        </w:tc>
      </w:tr>
      <w:tr>
        <w:trPr>
          <w:trHeight w:val="203"/>
        </w:trPr>
        <w:tc>
          <w:tcPr>
            <w:tcW w:w="6820" w:type="dxa"/>
            <w:vAlign w:val="bottom"/>
            <w:shd w:val="clear" w:color="auto" w:fill="D4E5F7"/>
          </w:tcPr>
          <w:p>
            <w:pPr>
              <w:ind w:left="20"/>
              <w:spacing w:after="0" w:line="202" w:lineRule="exact"/>
              <w:rPr>
                <w:sz w:val="20"/>
                <w:szCs w:val="20"/>
                <w:color w:val="auto"/>
              </w:rPr>
            </w:pPr>
            <w:r>
              <w:rPr>
                <w:rFonts w:ascii="Arial" w:cs="Arial" w:eastAsia="Arial" w:hAnsi="Arial"/>
                <w:sz w:val="18"/>
                <w:szCs w:val="18"/>
                <w:color w:val="auto"/>
              </w:rPr>
              <w:t>2024</w:t>
            </w:r>
          </w:p>
        </w:tc>
        <w:tc>
          <w:tcPr>
            <w:tcW w:w="1380" w:type="dxa"/>
            <w:vAlign w:val="bottom"/>
            <w:shd w:val="clear" w:color="auto" w:fill="D4E5F7"/>
          </w:tcPr>
          <w:p>
            <w:pPr>
              <w:spacing w:after="0"/>
              <w:rPr>
                <w:sz w:val="17"/>
                <w:szCs w:val="17"/>
                <w:color w:val="auto"/>
              </w:rPr>
            </w:pPr>
          </w:p>
        </w:tc>
        <w:tc>
          <w:tcPr>
            <w:tcW w:w="1860" w:type="dxa"/>
            <w:vAlign w:val="bottom"/>
            <w:shd w:val="clear" w:color="auto" w:fill="D4E5F7"/>
          </w:tcPr>
          <w:p>
            <w:pPr>
              <w:jc w:val="right"/>
              <w:spacing w:after="0" w:line="202" w:lineRule="exact"/>
              <w:rPr>
                <w:sz w:val="20"/>
                <w:szCs w:val="20"/>
                <w:color w:val="auto"/>
              </w:rPr>
            </w:pPr>
            <w:r>
              <w:rPr>
                <w:rFonts w:ascii="Arial" w:cs="Arial" w:eastAsia="Arial" w:hAnsi="Arial"/>
                <w:sz w:val="18"/>
                <w:szCs w:val="18"/>
                <w:color w:val="auto"/>
              </w:rPr>
              <w:t>11,739</w:t>
            </w:r>
          </w:p>
        </w:tc>
        <w:tc>
          <w:tcPr>
            <w:tcW w:w="40" w:type="dxa"/>
            <w:vAlign w:val="bottom"/>
            <w:shd w:val="clear" w:color="auto" w:fill="D4E5F7"/>
          </w:tcPr>
          <w:p>
            <w:pPr>
              <w:spacing w:after="0"/>
              <w:rPr>
                <w:sz w:val="17"/>
                <w:szCs w:val="17"/>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38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6820" w:type="dxa"/>
            <w:vAlign w:val="bottom"/>
            <w:tcBorders>
              <w:bottom w:val="single" w:sz="8" w:color="D4E5F7"/>
            </w:tcBorders>
            <w:shd w:val="clear" w:color="auto" w:fill="D4E5F7"/>
          </w:tcPr>
          <w:p>
            <w:pPr>
              <w:ind w:left="20"/>
              <w:spacing w:after="0" w:line="202" w:lineRule="exact"/>
              <w:rPr>
                <w:sz w:val="20"/>
                <w:szCs w:val="20"/>
                <w:color w:val="auto"/>
              </w:rPr>
            </w:pPr>
            <w:r>
              <w:rPr>
                <w:rFonts w:ascii="Arial" w:cs="Arial" w:eastAsia="Arial" w:hAnsi="Arial"/>
                <w:sz w:val="18"/>
                <w:szCs w:val="18"/>
                <w:color w:val="auto"/>
              </w:rPr>
              <w:t>2026</w:t>
            </w:r>
          </w:p>
        </w:tc>
        <w:tc>
          <w:tcPr>
            <w:tcW w:w="1380" w:type="dxa"/>
            <w:vAlign w:val="bottom"/>
            <w:tcBorders>
              <w:bottom w:val="single" w:sz="8" w:color="auto"/>
            </w:tcBorders>
            <w:shd w:val="clear" w:color="auto" w:fill="D4E5F7"/>
          </w:tcPr>
          <w:p>
            <w:pPr>
              <w:spacing w:after="0"/>
              <w:rPr>
                <w:sz w:val="17"/>
                <w:szCs w:val="17"/>
                <w:color w:val="auto"/>
              </w:rPr>
            </w:pPr>
          </w:p>
        </w:tc>
        <w:tc>
          <w:tcPr>
            <w:tcW w:w="1860" w:type="dxa"/>
            <w:vAlign w:val="bottom"/>
            <w:tcBorders>
              <w:bottom w:val="single" w:sz="8" w:color="auto"/>
            </w:tcBorders>
            <w:shd w:val="clear" w:color="auto" w:fill="D4E5F7"/>
          </w:tcPr>
          <w:p>
            <w:pPr>
              <w:jc w:val="right"/>
              <w:spacing w:after="0" w:line="202" w:lineRule="exact"/>
              <w:rPr>
                <w:sz w:val="20"/>
                <w:szCs w:val="20"/>
                <w:color w:val="auto"/>
              </w:rPr>
            </w:pPr>
            <w:r>
              <w:rPr>
                <w:rFonts w:ascii="Arial" w:cs="Arial" w:eastAsia="Arial" w:hAnsi="Arial"/>
                <w:sz w:val="18"/>
                <w:szCs w:val="18"/>
                <w:color w:val="auto"/>
              </w:rPr>
              <w:t>72,200</w:t>
            </w:r>
          </w:p>
        </w:tc>
        <w:tc>
          <w:tcPr>
            <w:tcW w:w="40" w:type="dxa"/>
            <w:vAlign w:val="bottom"/>
            <w:tcBorders>
              <w:bottom w:val="single" w:sz="8" w:color="D4E5F7"/>
            </w:tcBorders>
            <w:shd w:val="clear" w:color="auto" w:fill="D4E5F7"/>
          </w:tcPr>
          <w:p>
            <w:pPr>
              <w:spacing w:after="0"/>
              <w:rPr>
                <w:sz w:val="17"/>
                <w:szCs w:val="17"/>
                <w:color w:val="auto"/>
              </w:rPr>
            </w:pPr>
          </w:p>
        </w:tc>
      </w:tr>
      <w:tr>
        <w:trPr>
          <w:trHeight w:val="196"/>
        </w:trPr>
        <w:tc>
          <w:tcPr>
            <w:tcW w:w="682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190"/>
              <w:spacing w:after="0" w:line="182"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178,380</w:t>
            </w:r>
          </w:p>
        </w:tc>
        <w:tc>
          <w:tcPr>
            <w:tcW w:w="4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-159385</wp:posOffset>
            </wp:positionV>
            <wp:extent cx="342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75"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The Company's controlling stockholder, Atlas Holdings LLC ("Atlas"), obtained a letter of credit from a financial institution in the amount of $5.0 million at March 31, 2022, payable to the NYSDEC. This letter of credit guarantees the current value of the Company’s environmental liability.</w:t>
      </w:r>
    </w:p>
    <w:p>
      <w:pPr>
        <w:spacing w:after="0" w:line="10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Atlas also obtained a letter of credit from a financial institution in the amount of $3.6 million at March 31, 2022, payable to Empire Pipeline Incorporated (“Empire”) in the event the Company should not make contracted payments for costs related to a pipeline interconnection project the Company has entered into with Empire (see Note 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16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An affiliate of Atlas has guaranteed the payment obligation of Greenidge in favor of Emera Energy Services, Inc. ("Emera") under an Energy Management Agreement and an ISDA Master Agreement under which Greenidge may enter into various transactions involving the purchase and sale of natural gas, electricity and other commodities with Emera. This guaranty is limited to $1.0 million.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Equity Purchase Agreement with B. Riley Principal Capital, LLC</w:t>
      </w:r>
    </w:p>
    <w:p>
      <w:pPr>
        <w:spacing w:after="0" w:line="1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231F20"/>
        </w:rPr>
        <w:t>On September 15, 2021, Greenidge entered into a common stock purchase agreement (the “2021 Purchase Agreement”) with B. Riley Principal Capital, LLC (the “Investor”) pursuant to which Greenidge has the right to “put” or sell to the Investor up to $500 million of shares of class A common stock, subject to certain limitations and conditions set forth in the 2021 Purchase Agreement, from time to time during the term of the 2021 Purchase Agreement. Under the applicable rules of The Nasdaq Stock Market LLC ("Nasdaq"), in no event may Greenidge issue to the Investor under the 2021 Purchase Agreement more than 19.99% of the total number of combined shares of its class A common stock and class B common stock (together, the "common stock") that were outstanding immediately prior to the execution of the 2021 Purchase Agreement (the “Exchange Cap”), unless Greenidge obtains stockholder approval to issue shares in excess of the Exchange Cap in accordance with applicable Nasdaq rules.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7"/>
          <w:szCs w:val="17"/>
          <w:color w:val="231F20"/>
        </w:rPr>
        <w:t>The per share purchase price for the shares of class A common stock that Greenidge elects to sell to the Investor pursuant to the 2021 Purchase Agreement will be determined by reference to the volume weighted average price of class A common stock during the applicable purchase date on which Greenidge has timely delivered written notice to the Investor directing it to purchase shares under the 2021 Purchase Agreement, less a fixed 5% discount, which shall be increased to a fixed 6% discount at such time that the Company receives aggregate cash proceeds of $200 million as payment for all shares of class A common stock purchased by the Investor in all prior sales of class A common stock made under the 2021 Purchase Agreement. The Investor will have no obligation to purchase shares pursuant to the 2021 Purchase Agreement to the extent that such purchase would cause the Investor to own more than 4.99% of the Company’s issued and outstanding shares of class A common stock.</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231F20"/>
        </w:rPr>
        <w:t>In connection with the 2021 Purchase Agreement, Greenidge entered into a Registration Rights Agreement with the Investor pursuant to which Greenidge agreed to prepare and file a registration statement registering the resale by the Investor of those shares of the class A common stock to be issued under the 2021 Purchase Agreement. The registration statement became effective on October 6, 2021 relating to the resale of 3,500,000 shares of the class A common stock in connection with the 2021 Purchase Agreement. During the three months ended March 31, 2022, the Company issued 415,000 class A common shares pursuant to the 2021 Purchase Agreement for an aggregate sales price of $3.9 million, net of discounts.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BASED COMPENSATION</w:t>
      </w:r>
    </w:p>
    <w:p>
      <w:pPr>
        <w:spacing w:after="0" w:line="17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 February 2021, Greenidge adopted an equity incentive plan and reserved 3,831,112 shares of class A common stock for issuance under the plan (the “2021 Equity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 Unit Awards</w:t>
      </w:r>
    </w:p>
    <w:p>
      <w:pPr>
        <w:spacing w:after="0" w:line="17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During the three months ended March 31, 2022, the Company awarded 5,335 restricted common stock units (“RSUs”) under the 2021 Equity Plan to employees, which are generally eligible to vest over a three-year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RSU awards activity for the three months ended March 31, 2022 is summarized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 Average</w:t>
            </w:r>
          </w:p>
        </w:tc>
        <w:tc>
          <w:tcPr>
            <w:tcW w:w="40" w:type="dxa"/>
            <w:vAlign w:val="bottom"/>
          </w:tcPr>
          <w:p>
            <w:pPr>
              <w:spacing w:after="0"/>
              <w:rPr>
                <w:sz w:val="15"/>
                <w:szCs w:val="15"/>
                <w:color w:val="auto"/>
              </w:rPr>
            </w:pPr>
          </w:p>
        </w:tc>
      </w:tr>
      <w:tr>
        <w:trPr>
          <w:trHeight w:val="176"/>
        </w:trPr>
        <w:tc>
          <w:tcPr>
            <w:tcW w:w="3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Grant Date</w:t>
            </w:r>
          </w:p>
        </w:tc>
        <w:tc>
          <w:tcPr>
            <w:tcW w:w="40" w:type="dxa"/>
            <w:vAlign w:val="bottom"/>
          </w:tcPr>
          <w:p>
            <w:pPr>
              <w:spacing w:after="0"/>
              <w:rPr>
                <w:sz w:val="15"/>
                <w:szCs w:val="15"/>
                <w:color w:val="auto"/>
              </w:rPr>
            </w:pPr>
          </w:p>
        </w:tc>
      </w:tr>
      <w:tr>
        <w:trPr>
          <w:trHeight w:val="185"/>
        </w:trPr>
        <w:tc>
          <w:tcPr>
            <w:tcW w:w="3900" w:type="dxa"/>
            <w:vAlign w:val="bottom"/>
          </w:tcPr>
          <w:p>
            <w:pPr>
              <w:spacing w:after="0"/>
              <w:rPr>
                <w:sz w:val="16"/>
                <w:szCs w:val="16"/>
                <w:color w:val="auto"/>
              </w:rPr>
            </w:pPr>
          </w:p>
        </w:tc>
        <w:tc>
          <w:tcPr>
            <w:tcW w:w="11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RSUs</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6"/>
                <w:szCs w:val="16"/>
                <w:color w:val="auto"/>
              </w:rPr>
            </w:pPr>
          </w:p>
        </w:tc>
      </w:tr>
      <w:tr>
        <w:trPr>
          <w:trHeight w:val="196"/>
        </w:trPr>
        <w:tc>
          <w:tcPr>
            <w:tcW w:w="39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Unvested at December 31, 2021</w:t>
            </w:r>
          </w:p>
        </w:tc>
        <w:tc>
          <w:tcPr>
            <w:tcW w:w="1140" w:type="dxa"/>
            <w:vAlign w:val="bottom"/>
            <w:shd w:val="clear" w:color="auto" w:fill="D5E6F7"/>
          </w:tcPr>
          <w:p>
            <w:pPr>
              <w:spacing w:after="0"/>
              <w:rPr>
                <w:sz w:val="17"/>
                <w:szCs w:val="17"/>
                <w:color w:val="auto"/>
              </w:rPr>
            </w:pPr>
          </w:p>
        </w:tc>
        <w:tc>
          <w:tcPr>
            <w:tcW w:w="6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8"/>
              </w:rPr>
              <w:t>516,987</w:t>
            </w:r>
          </w:p>
        </w:tc>
        <w:tc>
          <w:tcPr>
            <w:tcW w:w="280" w:type="dxa"/>
            <w:vAlign w:val="bottom"/>
            <w:shd w:val="clear" w:color="auto" w:fill="D5E6F7"/>
          </w:tcPr>
          <w:p>
            <w:pPr>
              <w:spacing w:after="0"/>
              <w:rPr>
                <w:sz w:val="17"/>
                <w:szCs w:val="17"/>
                <w:color w:val="auto"/>
              </w:rPr>
            </w:pPr>
          </w:p>
        </w:tc>
        <w:tc>
          <w:tcPr>
            <w:tcW w:w="240" w:type="dxa"/>
            <w:vAlign w:val="bottom"/>
            <w:shd w:val="clear" w:color="auto" w:fill="D5E6F7"/>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6.80</w:t>
            </w:r>
          </w:p>
        </w:tc>
        <w:tc>
          <w:tcPr>
            <w:tcW w:w="40" w:type="dxa"/>
            <w:vAlign w:val="bottom"/>
            <w:shd w:val="clear" w:color="auto" w:fill="D5E6F7"/>
          </w:tcPr>
          <w:p>
            <w:pPr>
              <w:spacing w:after="0"/>
              <w:rPr>
                <w:sz w:val="17"/>
                <w:szCs w:val="17"/>
                <w:color w:val="auto"/>
              </w:rPr>
            </w:pPr>
          </w:p>
        </w:tc>
      </w:tr>
      <w:tr>
        <w:trPr>
          <w:trHeight w:val="203"/>
        </w:trPr>
        <w:tc>
          <w:tcPr>
            <w:tcW w:w="50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5,335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15.32</w:t>
            </w:r>
          </w:p>
        </w:tc>
        <w:tc>
          <w:tcPr>
            <w:tcW w:w="40" w:type="dxa"/>
            <w:vAlign w:val="bottom"/>
          </w:tcPr>
          <w:p>
            <w:pPr>
              <w:spacing w:after="0"/>
              <w:rPr>
                <w:sz w:val="17"/>
                <w:szCs w:val="17"/>
                <w:color w:val="auto"/>
              </w:rPr>
            </w:pPr>
          </w:p>
        </w:tc>
      </w:tr>
      <w:tr>
        <w:trPr>
          <w:trHeight w:val="203"/>
        </w:trPr>
        <w:tc>
          <w:tcPr>
            <w:tcW w:w="390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Vested</w:t>
            </w:r>
          </w:p>
        </w:tc>
        <w:tc>
          <w:tcPr>
            <w:tcW w:w="1140" w:type="dxa"/>
            <w:vAlign w:val="bottom"/>
            <w:shd w:val="clear" w:color="auto" w:fill="D5E6F7"/>
          </w:tcPr>
          <w:p>
            <w:pPr>
              <w:spacing w:after="0"/>
              <w:rPr>
                <w:sz w:val="17"/>
                <w:szCs w:val="17"/>
                <w:color w:val="auto"/>
              </w:rPr>
            </w:pPr>
          </w:p>
        </w:tc>
        <w:tc>
          <w:tcPr>
            <w:tcW w:w="940" w:type="dxa"/>
            <w:vAlign w:val="bottom"/>
            <w:gridSpan w:val="2"/>
            <w:shd w:val="clear" w:color="auto" w:fill="D5E6F7"/>
          </w:tcPr>
          <w:p>
            <w:pPr>
              <w:jc w:val="right"/>
              <w:ind w:right="200"/>
              <w:spacing w:after="0" w:line="202" w:lineRule="exact"/>
              <w:rPr>
                <w:sz w:val="20"/>
                <w:szCs w:val="20"/>
                <w:color w:val="auto"/>
              </w:rPr>
            </w:pPr>
            <w:r>
              <w:rPr>
                <w:rFonts w:ascii="Arial" w:cs="Arial" w:eastAsia="Arial" w:hAnsi="Arial"/>
                <w:sz w:val="18"/>
                <w:szCs w:val="18"/>
                <w:color w:val="auto"/>
                <w:w w:val="99"/>
              </w:rPr>
              <w:t>(90,704 )</w:t>
            </w:r>
          </w:p>
        </w:tc>
        <w:tc>
          <w:tcPr>
            <w:tcW w:w="240" w:type="dxa"/>
            <w:vAlign w:val="bottom"/>
            <w:shd w:val="clear" w:color="auto" w:fill="D5E6F7"/>
          </w:tcPr>
          <w:p>
            <w:pPr>
              <w:spacing w:after="0"/>
              <w:rPr>
                <w:sz w:val="17"/>
                <w:szCs w:val="17"/>
                <w:color w:val="auto"/>
              </w:rPr>
            </w:pPr>
          </w:p>
        </w:tc>
        <w:tc>
          <w:tcPr>
            <w:tcW w:w="16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6.25</w:t>
            </w:r>
          </w:p>
        </w:tc>
        <w:tc>
          <w:tcPr>
            <w:tcW w:w="40" w:type="dxa"/>
            <w:vAlign w:val="bottom"/>
            <w:shd w:val="clear" w:color="auto" w:fill="D5E6F7"/>
          </w:tcPr>
          <w:p>
            <w:pPr>
              <w:spacing w:after="0"/>
              <w:rPr>
                <w:sz w:val="17"/>
                <w:szCs w:val="17"/>
                <w:color w:val="auto"/>
              </w:rPr>
            </w:pPr>
          </w:p>
        </w:tc>
      </w:tr>
      <w:tr>
        <w:trPr>
          <w:trHeight w:val="224"/>
        </w:trPr>
        <w:tc>
          <w:tcPr>
            <w:tcW w:w="3900" w:type="dxa"/>
            <w:vAlign w:val="bottom"/>
            <w:tcBorders>
              <w:top w:val="single" w:sz="8" w:color="D5E6F7"/>
            </w:tcBorders>
          </w:tcPr>
          <w:p>
            <w:pPr>
              <w:ind w:left="20"/>
              <w:spacing w:after="0"/>
              <w:rPr>
                <w:sz w:val="20"/>
                <w:szCs w:val="20"/>
                <w:color w:val="auto"/>
              </w:rPr>
            </w:pPr>
            <w:r>
              <w:rPr>
                <w:rFonts w:ascii="Arial" w:cs="Arial" w:eastAsia="Arial" w:hAnsi="Arial"/>
                <w:sz w:val="18"/>
                <w:szCs w:val="18"/>
                <w:color w:val="auto"/>
              </w:rPr>
              <w:t>Unvested at March 31, 2022</w:t>
            </w:r>
          </w:p>
        </w:tc>
        <w:tc>
          <w:tcPr>
            <w:tcW w:w="1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431,618</w:t>
            </w:r>
          </w:p>
        </w:tc>
        <w:tc>
          <w:tcPr>
            <w:tcW w:w="280" w:type="dxa"/>
            <w:vAlign w:val="bottom"/>
            <w:tcBorders>
              <w:top w:val="single" w:sz="8" w:color="D5E6F7"/>
            </w:tcBorders>
          </w:tcPr>
          <w:p>
            <w:pPr>
              <w:spacing w:after="0"/>
              <w:rPr>
                <w:sz w:val="19"/>
                <w:szCs w:val="19"/>
                <w:color w:val="auto"/>
              </w:rPr>
            </w:pPr>
          </w:p>
        </w:tc>
        <w:tc>
          <w:tcPr>
            <w:tcW w:w="240" w:type="dxa"/>
            <w:vAlign w:val="bottom"/>
            <w:tcBorders>
              <w:top w:val="single" w:sz="8" w:color="D5E6F7"/>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D5E6F7"/>
            </w:tcBorders>
          </w:tcPr>
          <w:p>
            <w:pPr>
              <w:jc w:val="right"/>
              <w:spacing w:after="0"/>
              <w:rPr>
                <w:sz w:val="20"/>
                <w:szCs w:val="20"/>
                <w:color w:val="auto"/>
              </w:rPr>
            </w:pPr>
            <w:r>
              <w:rPr>
                <w:rFonts w:ascii="Arial" w:cs="Arial" w:eastAsia="Arial" w:hAnsi="Arial"/>
                <w:sz w:val="18"/>
                <w:szCs w:val="18"/>
                <w:color w:val="auto"/>
              </w:rPr>
              <w:t>7.01</w:t>
            </w:r>
          </w:p>
        </w:tc>
        <w:tc>
          <w:tcPr>
            <w:tcW w:w="40" w:type="dxa"/>
            <w:vAlign w:val="bottom"/>
            <w:tcBorders>
              <w:top w:val="single" w:sz="8" w:color="D5E6F7"/>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-151130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value of RSU grants is measured based on their fair market value on the date of grant and amortized over their requisite service periods. During the three months ended March 31, 2022, the fair market value of the awards granted totaled $0.1 million, and as of March 31, 2022, there was approximately $2.4 million of total unrecognized compensation cost related to unvested restricted stock rights, which is expected to be recognized over a remaining weighted-average vesting period of approximately 2.0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options activity for the three months ended March 31, 2022 is summarized below:</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5"/>
                <w:szCs w:val="15"/>
                <w:color w:val="auto"/>
              </w:rPr>
            </w:pPr>
          </w:p>
        </w:tc>
        <w:tc>
          <w:tcPr>
            <w:tcW w:w="138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19"/>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5"/>
                <w:szCs w:val="15"/>
                <w:color w:val="auto"/>
              </w:rPr>
            </w:pPr>
          </w:p>
        </w:tc>
      </w:tr>
      <w:tr>
        <w:trPr>
          <w:trHeight w:val="175"/>
        </w:trPr>
        <w:tc>
          <w:tcPr>
            <w:tcW w:w="3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left="279"/>
              <w:spacing w:after="0"/>
              <w:rPr>
                <w:sz w:val="20"/>
                <w:szCs w:val="20"/>
                <w:color w:val="auto"/>
              </w:rPr>
            </w:pPr>
            <w:r>
              <w:rPr>
                <w:rFonts w:ascii="Arial" w:cs="Arial" w:eastAsia="Arial" w:hAnsi="Arial"/>
                <w:sz w:val="14"/>
                <w:szCs w:val="14"/>
                <w:b w:val="1"/>
                <w:bCs w:val="1"/>
                <w:color w:val="auto"/>
                <w:w w:val="89"/>
              </w:rPr>
              <w:t>Exercise Price</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left="168"/>
              <w:spacing w:after="0"/>
              <w:rPr>
                <w:sz w:val="20"/>
                <w:szCs w:val="20"/>
                <w:color w:val="auto"/>
              </w:rPr>
            </w:pPr>
            <w:r>
              <w:rPr>
                <w:rFonts w:ascii="Arial" w:cs="Arial" w:eastAsia="Arial" w:hAnsi="Arial"/>
                <w:sz w:val="14"/>
                <w:szCs w:val="14"/>
                <w:b w:val="1"/>
                <w:bCs w:val="1"/>
                <w:color w:val="auto"/>
                <w:w w:val="95"/>
              </w:rPr>
              <w:t>Contractual Life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19"/>
              <w:spacing w:after="0"/>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5"/>
                <w:szCs w:val="15"/>
                <w:color w:val="auto"/>
              </w:rPr>
            </w:pPr>
          </w:p>
        </w:tc>
      </w:tr>
      <w:tr>
        <w:trPr>
          <w:trHeight w:val="185"/>
        </w:trPr>
        <w:tc>
          <w:tcPr>
            <w:tcW w:w="3860" w:type="dxa"/>
            <w:vAlign w:val="bottom"/>
          </w:tcPr>
          <w:p>
            <w:pPr>
              <w:spacing w:after="0"/>
              <w:rPr>
                <w:sz w:val="16"/>
                <w:szCs w:val="16"/>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Options</w:t>
            </w:r>
          </w:p>
        </w:tc>
        <w:tc>
          <w:tcPr>
            <w:tcW w:w="1300" w:type="dxa"/>
            <w:vAlign w:val="bottom"/>
          </w:tcPr>
          <w:p>
            <w:pPr>
              <w:jc w:val="center"/>
              <w:ind w:left="279"/>
              <w:spacing w:after="0"/>
              <w:rPr>
                <w:sz w:val="20"/>
                <w:szCs w:val="20"/>
                <w:color w:val="auto"/>
              </w:rPr>
            </w:pPr>
            <w:r>
              <w:rPr>
                <w:rFonts w:ascii="Arial" w:cs="Arial" w:eastAsia="Arial" w:hAnsi="Arial"/>
                <w:sz w:val="14"/>
                <w:szCs w:val="14"/>
                <w:b w:val="1"/>
                <w:bCs w:val="1"/>
                <w:color w:val="auto"/>
                <w:w w:val="94"/>
              </w:rPr>
              <w:t>Per Share</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left="168"/>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r>
      <w:tr>
        <w:trPr>
          <w:trHeight w:val="196"/>
        </w:trPr>
        <w:tc>
          <w:tcPr>
            <w:tcW w:w="38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Outstanding at December 31, 2021</w:t>
            </w:r>
          </w:p>
        </w:tc>
        <w:tc>
          <w:tcPr>
            <w:tcW w:w="162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583,080</w:t>
            </w:r>
          </w:p>
        </w:tc>
        <w:tc>
          <w:tcPr>
            <w:tcW w:w="300" w:type="dxa"/>
            <w:vAlign w:val="bottom"/>
            <w:shd w:val="clear" w:color="auto" w:fill="D5E6F7"/>
          </w:tcPr>
          <w:p>
            <w:pPr>
              <w:spacing w:after="0"/>
              <w:rPr>
                <w:sz w:val="17"/>
                <w:szCs w:val="17"/>
                <w:color w:val="auto"/>
              </w:rPr>
            </w:pPr>
          </w:p>
        </w:tc>
        <w:tc>
          <w:tcPr>
            <w:tcW w:w="1300" w:type="dxa"/>
            <w:vAlign w:val="bottom"/>
            <w:tcBorders>
              <w:top w:val="single" w:sz="8" w:color="auto"/>
            </w:tcBorders>
            <w:shd w:val="clear" w:color="auto" w:fill="D5E6F7"/>
          </w:tcPr>
          <w:p>
            <w:pPr>
              <w:jc w:val="right"/>
              <w:ind w:right="1119"/>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96"/>
              </w:rPr>
              <w:t>6.01</w:t>
            </w:r>
          </w:p>
        </w:tc>
        <w:tc>
          <w:tcPr>
            <w:tcW w:w="240" w:type="dxa"/>
            <w:vAlign w:val="bottom"/>
            <w:shd w:val="clear" w:color="auto" w:fill="D5E6F7"/>
          </w:tcPr>
          <w:p>
            <w:pPr>
              <w:spacing w:after="0"/>
              <w:rPr>
                <w:sz w:val="17"/>
                <w:szCs w:val="17"/>
                <w:color w:val="auto"/>
              </w:rPr>
            </w:pPr>
          </w:p>
        </w:tc>
        <w:tc>
          <w:tcPr>
            <w:tcW w:w="1380" w:type="dxa"/>
            <w:vAlign w:val="bottom"/>
            <w:tcBorders>
              <w:top w:val="single" w:sz="8" w:color="auto"/>
            </w:tcBorders>
            <w:shd w:val="clear" w:color="auto" w:fill="D5E6F7"/>
          </w:tcPr>
          <w:p>
            <w:pPr>
              <w:spacing w:after="0"/>
              <w:rPr>
                <w:sz w:val="17"/>
                <w:szCs w:val="17"/>
                <w:color w:val="auto"/>
              </w:rPr>
            </w:pPr>
          </w:p>
        </w:tc>
        <w:tc>
          <w:tcPr>
            <w:tcW w:w="24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9.2</w:t>
            </w:r>
          </w:p>
        </w:tc>
        <w:tc>
          <w:tcPr>
            <w:tcW w:w="240" w:type="dxa"/>
            <w:vAlign w:val="bottom"/>
            <w:shd w:val="clear" w:color="auto" w:fill="D5E6F7"/>
          </w:tcPr>
          <w:p>
            <w:pPr>
              <w:spacing w:after="0"/>
              <w:rPr>
                <w:sz w:val="17"/>
                <w:szCs w:val="17"/>
                <w:color w:val="auto"/>
              </w:rPr>
            </w:pPr>
          </w:p>
        </w:tc>
        <w:tc>
          <w:tcPr>
            <w:tcW w:w="300" w:type="dxa"/>
            <w:vAlign w:val="bottom"/>
            <w:tcBorders>
              <w:top w:val="single" w:sz="8" w:color="auto"/>
            </w:tcBorders>
            <w:shd w:val="clear" w:color="auto" w:fill="D5E6F7"/>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5,854</w:t>
            </w:r>
          </w:p>
        </w:tc>
        <w:tc>
          <w:tcPr>
            <w:tcW w:w="60" w:type="dxa"/>
            <w:vAlign w:val="bottom"/>
            <w:shd w:val="clear" w:color="auto" w:fill="D5E6F7"/>
          </w:tcPr>
          <w:p>
            <w:pPr>
              <w:spacing w:after="0"/>
              <w:rPr>
                <w:sz w:val="17"/>
                <w:szCs w:val="17"/>
                <w:color w:val="auto"/>
              </w:rPr>
            </w:pPr>
          </w:p>
        </w:tc>
      </w:tr>
      <w:tr>
        <w:trPr>
          <w:trHeight w:val="203"/>
        </w:trPr>
        <w:tc>
          <w:tcPr>
            <w:tcW w:w="386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86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Exercised</w:t>
            </w:r>
          </w:p>
        </w:tc>
        <w:tc>
          <w:tcPr>
            <w:tcW w:w="1920" w:type="dxa"/>
            <w:vAlign w:val="bottom"/>
            <w:gridSpan w:val="2"/>
            <w:shd w:val="clear" w:color="auto" w:fill="D5E6F7"/>
          </w:tcPr>
          <w:p>
            <w:pPr>
              <w:jc w:val="right"/>
              <w:ind w:right="220"/>
              <w:spacing w:after="0" w:line="202" w:lineRule="exact"/>
              <w:rPr>
                <w:sz w:val="20"/>
                <w:szCs w:val="20"/>
                <w:color w:val="auto"/>
              </w:rPr>
            </w:pPr>
            <w:r>
              <w:rPr>
                <w:rFonts w:ascii="Arial" w:cs="Arial" w:eastAsia="Arial" w:hAnsi="Arial"/>
                <w:sz w:val="18"/>
                <w:szCs w:val="18"/>
                <w:color w:val="auto"/>
              </w:rPr>
              <w:t>(334 )</w:t>
            </w:r>
          </w:p>
        </w:tc>
        <w:tc>
          <w:tcPr>
            <w:tcW w:w="1300" w:type="dxa"/>
            <w:vAlign w:val="bottom"/>
            <w:shd w:val="clear" w:color="auto" w:fill="D5E6F7"/>
          </w:tcPr>
          <w:p>
            <w:pPr>
              <w:spacing w:after="0"/>
              <w:rPr>
                <w:sz w:val="17"/>
                <w:szCs w:val="17"/>
                <w:color w:val="auto"/>
              </w:rPr>
            </w:pPr>
          </w:p>
        </w:tc>
        <w:tc>
          <w:tcPr>
            <w:tcW w:w="3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w w:val="96"/>
              </w:rPr>
              <w:t>6.25</w:t>
            </w:r>
          </w:p>
        </w:tc>
        <w:tc>
          <w:tcPr>
            <w:tcW w:w="240" w:type="dxa"/>
            <w:vAlign w:val="bottom"/>
            <w:shd w:val="clear" w:color="auto" w:fill="D5E6F7"/>
          </w:tcPr>
          <w:p>
            <w:pPr>
              <w:spacing w:after="0"/>
              <w:rPr>
                <w:sz w:val="17"/>
                <w:szCs w:val="17"/>
                <w:color w:val="auto"/>
              </w:rPr>
            </w:pPr>
          </w:p>
        </w:tc>
        <w:tc>
          <w:tcPr>
            <w:tcW w:w="138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300" w:type="dxa"/>
            <w:vAlign w:val="bottom"/>
            <w:shd w:val="clear" w:color="auto" w:fill="D5E6F7"/>
          </w:tcPr>
          <w:p>
            <w:pPr>
              <w:spacing w:after="0"/>
              <w:rPr>
                <w:sz w:val="17"/>
                <w:szCs w:val="17"/>
                <w:color w:val="auto"/>
              </w:rPr>
            </w:pPr>
          </w:p>
        </w:tc>
        <w:tc>
          <w:tcPr>
            <w:tcW w:w="1340" w:type="dxa"/>
            <w:vAlign w:val="bottom"/>
            <w:shd w:val="clear" w:color="auto" w:fill="D5E6F7"/>
          </w:tcPr>
          <w:p>
            <w:pPr>
              <w:spacing w:after="0"/>
              <w:rPr>
                <w:sz w:val="17"/>
                <w:szCs w:val="17"/>
                <w:color w:val="auto"/>
              </w:rPr>
            </w:pPr>
          </w:p>
        </w:tc>
        <w:tc>
          <w:tcPr>
            <w:tcW w:w="60" w:type="dxa"/>
            <w:vAlign w:val="bottom"/>
            <w:shd w:val="clear" w:color="auto" w:fill="D5E6F7"/>
          </w:tcPr>
          <w:p>
            <w:pPr>
              <w:spacing w:after="0"/>
              <w:rPr>
                <w:sz w:val="17"/>
                <w:szCs w:val="17"/>
                <w:color w:val="auto"/>
              </w:rPr>
            </w:pPr>
          </w:p>
        </w:tc>
      </w:tr>
      <w:tr>
        <w:trPr>
          <w:trHeight w:val="203"/>
        </w:trPr>
        <w:tc>
          <w:tcPr>
            <w:tcW w:w="386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1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(2,888 )</w:t>
            </w:r>
          </w:p>
        </w:tc>
        <w:tc>
          <w:tcPr>
            <w:tcW w:w="13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6.25</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8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Outstanding at March 31, 2022</w:t>
            </w:r>
          </w:p>
        </w:tc>
        <w:tc>
          <w:tcPr>
            <w:tcW w:w="162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579,858</w:t>
            </w:r>
          </w:p>
        </w:tc>
        <w:tc>
          <w:tcPr>
            <w:tcW w:w="300" w:type="dxa"/>
            <w:vAlign w:val="bottom"/>
            <w:shd w:val="clear" w:color="auto" w:fill="D5E6F7"/>
          </w:tcPr>
          <w:p>
            <w:pPr>
              <w:spacing w:after="0"/>
              <w:rPr>
                <w:sz w:val="17"/>
                <w:szCs w:val="17"/>
                <w:color w:val="auto"/>
              </w:rPr>
            </w:pPr>
          </w:p>
        </w:tc>
        <w:tc>
          <w:tcPr>
            <w:tcW w:w="1300" w:type="dxa"/>
            <w:vAlign w:val="bottom"/>
            <w:shd w:val="clear" w:color="auto" w:fill="D5E6F7"/>
          </w:tcPr>
          <w:p>
            <w:pPr>
              <w:jc w:val="right"/>
              <w:ind w:right="1119"/>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96"/>
              </w:rPr>
              <w:t>6.01</w:t>
            </w:r>
          </w:p>
        </w:tc>
        <w:tc>
          <w:tcPr>
            <w:tcW w:w="240" w:type="dxa"/>
            <w:vAlign w:val="bottom"/>
            <w:shd w:val="clear" w:color="auto" w:fill="D5E6F7"/>
          </w:tcPr>
          <w:p>
            <w:pPr>
              <w:spacing w:after="0"/>
              <w:rPr>
                <w:sz w:val="17"/>
                <w:szCs w:val="17"/>
                <w:color w:val="auto"/>
              </w:rPr>
            </w:pPr>
          </w:p>
        </w:tc>
        <w:tc>
          <w:tcPr>
            <w:tcW w:w="1380" w:type="dxa"/>
            <w:vAlign w:val="bottom"/>
            <w:shd w:val="clear" w:color="auto" w:fill="D5E6F7"/>
          </w:tcPr>
          <w:p>
            <w:pPr>
              <w:spacing w:after="0"/>
              <w:rPr>
                <w:sz w:val="17"/>
                <w:szCs w:val="17"/>
                <w:color w:val="auto"/>
              </w:rPr>
            </w:pPr>
          </w:p>
        </w:tc>
        <w:tc>
          <w:tcPr>
            <w:tcW w:w="2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8.9</w:t>
            </w:r>
          </w:p>
        </w:tc>
        <w:tc>
          <w:tcPr>
            <w:tcW w:w="540" w:type="dxa"/>
            <w:vAlign w:val="bottom"/>
            <w:gridSpan w:val="2"/>
            <w:shd w:val="clear" w:color="auto" w:fill="D5E6F7"/>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1,430</w:t>
            </w:r>
          </w:p>
        </w:tc>
        <w:tc>
          <w:tcPr>
            <w:tcW w:w="60" w:type="dxa"/>
            <w:vAlign w:val="bottom"/>
            <w:shd w:val="clear" w:color="auto" w:fill="D5E6F7"/>
          </w:tcPr>
          <w:p>
            <w:pPr>
              <w:spacing w:after="0"/>
              <w:rPr>
                <w:sz w:val="17"/>
                <w:szCs w:val="17"/>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Exercisable as of March 31, 2022</w:t>
            </w:r>
          </w:p>
        </w:tc>
        <w:tc>
          <w:tcPr>
            <w:tcW w:w="1620" w:type="dxa"/>
            <w:vAlign w:val="bottom"/>
          </w:tcPr>
          <w:p>
            <w:pPr>
              <w:jc w:val="right"/>
              <w:spacing w:after="0"/>
              <w:rPr>
                <w:sz w:val="20"/>
                <w:szCs w:val="20"/>
                <w:color w:val="auto"/>
              </w:rPr>
            </w:pPr>
            <w:r>
              <w:rPr>
                <w:rFonts w:ascii="Arial" w:cs="Arial" w:eastAsia="Arial" w:hAnsi="Arial"/>
                <w:sz w:val="18"/>
                <w:szCs w:val="18"/>
                <w:color w:val="auto"/>
              </w:rPr>
              <w:t>439,225</w:t>
            </w:r>
          </w:p>
        </w:tc>
        <w:tc>
          <w:tcPr>
            <w:tcW w:w="300" w:type="dxa"/>
            <w:vAlign w:val="bottom"/>
          </w:tcPr>
          <w:p>
            <w:pPr>
              <w:spacing w:after="0"/>
              <w:rPr>
                <w:sz w:val="20"/>
                <w:szCs w:val="20"/>
                <w:color w:val="auto"/>
              </w:rPr>
            </w:pP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5.86</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8.9</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20"/>
                <w:szCs w:val="20"/>
                <w:color w:val="auto"/>
              </w:rPr>
            </w:pPr>
          </w:p>
        </w:tc>
      </w:tr>
    </w:tbl>
    <w:p>
      <w:pPr>
        <w:spacing w:after="0" w:line="16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value of common stock option grants is measured based on their fair market value on the date of grant and amortized over their requisite service periods. As of March 31, 2022, there was approximately $0.3 million of total unrecognized compensation cost related to unvested common stock options, which is expected to be recognized over a remaining weighted-average vesting period of approximately 1.4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 Company recognized stock-based compensation expense of $0.4 million and $0.7 million during the three months ended March 31, 2022 and 2021, respectively. Stock-based compensation expense is included in selling, general and administrative expenses in the accompanying unaudited condensed consolidated statements of operations and comprehensive (loss) income.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0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spacing w:after="0" w:line="174"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The Company's effective tax rate was 46.2% and 36.4% for the three months ended March 31, 2022 and 2021, respectively. The effective tax rate for the three months ended March 31, 2022 was different from the U.S. federal statutory rate of 21% primarily due to state income taxes and tax benefits associated with stock-based compensation. The effective tax rate for the three months ended March 31, 2021 includes the recognition of a deferred tax liability caused by the reorganization from a limited liability company to a corporation during the first quarter of 2021.</w:t>
      </w:r>
    </w:p>
    <w:p>
      <w:pPr>
        <w:spacing w:after="0" w:line="159"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 Company continues to evaluate the realizability of its deferred tax assets on a quarterly basis and will adjust such amounts in light of changing facts and circumstances. In making such an assessment, management would consider all available positive and negative evidence, including the level of historical taxable income, future reversals of existing temporary differences, tax planning strategies, and projected future taxable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the numerator and denominator used to compute basic earnings and diluted per share of common stock.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5"/>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D5E6F7"/>
          </w:tcPr>
          <w:p>
            <w:pPr>
              <w:spacing w:after="0"/>
              <w:rPr>
                <w:sz w:val="17"/>
                <w:szCs w:val="17"/>
                <w:color w:val="auto"/>
              </w:rPr>
            </w:pPr>
          </w:p>
        </w:tc>
        <w:tc>
          <w:tcPr>
            <w:tcW w:w="112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10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(429 )</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D5E6F7"/>
          </w:tcPr>
          <w:p>
            <w:pPr>
              <w:ind w:left="200"/>
              <w:spacing w:after="0" w:line="162" w:lineRule="exact"/>
              <w:rPr>
                <w:sz w:val="20"/>
                <w:szCs w:val="20"/>
                <w:color w:val="auto"/>
              </w:rPr>
            </w:pPr>
            <w:r>
              <w:rPr>
                <w:rFonts w:ascii="Arial" w:cs="Arial" w:eastAsia="Arial" w:hAnsi="Arial"/>
                <w:sz w:val="18"/>
                <w:szCs w:val="18"/>
                <w:color w:val="auto"/>
                <w:w w:val="97"/>
              </w:rPr>
              <w:t>Less: Net income attributable to the member units before</w:t>
            </w:r>
          </w:p>
        </w:tc>
        <w:tc>
          <w:tcPr>
            <w:tcW w:w="320" w:type="dxa"/>
            <w:vAlign w:val="bottom"/>
            <w:shd w:val="clear" w:color="auto" w:fill="D5E6F7"/>
          </w:tcPr>
          <w:p>
            <w:pPr>
              <w:spacing w:after="0"/>
              <w:rPr>
                <w:sz w:val="14"/>
                <w:szCs w:val="14"/>
                <w:color w:val="auto"/>
              </w:rPr>
            </w:pPr>
          </w:p>
        </w:tc>
        <w:tc>
          <w:tcPr>
            <w:tcW w:w="112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4"/>
                <w:szCs w:val="14"/>
                <w:color w:val="auto"/>
              </w:rPr>
            </w:pPr>
          </w:p>
        </w:tc>
        <w:tc>
          <w:tcPr>
            <w:tcW w:w="340" w:type="dxa"/>
            <w:vAlign w:val="bottom"/>
            <w:shd w:val="clear" w:color="auto" w:fill="D5E6F7"/>
          </w:tcPr>
          <w:p>
            <w:pPr>
              <w:spacing w:after="0"/>
              <w:rPr>
                <w:sz w:val="14"/>
                <w:szCs w:val="14"/>
                <w:color w:val="auto"/>
              </w:rPr>
            </w:pPr>
          </w:p>
        </w:tc>
        <w:tc>
          <w:tcPr>
            <w:tcW w:w="1180" w:type="dxa"/>
            <w:vAlign w:val="bottom"/>
            <w:gridSpan w:val="2"/>
            <w:vMerge w:val="restart"/>
            <w:shd w:val="clear" w:color="auto" w:fill="D5E6F7"/>
          </w:tcPr>
          <w:p>
            <w:pPr>
              <w:jc w:val="right"/>
              <w:ind w:right="20"/>
              <w:spacing w:after="0"/>
              <w:rPr>
                <w:sz w:val="20"/>
                <w:szCs w:val="20"/>
                <w:color w:val="auto"/>
              </w:rPr>
            </w:pPr>
            <w:r>
              <w:rPr>
                <w:rFonts w:ascii="Arial" w:cs="Arial" w:eastAsia="Arial" w:hAnsi="Arial"/>
                <w:sz w:val="18"/>
                <w:szCs w:val="18"/>
                <w:color w:val="auto"/>
              </w:rPr>
              <w:t>(647 )</w:t>
            </w:r>
          </w:p>
        </w:tc>
        <w:tc>
          <w:tcPr>
            <w:tcW w:w="0" w:type="dxa"/>
            <w:vAlign w:val="bottom"/>
          </w:tcPr>
          <w:p>
            <w:pPr>
              <w:spacing w:after="0"/>
              <w:rPr>
                <w:sz w:val="1"/>
                <w:szCs w:val="1"/>
                <w:color w:val="auto"/>
              </w:rPr>
            </w:pPr>
          </w:p>
        </w:tc>
      </w:tr>
      <w:tr>
        <w:trPr>
          <w:trHeight w:val="203"/>
        </w:trPr>
        <w:tc>
          <w:tcPr>
            <w:tcW w:w="466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the reorganization</w:t>
            </w:r>
          </w:p>
        </w:tc>
        <w:tc>
          <w:tcPr>
            <w:tcW w:w="320" w:type="dxa"/>
            <w:vAlign w:val="bottom"/>
            <w:shd w:val="clear" w:color="auto" w:fill="D5E6F7"/>
          </w:tcPr>
          <w:p>
            <w:pPr>
              <w:spacing w:after="0"/>
              <w:rPr>
                <w:sz w:val="17"/>
                <w:szCs w:val="17"/>
                <w:color w:val="auto"/>
              </w:rPr>
            </w:pPr>
          </w:p>
        </w:tc>
        <w:tc>
          <w:tcPr>
            <w:tcW w:w="1120" w:type="dxa"/>
            <w:vAlign w:val="bottom"/>
            <w:vMerge w:val="continue"/>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180" w:type="dxa"/>
            <w:vAlign w:val="bottom"/>
            <w:gridSpan w:val="2"/>
            <w:vMerge w:val="continue"/>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D5E6F7"/>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D5E6F7"/>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D5E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Pr>
          <w:p>
            <w:pPr>
              <w:ind w:left="200"/>
              <w:spacing w:after="0" w:line="196" w:lineRule="exact"/>
              <w:rPr>
                <w:sz w:val="20"/>
                <w:szCs w:val="20"/>
                <w:color w:val="auto"/>
              </w:rPr>
            </w:pPr>
            <w:r>
              <w:rPr>
                <w:rFonts w:ascii="Arial" w:cs="Arial" w:eastAsia="Arial" w:hAnsi="Arial"/>
                <w:sz w:val="18"/>
                <w:szCs w:val="18"/>
                <w:color w:val="auto"/>
              </w:rPr>
              <w:t>Net (loss) income attributable to Greenidge</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(429 )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D5E6F7"/>
          </w:tcPr>
          <w:p>
            <w:pPr>
              <w:spacing w:after="0"/>
              <w:rPr>
                <w:sz w:val="17"/>
                <w:szCs w:val="17"/>
                <w:color w:val="auto"/>
              </w:rPr>
            </w:pPr>
          </w:p>
        </w:tc>
        <w:tc>
          <w:tcPr>
            <w:tcW w:w="1120" w:type="dxa"/>
            <w:vAlign w:val="bottom"/>
            <w:shd w:val="clear" w:color="auto" w:fill="D5E6F7"/>
          </w:tcPr>
          <w:p>
            <w:pPr>
              <w:spacing w:after="0"/>
              <w:rPr>
                <w:sz w:val="17"/>
                <w:szCs w:val="17"/>
                <w:color w:val="auto"/>
              </w:rPr>
            </w:pPr>
          </w:p>
        </w:tc>
        <w:tc>
          <w:tcPr>
            <w:tcW w:w="24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100" w:type="dxa"/>
            <w:vAlign w:val="bottom"/>
            <w:shd w:val="clear" w:color="auto" w:fill="D5E6F7"/>
          </w:tcPr>
          <w:p>
            <w:pPr>
              <w:spacing w:after="0"/>
              <w:rPr>
                <w:sz w:val="17"/>
                <w:szCs w:val="17"/>
                <w:color w:val="auto"/>
              </w:rPr>
            </w:pP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41,058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28,139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Dilutive effect of equity awards</w:t>
            </w:r>
          </w:p>
        </w:tc>
        <w:tc>
          <w:tcPr>
            <w:tcW w:w="320" w:type="dxa"/>
            <w:vAlign w:val="bottom"/>
            <w:shd w:val="clear" w:color="auto" w:fill="D5E6F7"/>
          </w:tcPr>
          <w:p>
            <w:pPr>
              <w:spacing w:after="0"/>
              <w:rPr>
                <w:sz w:val="17"/>
                <w:szCs w:val="17"/>
                <w:color w:val="auto"/>
              </w:rPr>
            </w:pPr>
          </w:p>
        </w:tc>
        <w:tc>
          <w:tcPr>
            <w:tcW w:w="11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1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Dilutive effect of convertible preferred stock</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D5E6F7"/>
          </w:tcPr>
          <w:p>
            <w:pPr>
              <w:ind w:left="200"/>
              <w:spacing w:after="0" w:line="196" w:lineRule="exact"/>
              <w:rPr>
                <w:sz w:val="20"/>
                <w:szCs w:val="20"/>
                <w:color w:val="auto"/>
              </w:rPr>
            </w:pPr>
            <w:r>
              <w:rPr>
                <w:rFonts w:ascii="Arial" w:cs="Arial" w:eastAsia="Arial" w:hAnsi="Arial"/>
                <w:sz w:val="18"/>
                <w:szCs w:val="18"/>
                <w:color w:val="auto"/>
              </w:rPr>
              <w:t>Diluted weighted average shares outstanding</w:t>
            </w:r>
          </w:p>
        </w:tc>
        <w:tc>
          <w:tcPr>
            <w:tcW w:w="320" w:type="dxa"/>
            <w:vAlign w:val="bottom"/>
            <w:shd w:val="clear" w:color="auto" w:fill="D5E6F7"/>
          </w:tcPr>
          <w:p>
            <w:pPr>
              <w:spacing w:after="0"/>
              <w:rPr>
                <w:sz w:val="17"/>
                <w:szCs w:val="17"/>
                <w:color w:val="auto"/>
              </w:rPr>
            </w:pPr>
          </w:p>
        </w:tc>
        <w:tc>
          <w:tcPr>
            <w:tcW w:w="11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41,058</w:t>
            </w:r>
          </w:p>
        </w:tc>
        <w:tc>
          <w:tcPr>
            <w:tcW w:w="240" w:type="dxa"/>
            <w:vAlign w:val="bottom"/>
            <w:shd w:val="clear" w:color="auto" w:fill="D5E6F7"/>
          </w:tcPr>
          <w:p>
            <w:pPr>
              <w:spacing w:after="0"/>
              <w:rPr>
                <w:sz w:val="17"/>
                <w:szCs w:val="17"/>
                <w:color w:val="auto"/>
              </w:rPr>
            </w:pPr>
          </w:p>
        </w:tc>
        <w:tc>
          <w:tcPr>
            <w:tcW w:w="340" w:type="dxa"/>
            <w:vAlign w:val="bottom"/>
            <w:shd w:val="clear" w:color="auto" w:fill="D5E6F7"/>
          </w:tcPr>
          <w:p>
            <w:pPr>
              <w:spacing w:after="0"/>
              <w:rPr>
                <w:sz w:val="17"/>
                <w:szCs w:val="17"/>
                <w:color w:val="auto"/>
              </w:rPr>
            </w:pPr>
          </w:p>
        </w:tc>
        <w:tc>
          <w:tcPr>
            <w:tcW w:w="11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28,147</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(Loss) earnings per share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Basic</w:t>
            </w: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5E6F7"/>
          </w:tcPr>
          <w:p>
            <w:pPr>
              <w:jc w:val="right"/>
              <w:ind w:right="160"/>
              <w:spacing w:after="0" w:line="202" w:lineRule="exact"/>
              <w:rPr>
                <w:sz w:val="20"/>
                <w:szCs w:val="20"/>
                <w:color w:val="auto"/>
              </w:rPr>
            </w:pPr>
            <w:r>
              <w:rPr>
                <w:rFonts w:ascii="Arial" w:cs="Arial" w:eastAsia="Arial" w:hAnsi="Arial"/>
                <w:sz w:val="18"/>
                <w:szCs w:val="18"/>
                <w:color w:val="auto"/>
              </w:rPr>
              <w:t>(0.01 )</w:t>
            </w:r>
          </w:p>
        </w:tc>
        <w:tc>
          <w:tcPr>
            <w:tcW w:w="340" w:type="dxa"/>
            <w:vAlign w:val="bottom"/>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0.02</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(0.01 )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-1188720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-1188720</wp:posOffset>
            </wp:positionV>
            <wp:extent cx="6032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4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For the three months ended March 31, 2021, Basic earnings per share is applicable only for the period from January 29, 2021 through March 31, 2021, which is the period following the reorganization of Greenidge Generation Holdings LLC (" GGH") into Greenidge and presents the period that the Company had outstanding common stock. Prior to the reorganization, there were no shares of common stock outstanding, and the limited liability structure of GGH consisted of member units. The Company analyzed the calculation of earnings per unit for periods prior to the reorganization and determined that it resulted in values that would not be meaningful to the users of these condensed consolidated financial statements.</w:t>
      </w:r>
    </w:p>
    <w:p>
      <w:pPr>
        <w:spacing w:after="0" w:line="1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For the three months ended March 31, 2022</w:t>
      </w:r>
      <w:r>
        <w:rPr>
          <w:rFonts w:ascii="Arial" w:cs="Arial" w:eastAsia="Arial" w:hAnsi="Arial"/>
          <w:sz w:val="18"/>
          <w:szCs w:val="18"/>
          <w:color w:val="231F20"/>
        </w:rPr>
        <w:t>, there was no impact of dilution from any of the outstanding 431,618 RSUs or 579,858 common stock options</w:t>
      </w:r>
      <w:r>
        <w:rPr>
          <w:rFonts w:ascii="Arial" w:cs="Arial" w:eastAsia="Arial" w:hAnsi="Arial"/>
          <w:sz w:val="18"/>
          <w:szCs w:val="18"/>
          <w:color w:val="auto"/>
        </w:rPr>
        <w:t xml:space="preserve"> </w:t>
      </w:r>
      <w:r>
        <w:rPr>
          <w:rFonts w:ascii="Arial" w:cs="Arial" w:eastAsia="Arial" w:hAnsi="Arial"/>
          <w:sz w:val="18"/>
          <w:szCs w:val="18"/>
          <w:color w:val="231F20"/>
        </w:rPr>
        <w:t>due to the net loss, since inclusion of any impact from these awards would be antidilutive.</w:t>
      </w:r>
    </w:p>
    <w:p>
      <w:pPr>
        <w:spacing w:after="0" w:line="15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For the three months ended March 31, 2021, there was no impact of dilution from outstanding 616,920 RSUs or 330,744 common stock options, since inclusion of any impact from these awards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From time to time, the Company may be involved in various lawsuits and legal proceedings that arise in the ordinary course of business. However, litigation is subject to inherent uncertainties, and an adverse result in such matters may arise and harm the Company's business. The Company is currently not aware of any such legal proceedings or claims that it believes will have a material adverse effect on its business, financial condition or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9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Support.com has received and may in the future receive additional requests for information, including subpoenas, from other governmental agencies relating to the subject matter of a Consent Order and Civil Investigative Demands. The Company intends to cooperate with these information requests and is not aware of any other legal proceedings against the Company by governmental authorities at this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98"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As of March 31, 2022, the Company had entered into agreements to purchase miners totaling $197.0 million that required deposits of $135.3 million. The Company entered into agreements for committed secured financing on miners totaling $27.7 million that has not yet been funded.</w:t>
      </w:r>
    </w:p>
    <w:p>
      <w:pPr>
        <w:spacing w:after="0" w:line="13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Company entered into a contract with Empire in September 2020 that provides for the transportation to its pipeline of 15,000 dekatherms of natural gas per day, approximately $158 thousand per month. The contract ends in September 2030 and may be terminated by either party with 12 months' notice after the initial 10-year period.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CONCENTRATIONS</w:t>
      </w:r>
    </w:p>
    <w:p>
      <w:pPr>
        <w:spacing w:after="0" w:line="17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Company has one power customer, NYISO, that accounted for 16% and 19% of its revenue for the three months ended March 31, 2022 and 2021, respectively.</w:t>
      </w:r>
    </w:p>
    <w:p>
      <w:pPr>
        <w:spacing w:after="0" w:line="15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For cryptocurrency datacenter operations, Greenidge considers its mining pool operators to be its customers. Greenidge has historically used a limited number of pool operators that have operated under contracts with a one-day term, which allows Greenidge the option to change pool operators on a daily basis. Revenue from one of the Company’s pool operator customers accounted for approximately 50% of total revenue for the three months ended March 31, 2022. Revenue from a different pool operator customer accounted for approximately 12% and 72% of total revenue for the three months ended March 31, 2022 and 2021, respectively.</w:t>
      </w:r>
    </w:p>
    <w:p>
      <w:pPr>
        <w:spacing w:after="0" w:line="17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Support Services segment's largest customer accounted for approximately 16% of the Company's consolidated revenue during the three months ended March 31, 2022 and also accounted for approximately 73% and 67% of the Company's consolidated accounts receivable balance at March 31, 2022 and December 31, 2021, respectively. Another customer of the Support Services segment accounted for 11% of the receivable balance at December 31, 2021.</w:t>
      </w:r>
    </w:p>
    <w:p>
      <w:pPr>
        <w:spacing w:after="0" w:line="13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has one natural gas vendor that accounted for approximately 45% and 59% of cost of revenue for the three months ended March 31, 2022 and 2021,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CASH FLOW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Greenidge had the following noncash investing and financing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25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69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Property and equipment purchases financed with common stock</w:t>
            </w:r>
          </w:p>
        </w:tc>
        <w:tc>
          <w:tcPr>
            <w:tcW w:w="920" w:type="dxa"/>
            <w:vAlign w:val="bottom"/>
            <w:tcBorders>
              <w:top w:val="single" w:sz="8" w:color="auto"/>
            </w:tcBorders>
            <w:shd w:val="clear" w:color="auto" w:fill="D4E5F7"/>
          </w:tcPr>
          <w:p>
            <w:pPr>
              <w:jc w:val="right"/>
              <w:ind w:right="71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D4E5F7"/>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D4E5F7"/>
          </w:tcPr>
          <w:p>
            <w:pPr>
              <w:spacing w:after="0"/>
              <w:rPr>
                <w:sz w:val="17"/>
                <w:szCs w:val="17"/>
                <w:color w:val="auto"/>
              </w:rPr>
            </w:pPr>
          </w:p>
        </w:tc>
        <w:tc>
          <w:tcPr>
            <w:tcW w:w="140" w:type="dxa"/>
            <w:vAlign w:val="bottom"/>
            <w:shd w:val="clear" w:color="auto" w:fill="D5E6F7"/>
          </w:tcPr>
          <w:p>
            <w:pPr>
              <w:spacing w:after="0"/>
              <w:rPr>
                <w:sz w:val="17"/>
                <w:szCs w:val="17"/>
                <w:color w:val="auto"/>
              </w:rPr>
            </w:pPr>
          </w:p>
        </w:tc>
        <w:tc>
          <w:tcPr>
            <w:tcW w:w="900" w:type="dxa"/>
            <w:vAlign w:val="bottom"/>
            <w:tcBorders>
              <w:top w:val="single" w:sz="8" w:color="auto"/>
            </w:tcBorders>
            <w:shd w:val="clear" w:color="auto" w:fill="D5E6F7"/>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991</w:t>
            </w:r>
          </w:p>
        </w:tc>
        <w:tc>
          <w:tcPr>
            <w:tcW w:w="40" w:type="dxa"/>
            <w:vAlign w:val="bottom"/>
            <w:shd w:val="clear" w:color="auto" w:fill="D5E6F7"/>
          </w:tcPr>
          <w:p>
            <w:pPr>
              <w:spacing w:after="0"/>
              <w:rPr>
                <w:sz w:val="17"/>
                <w:szCs w:val="17"/>
                <w:color w:val="auto"/>
              </w:rPr>
            </w:pP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purchases in accounts payable</w:t>
            </w:r>
          </w:p>
        </w:tc>
        <w:tc>
          <w:tcPr>
            <w:tcW w:w="920" w:type="dxa"/>
            <w:vAlign w:val="bottom"/>
          </w:tcPr>
          <w:p>
            <w:pPr>
              <w:jc w:val="right"/>
              <w:ind w:right="716"/>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10,271</w:t>
            </w:r>
          </w:p>
        </w:tc>
        <w:tc>
          <w:tcPr>
            <w:tcW w:w="80" w:type="dxa"/>
            <w:vAlign w:val="bottom"/>
          </w:tcPr>
          <w:p>
            <w:pPr>
              <w:spacing w:after="0"/>
              <w:rPr>
                <w:sz w:val="17"/>
                <w:szCs w:val="17"/>
                <w:color w:val="auto"/>
              </w:rPr>
            </w:pPr>
          </w:p>
        </w:tc>
        <w:tc>
          <w:tcPr>
            <w:tcW w:w="1040" w:type="dxa"/>
            <w:vAlign w:val="bottom"/>
            <w:gridSpan w:val="2"/>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876</w:t>
            </w:r>
          </w:p>
        </w:tc>
        <w:tc>
          <w:tcPr>
            <w:tcW w:w="40" w:type="dxa"/>
            <w:vAlign w:val="bottom"/>
          </w:tcPr>
          <w:p>
            <w:pPr>
              <w:spacing w:after="0"/>
              <w:rPr>
                <w:sz w:val="17"/>
                <w:szCs w:val="17"/>
                <w:color w:val="auto"/>
              </w:rPr>
            </w:pPr>
          </w:p>
        </w:tc>
      </w:tr>
      <w:tr>
        <w:trPr>
          <w:trHeight w:val="203"/>
        </w:trPr>
        <w:tc>
          <w:tcPr>
            <w:tcW w:w="69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Contribution of GGH Preferred Units and Senior Priority Units for common stock</w:t>
            </w:r>
          </w:p>
        </w:tc>
        <w:tc>
          <w:tcPr>
            <w:tcW w:w="920" w:type="dxa"/>
            <w:vAlign w:val="bottom"/>
            <w:shd w:val="clear" w:color="auto" w:fill="D5E6F7"/>
          </w:tcPr>
          <w:p>
            <w:pPr>
              <w:jc w:val="right"/>
              <w:ind w:right="716"/>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D5E6F7"/>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w w:val="90"/>
              </w:rPr>
              <w:t>69,276</w:t>
            </w:r>
          </w:p>
        </w:tc>
        <w:tc>
          <w:tcPr>
            <w:tcW w:w="40" w:type="dxa"/>
            <w:vAlign w:val="bottom"/>
            <w:shd w:val="clear" w:color="auto" w:fill="D5E6F7"/>
          </w:tcPr>
          <w:p>
            <w:pPr>
              <w:spacing w:after="0"/>
              <w:rPr>
                <w:sz w:val="17"/>
                <w:szCs w:val="17"/>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Contribution of related party notes payable and accrued interest for common stock</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3,615</w:t>
            </w:r>
          </w:p>
        </w:tc>
        <w:tc>
          <w:tcPr>
            <w:tcW w:w="40" w:type="dxa"/>
            <w:vAlign w:val="bottom"/>
          </w:tcPr>
          <w:p>
            <w:pPr>
              <w:spacing w:after="0"/>
              <w:rPr>
                <w:sz w:val="20"/>
                <w:szCs w:val="20"/>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5"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Subsequent events have been evaluated through May 16, 2022, the date at which the condensed consolidated financial statements were available to be issued, and the Company has concluded that no such events or transactions took place that would require disclosure herein except as stated directly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Purchase Agreement with B. Riley Principal Capital, LLC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April 2022, Greenidge and the Investor terminated the 2021 Purchase Agreement and entered into a new Purchase Agreement.</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disclosed in Note 9, Greenidge entered into the 2021 Purchase Agreement with the Investor whereby the Company had the right to sell to the Investor a certain amount of its class A common stock, subject to certain conditions and limitations, from time to time during the term of the 2021 Purchase Agreement. Greenidge and the Investor entered into a mutual termination agreement on April 6, 2022 (the "Mutual Termination"), which became effective immediately upon signing. Prior to the termination, the Company had sold an aggregate of 2,547,500 shares of class A common stock pursuant to the 2021 Purchase Agreement representing proceeds of $54.9 million, net of discounts, under the 2021 Purchase Agreement. The Company did not incur any early termination penalties as a result of the Mutual Termination.</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April 7 2022, Greenidge entered into a new common stock purchase agreement, as amended by Amendment No. 1 to Common Stock Purchase Agreement, dated as of April 13, 2022 (as amended, the “2022 Purchase Agreement”) with the Investor. Pursuant to the 2022 Purchase Agreement, Greenidge has the right to sell to the Investor up to $500 million in shares of its class A common stock, subject to certain limitations and the satisfaction of specified conditions in the 2022 Purchase Agreement, from time to time over the 24-month period commencing on April 28, 2022. Under the applicable Nasdaq rules, unless stockholder approval is obtained, Greenidge may not sell more than 19.99% of the total number of shares of its class A common stock and class B common stock issued and outstanding immediately prior to the execution of the 2022 Purchase Agreement, which number of shares shall be reduced on a share-for-share basis by the number of shares of class A common stock that may be aggregated with the transactions contemplated by the 2022 Purchase Agreement under the applicable Nasdaq rules. Sales of common stock pursuant to the 2022 Purchase Agreement,</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and the timing of any sales, are solely at the option of the Company, and the Company is under no obligation to sell any securities to the Investor under the 2022 Purchase Agreement.</w:t>
      </w:r>
    </w:p>
    <w:p>
      <w:pPr>
        <w:spacing w:after="0" w:line="17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connection with the 2022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2022 Purchase Agreement. The registration statement became effective on April 28, 2022, relating to the resale of 5,720,951 shares of Greenidge’s class A common stock in connection with the 2022 Purchase Agreement.</w:t>
      </w:r>
    </w:p>
    <w:p>
      <w:pPr>
        <w:spacing w:after="0" w:line="17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 xml:space="preserve">From April 28, 2022 to May 16, 2022, we issued 15,000 shares of our class A common stock to the Investor pursuant to the Purchase Agreement </w:t>
      </w:r>
      <w:r>
        <w:rPr>
          <w:rFonts w:ascii="Arial" w:cs="Arial" w:eastAsia="Arial" w:hAnsi="Arial"/>
          <w:sz w:val="18"/>
          <w:szCs w:val="18"/>
          <w:color w:val="231F20"/>
        </w:rPr>
        <w:t>for</w:t>
      </w:r>
      <w:r>
        <w:rPr>
          <w:rFonts w:ascii="Arial" w:cs="Arial" w:eastAsia="Arial" w:hAnsi="Arial"/>
          <w:sz w:val="18"/>
          <w:szCs w:val="18"/>
          <w:color w:val="auto"/>
        </w:rPr>
        <w:t xml:space="preserve"> </w:t>
      </w:r>
      <w:r>
        <w:rPr>
          <w:rFonts w:ascii="Arial" w:cs="Arial" w:eastAsia="Arial" w:hAnsi="Arial"/>
          <w:sz w:val="18"/>
          <w:szCs w:val="18"/>
          <w:color w:val="231F20"/>
        </w:rPr>
        <w:t>aggregate proceeds of approximately $0.1 million, net of discounts</w:t>
      </w:r>
      <w:r>
        <w:rPr>
          <w:rFonts w:ascii="Arial" w:cs="Arial" w:eastAsia="Arial" w:hAnsi="Arial"/>
          <w:sz w:val="18"/>
          <w:szCs w:val="18"/>
          <w:color w:val="000000"/>
        </w:rPr>
        <w:t>.</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i w:val="1"/>
          <w:iCs w:val="1"/>
          <w:color w:val="auto"/>
        </w:rPr>
        <w:t>The following discussion should be read together with the audited financial statements and the related notes thereto of Greenidge Generation Holdings Inc. (“Greenidge”), together with its consolidated subsidiaries (the “Company”) for the years ended December 31, 2021 and 2020 included in our Annual Report on Form 10-K and the unaudited interim financial statements and related notes thereto of the Company for the three months ended March 31, 2022 and 2021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Greenidge's Annual Report on Form 10-K for the year ended December 31, 2021 and “Cautionary Statement Regarding Forward-Looking Statements” sections of this Quarterly Report on Form 10-Q. Actual results may differ materially from those contained in any forward-looking statements. For purposes of this section, “the Company,” “we,” “us” and “our” refer to Greenidge Generation Holdings Inc. together with its consolidated subsidiaries). You should carefully read “Cautionary Statement Regarding Forward-Looking Statements” in this Quarterly Report on Form 10-Q.</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Cryptocurrency Datacenter and Power Generation Segment</w:t>
      </w:r>
    </w:p>
    <w:p>
      <w:pPr>
        <w:spacing w:after="0" w:line="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231F20"/>
        </w:rPr>
        <w:t>We own cryptocurrency datacenter operations in the Town of Torrey, New York (the "New York Facility") and in Spartanburg, South Carolina (the “South Carolina Facility” and, together with the New York Facility, the “facilities”). The New York Facility is a vertically integrated cryptocurrency datacenter and power generation facility with an approximately 106 megawatt (“MW”) natural gas power generation facility that has undergone a remarkable transformation in recent years. We generate all the power we require for our cryptocurrency datacenter operations in the New York Facility, where we enjoy low power costs due to our access to the Millennium Pipeline price hub, which provides relatively low market rates for natural gas. At the South Carolina Facility, we purchase power from a supplier of approximately 60% zero-carbon sourced energy. We believe our competitive advantages include low fixed costs, an efficient mining fleet and in-house operational expertise. We are currently mining bitcoin and contributing to the security and transactability of the bitcoin ecosystem while concurrently supplying power to assist in meeting the power needs of homes and businesses in the region served by our New York Facility.</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6"/>
          <w:szCs w:val="16"/>
          <w:color w:val="231F20"/>
        </w:rPr>
        <w:t>As of March 31, 2022, we powered approximately 56 MW of mining capacity capable of producing an estimated aggregate hash rate of 1.6 EH/s at our facilities, substantially all of which is dedicated to bitcoin mining. Our Cryptocurrency Datacenter and Power Generation segment generates revenue i) through the exchange of bitcoins earned by ASICs as rewards and transaction fees for U.S. dollars and, to a much lesser extent, through revenue earned from third parties for hosting ASICs owned by third parties and providing operations, maintenance and other blockchain related services to third parties and</w:t>
      </w:r>
    </w:p>
    <w:p>
      <w:pPr>
        <w:spacing w:after="0" w:line="1" w:lineRule="exact"/>
        <w:rPr>
          <w:sz w:val="20"/>
          <w:szCs w:val="20"/>
          <w:color w:val="auto"/>
        </w:rPr>
      </w:pPr>
    </w:p>
    <w:p>
      <w:pPr>
        <w:ind w:right="100" w:firstLine="8"/>
        <w:spacing w:after="0" w:line="239" w:lineRule="auto"/>
        <w:tabs>
          <w:tab w:leader="none" w:pos="205"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through the sale of electricity generated by our power plant, and not consumed in cryptocurrency datacenter operations, to New York State’s power grid at prices set on a daily basis through the NYISO wholesale market. We opportunistically increase or decrease the total amount of electricity sold by the power plant based on prevailing prices in the wholesale electricity market.</w:t>
      </w:r>
    </w:p>
    <w:p>
      <w:pPr>
        <w:spacing w:after="0" w:line="17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231F20"/>
        </w:rPr>
        <w:t xml:space="preserve">We believe that our behind-the-meter power generation capability provides a stable, cost-effective source of power for cryptocurrency datacenter activities. Our behind-the-meter power generation capability provides us with stable delivery due to the absence of any contract negotiation risk with third-party power suppliers, the absence of transmission and distribution cost risk and the firm delivery of natural gas for our New York Facility via our captive pipeline. Notwithstanding the structural stability of our behind-the-meter capabilities, we do however procure natural gas at our New York Facility through a third-party energy manager which schedules delivery of our natural gas needs from the wholesale market which is subject to price volatility. We procure the majority of our natural gas at spot prices and enter into fixed price forward contracts from time to time for the purchase of a portion of anticipated natural gas purchases based on prevailing market conditions to partially mitigate the financial impacts of natural gas price volatility and to manage commodity risk. These forward contracts qualify for the normal purchases and sales exception under Accounting Standards Codification ("ASC") 815, </w:t>
      </w:r>
      <w:r>
        <w:rPr>
          <w:rFonts w:ascii="Arial" w:cs="Arial" w:eastAsia="Arial" w:hAnsi="Arial"/>
          <w:sz w:val="17"/>
          <w:szCs w:val="17"/>
          <w:i w:val="1"/>
          <w:iCs w:val="1"/>
          <w:color w:val="231F20"/>
        </w:rPr>
        <w:t>Derivatives and Hedging</w:t>
      </w:r>
      <w:r>
        <w:rPr>
          <w:rFonts w:ascii="Arial" w:cs="Arial" w:eastAsia="Arial" w:hAnsi="Arial"/>
          <w:sz w:val="17"/>
          <w:szCs w:val="17"/>
          <w:color w:val="231F20"/>
        </w:rPr>
        <w:t>, as it is probable that these contracts will result in physical delivery.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231F20"/>
        </w:rPr>
        <w:t>Volatility in the natural gas market may impact our results of operations and financial performance. Natural gas prices have been on an upward trajectory since June of 2021 and are expected to continue at elevated levels during 2022. Volatility in the natural gas market may be caused by disruption in the delivery of fuel, including disruptions as a result of weather, transportation difficulties, global demand and supply dynamics, labor relations, environmental regulations or the financial viability of fuel suppliers. See “</w:t>
      </w:r>
      <w:r>
        <w:rPr>
          <w:rFonts w:ascii="Arial" w:cs="Arial" w:eastAsia="Arial" w:hAnsi="Arial"/>
          <w:sz w:val="17"/>
          <w:szCs w:val="17"/>
          <w:i w:val="1"/>
          <w:iCs w:val="1"/>
          <w:color w:val="231F20"/>
        </w:rPr>
        <w:t>Risk Factors—Risks Related to Our Business—Risks Related to our Power Generation</w:t>
      </w:r>
      <w:r>
        <w:rPr>
          <w:rFonts w:ascii="Arial" w:cs="Arial" w:eastAsia="Arial" w:hAnsi="Arial"/>
          <w:sz w:val="17"/>
          <w:szCs w:val="17"/>
          <w:color w:val="231F20"/>
        </w:rPr>
        <w:t xml:space="preserve"> </w:t>
      </w:r>
      <w:r>
        <w:rPr>
          <w:rFonts w:ascii="Arial" w:cs="Arial" w:eastAsia="Arial" w:hAnsi="Arial"/>
          <w:sz w:val="17"/>
          <w:szCs w:val="17"/>
          <w:i w:val="1"/>
          <w:iCs w:val="1"/>
          <w:color w:val="231F20"/>
        </w:rPr>
        <w:t>Operations</w:t>
      </w:r>
      <w:r>
        <w:rPr>
          <w:rFonts w:ascii="Arial" w:cs="Arial" w:eastAsia="Arial" w:hAnsi="Arial"/>
          <w:sz w:val="17"/>
          <w:szCs w:val="17"/>
          <w:color w:val="231F20"/>
        </w:rPr>
        <w:t>” in</w:t>
      </w:r>
      <w:r>
        <w:rPr>
          <w:rFonts w:ascii="Arial" w:cs="Arial" w:eastAsia="Arial" w:hAnsi="Arial"/>
          <w:sz w:val="17"/>
          <w:szCs w:val="17"/>
          <w:i w:val="1"/>
          <w:iCs w:val="1"/>
          <w:color w:val="231F20"/>
        </w:rPr>
        <w:t xml:space="preserve"> </w:t>
      </w:r>
      <w:r>
        <w:rPr>
          <w:rFonts w:ascii="Arial" w:cs="Arial" w:eastAsia="Arial" w:hAnsi="Arial"/>
          <w:sz w:val="17"/>
          <w:szCs w:val="17"/>
          <w:color w:val="000000"/>
        </w:rPr>
        <w:t>Part I, Item 1A of our Annual Report on Form 10-K for the year ended December 31, 2021</w:t>
      </w:r>
      <w:r>
        <w:rPr>
          <w:rFonts w:ascii="Arial" w:cs="Arial" w:eastAsia="Arial" w:hAnsi="Arial"/>
          <w:sz w:val="17"/>
          <w:szCs w:val="17"/>
          <w:color w:val="231F20"/>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Support Services Segment</w:t>
      </w:r>
    </w:p>
    <w:p>
      <w:pPr>
        <w:spacing w:after="0" w:line="1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231F20"/>
        </w:rPr>
        <w:t>Our Support Services segment provides solutions and technical programs to customers delivered by home-based employees. The Support Services segment provides customer service, sales support, and technical support primarily to large corporations, businesses and professional services organizations. The Support Services segment also earns revenues for end-user software products provided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231F20"/>
        </w:rPr>
        <w:t>through direct customer downloads and sale via partners. The Support Services segment operates primarily in the United States, but also has employees located in Philippines, India, Mexico, Columbia and Canada, including staff providing support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Miner Fleet Growth</w:t>
      </w:r>
    </w:p>
    <w:p>
      <w:pPr>
        <w:spacing w:after="0" w:line="16"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231F20"/>
        </w:rPr>
        <w:t>During the three months ended March 31, 2022, we deployed approximately 2,100 additional miners, bringing our total miners to approximately 19,400, capable of producing an estimated aggregate hash rate of approximately 1.6 EH/s and consuming capacity of approximately 56 MW. At March 31, 2022, we had approximately 29,600 miners ordered from Bitmain anticipated to be delivered by the end of the year, representing approximately 3.1 EH/s in additional capacity, including our launch order for Bitmain’s new Antminer S19 XP. These new advanced miners have substantially greater hash rate capacities and use electric power more efficiently than our existing miner fleet.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key components of the results of operations of Greenidge during the three months ended March 31, 2022 and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Three Months Ended March 31,</w:t>
            </w:r>
          </w:p>
        </w:tc>
        <w:tc>
          <w:tcPr>
            <w:tcW w:w="1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4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13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shd w:val="clear" w:color="auto" w:fill="D5E6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37,655</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11,063</w:t>
            </w:r>
          </w:p>
        </w:tc>
        <w:tc>
          <w:tcPr>
            <w:tcW w:w="400" w:type="dxa"/>
            <w:vAlign w:val="bottom"/>
            <w:shd w:val="clear" w:color="auto" w:fill="D5E6F7"/>
          </w:tcPr>
          <w:p>
            <w:pPr>
              <w:spacing w:after="0"/>
              <w:rPr>
                <w:sz w:val="17"/>
                <w:szCs w:val="17"/>
                <w:color w:val="auto"/>
              </w:rPr>
            </w:pPr>
          </w:p>
        </w:tc>
        <w:tc>
          <w:tcPr>
            <w:tcW w:w="13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240.4</w:t>
            </w:r>
          </w:p>
        </w:tc>
        <w:tc>
          <w:tcPr>
            <w:tcW w:w="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2"/>
        </w:trPr>
        <w:tc>
          <w:tcPr>
            <w:tcW w:w="6140" w:type="dxa"/>
            <w:vAlign w:val="bottom"/>
          </w:tcPr>
          <w:p>
            <w:pPr>
              <w:ind w:left="20"/>
              <w:spacing w:after="0" w:line="162" w:lineRule="exact"/>
              <w:rPr>
                <w:sz w:val="20"/>
                <w:szCs w:val="20"/>
                <w:color w:val="auto"/>
              </w:rPr>
            </w:pPr>
            <w:r>
              <w:rPr>
                <w:rFonts w:ascii="Arial" w:cs="Arial" w:eastAsia="Arial" w:hAnsi="Arial"/>
                <w:sz w:val="18"/>
                <w:szCs w:val="18"/>
                <w:color w:val="auto"/>
              </w:rPr>
              <w:t>Cost of revenue (exclusive of</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40" w:type="dxa"/>
            <w:vAlign w:val="bottom"/>
          </w:tcPr>
          <w:p>
            <w:pPr>
              <w:ind w:left="160"/>
              <w:spacing w:after="0" w:line="176"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16,550</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4,583</w:t>
            </w:r>
          </w:p>
        </w:tc>
        <w:tc>
          <w:tcPr>
            <w:tcW w:w="400" w:type="dxa"/>
            <w:vAlign w:val="bottom"/>
          </w:tcPr>
          <w:p>
            <w:pPr>
              <w:spacing w:after="0"/>
              <w:rPr>
                <w:sz w:val="15"/>
                <w:szCs w:val="15"/>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261.1 %</w:t>
            </w:r>
          </w:p>
        </w:tc>
        <w:tc>
          <w:tcPr>
            <w:tcW w:w="0" w:type="dxa"/>
            <w:vAlign w:val="bottom"/>
          </w:tcPr>
          <w:p>
            <w:pPr>
              <w:spacing w:after="0"/>
              <w:rPr>
                <w:sz w:val="1"/>
                <w:szCs w:val="1"/>
                <w:color w:val="auto"/>
              </w:rPr>
            </w:pPr>
          </w:p>
        </w:tc>
      </w:tr>
      <w:tr>
        <w:trPr>
          <w:trHeight w:val="216"/>
        </w:trPr>
        <w:tc>
          <w:tcPr>
            <w:tcW w:w="6140" w:type="dxa"/>
            <w:vAlign w:val="bottom"/>
          </w:tcPr>
          <w:p>
            <w:pPr>
              <w:ind w:left="160"/>
              <w:spacing w:after="0"/>
              <w:rPr>
                <w:sz w:val="20"/>
                <w:szCs w:val="20"/>
                <w:color w:val="auto"/>
              </w:rPr>
            </w:pPr>
            <w:r>
              <w:rPr>
                <w:rFonts w:ascii="Arial" w:cs="Arial" w:eastAsia="Arial" w:hAnsi="Arial"/>
                <w:sz w:val="18"/>
                <w:szCs w:val="18"/>
                <w:color w:val="auto"/>
              </w:rPr>
              <w:t>shown below)</w:t>
            </w: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D5E6F7"/>
          </w:tcPr>
          <w:p>
            <w:pPr>
              <w:spacing w:after="0"/>
              <w:rPr>
                <w:sz w:val="17"/>
                <w:szCs w:val="17"/>
                <w:color w:val="auto"/>
              </w:rPr>
            </w:pP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14,392</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3,229</w:t>
            </w:r>
          </w:p>
        </w:tc>
        <w:tc>
          <w:tcPr>
            <w:tcW w:w="400" w:type="dxa"/>
            <w:vAlign w:val="bottom"/>
            <w:shd w:val="clear" w:color="auto" w:fill="D5E6F7"/>
          </w:tcPr>
          <w:p>
            <w:pPr>
              <w:spacing w:after="0"/>
              <w:rPr>
                <w:sz w:val="17"/>
                <w:szCs w:val="17"/>
                <w:color w:val="auto"/>
              </w:rPr>
            </w:pPr>
          </w:p>
        </w:tc>
        <w:tc>
          <w:tcPr>
            <w:tcW w:w="15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345.7 %</w:t>
            </w:r>
          </w:p>
        </w:tc>
        <w:tc>
          <w:tcPr>
            <w:tcW w:w="0" w:type="dxa"/>
            <w:vAlign w:val="bottom"/>
          </w:tcPr>
          <w:p>
            <w:pPr>
              <w:spacing w:after="0"/>
              <w:rPr>
                <w:sz w:val="1"/>
                <w:szCs w:val="1"/>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Merger and other costs</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40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102.9 %</w:t>
            </w:r>
          </w:p>
        </w:tc>
        <w:tc>
          <w:tcPr>
            <w:tcW w:w="0" w:type="dxa"/>
            <w:vAlign w:val="bottom"/>
          </w:tcPr>
          <w:p>
            <w:pPr>
              <w:spacing w:after="0"/>
              <w:rPr>
                <w:sz w:val="1"/>
                <w:szCs w:val="1"/>
                <w:color w:val="auto"/>
              </w:rPr>
            </w:pPr>
          </w:p>
        </w:tc>
      </w:tr>
      <w:tr>
        <w:trPr>
          <w:trHeight w:val="203"/>
        </w:trPr>
        <w:tc>
          <w:tcPr>
            <w:tcW w:w="614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D5E6F7"/>
          </w:tcPr>
          <w:p>
            <w:pPr>
              <w:spacing w:after="0"/>
              <w:rPr>
                <w:sz w:val="17"/>
                <w:szCs w:val="17"/>
                <w:color w:val="auto"/>
              </w:rPr>
            </w:pPr>
          </w:p>
        </w:tc>
        <w:tc>
          <w:tcPr>
            <w:tcW w:w="10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3,978</w:t>
            </w:r>
          </w:p>
        </w:tc>
        <w:tc>
          <w:tcPr>
            <w:tcW w:w="440" w:type="dxa"/>
            <w:vAlign w:val="bottom"/>
            <w:tcBorders>
              <w:bottom w:val="single" w:sz="8" w:color="D5E6F7"/>
            </w:tcBorders>
            <w:shd w:val="clear" w:color="auto" w:fill="D5E6F7"/>
          </w:tcPr>
          <w:p>
            <w:pPr>
              <w:spacing w:after="0"/>
              <w:rPr>
                <w:sz w:val="17"/>
                <w:szCs w:val="17"/>
                <w:color w:val="auto"/>
              </w:rPr>
            </w:pPr>
          </w:p>
        </w:tc>
        <w:tc>
          <w:tcPr>
            <w:tcW w:w="320" w:type="dxa"/>
            <w:vAlign w:val="bottom"/>
            <w:tcBorders>
              <w:bottom w:val="single" w:sz="8" w:color="auto"/>
            </w:tcBorders>
            <w:shd w:val="clear" w:color="auto" w:fill="D5E6F7"/>
          </w:tcPr>
          <w:p>
            <w:pPr>
              <w:spacing w:after="0"/>
              <w:rPr>
                <w:sz w:val="17"/>
                <w:szCs w:val="17"/>
                <w:color w:val="auto"/>
              </w:rPr>
            </w:pPr>
          </w:p>
        </w:tc>
        <w:tc>
          <w:tcPr>
            <w:tcW w:w="10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1,261</w:t>
            </w:r>
          </w:p>
        </w:tc>
        <w:tc>
          <w:tcPr>
            <w:tcW w:w="400" w:type="dxa"/>
            <w:vAlign w:val="bottom"/>
            <w:tcBorders>
              <w:bottom w:val="single" w:sz="8" w:color="D5E6F7"/>
            </w:tcBorders>
            <w:shd w:val="clear" w:color="auto" w:fill="D5E6F7"/>
          </w:tcPr>
          <w:p>
            <w:pPr>
              <w:spacing w:after="0"/>
              <w:rPr>
                <w:sz w:val="17"/>
                <w:szCs w:val="17"/>
                <w:color w:val="auto"/>
              </w:rPr>
            </w:pPr>
          </w:p>
        </w:tc>
        <w:tc>
          <w:tcPr>
            <w:tcW w:w="1540" w:type="dxa"/>
            <w:vAlign w:val="bottom"/>
            <w:tcBorders>
              <w:bottom w:val="single" w:sz="8" w:color="D5E6F7"/>
            </w:tcBorders>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215.5 %</w:t>
            </w:r>
          </w:p>
        </w:tc>
        <w:tc>
          <w:tcPr>
            <w:tcW w:w="0" w:type="dxa"/>
            <w:vAlign w:val="bottom"/>
          </w:tcPr>
          <w:p>
            <w:pPr>
              <w:spacing w:after="0"/>
              <w:rPr>
                <w:sz w:val="1"/>
                <w:szCs w:val="1"/>
                <w:color w:val="auto"/>
              </w:rPr>
            </w:pP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2,522</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1,885</w:t>
            </w:r>
          </w:p>
        </w:tc>
        <w:tc>
          <w:tcPr>
            <w:tcW w:w="400" w:type="dxa"/>
            <w:vAlign w:val="bottom"/>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03"/>
        </w:trPr>
        <w:tc>
          <w:tcPr>
            <w:tcW w:w="614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320" w:type="dxa"/>
            <w:vAlign w:val="bottom"/>
            <w:shd w:val="clear" w:color="auto" w:fill="D5E6F7"/>
          </w:tcPr>
          <w:p>
            <w:pPr>
              <w:spacing w:after="0"/>
              <w:rPr>
                <w:sz w:val="17"/>
                <w:szCs w:val="17"/>
                <w:color w:val="auto"/>
              </w:rPr>
            </w:pPr>
          </w:p>
        </w:tc>
        <w:tc>
          <w:tcPr>
            <w:tcW w:w="1040" w:type="dxa"/>
            <w:vAlign w:val="bottom"/>
            <w:shd w:val="clear" w:color="auto" w:fill="D5E6F7"/>
          </w:tcPr>
          <w:p>
            <w:pPr>
              <w:spacing w:after="0"/>
              <w:rPr>
                <w:sz w:val="17"/>
                <w:szCs w:val="17"/>
                <w:color w:val="auto"/>
              </w:rPr>
            </w:pP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1040" w:type="dxa"/>
            <w:vAlign w:val="bottom"/>
            <w:shd w:val="clear" w:color="auto" w:fill="D5E6F7"/>
          </w:tcPr>
          <w:p>
            <w:pPr>
              <w:spacing w:after="0"/>
              <w:rPr>
                <w:sz w:val="17"/>
                <w:szCs w:val="17"/>
                <w:color w:val="auto"/>
              </w:rPr>
            </w:pPr>
          </w:p>
        </w:tc>
        <w:tc>
          <w:tcPr>
            <w:tcW w:w="400" w:type="dxa"/>
            <w:vAlign w:val="bottom"/>
            <w:shd w:val="clear" w:color="auto" w:fill="D5E6F7"/>
          </w:tcPr>
          <w:p>
            <w:pPr>
              <w:spacing w:after="0"/>
              <w:rPr>
                <w:sz w:val="17"/>
                <w:szCs w:val="17"/>
                <w:color w:val="auto"/>
              </w:rPr>
            </w:pPr>
          </w:p>
        </w:tc>
        <w:tc>
          <w:tcPr>
            <w:tcW w:w="13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7"/>
                <w:szCs w:val="17"/>
                <w:color w:val="auto"/>
              </w:rPr>
            </w:pPr>
          </w:p>
        </w:tc>
        <w:tc>
          <w:tcPr>
            <w:tcW w:w="1480" w:type="dxa"/>
            <w:vAlign w:val="bottom"/>
            <w:gridSpan w:val="2"/>
          </w:tcPr>
          <w:p>
            <w:pPr>
              <w:jc w:val="right"/>
              <w:ind w:right="276"/>
              <w:spacing w:after="0" w:line="202" w:lineRule="exact"/>
              <w:rPr>
                <w:sz w:val="20"/>
                <w:szCs w:val="20"/>
                <w:color w:val="auto"/>
              </w:rPr>
            </w:pPr>
            <w:r>
              <w:rPr>
                <w:rFonts w:ascii="Arial" w:cs="Arial" w:eastAsia="Arial" w:hAnsi="Arial"/>
                <w:sz w:val="18"/>
                <w:szCs w:val="18"/>
                <w:color w:val="auto"/>
              </w:rPr>
              <w:t>(3,353 )</w:t>
            </w:r>
          </w:p>
        </w:tc>
        <w:tc>
          <w:tcPr>
            <w:tcW w:w="320" w:type="dxa"/>
            <w:vAlign w:val="bottom"/>
          </w:tcPr>
          <w:p>
            <w:pPr>
              <w:spacing w:after="0"/>
              <w:rPr>
                <w:sz w:val="17"/>
                <w:szCs w:val="17"/>
                <w:color w:val="auto"/>
              </w:rPr>
            </w:pP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(166 )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1919.9 %</w:t>
            </w:r>
          </w:p>
        </w:tc>
        <w:tc>
          <w:tcPr>
            <w:tcW w:w="0" w:type="dxa"/>
            <w:vAlign w:val="bottom"/>
          </w:tcPr>
          <w:p>
            <w:pPr>
              <w:spacing w:after="0"/>
              <w:rPr>
                <w:sz w:val="1"/>
                <w:szCs w:val="1"/>
                <w:color w:val="auto"/>
              </w:rPr>
            </w:pPr>
          </w:p>
        </w:tc>
      </w:tr>
      <w:tr>
        <w:trPr>
          <w:trHeight w:val="203"/>
        </w:trPr>
        <w:tc>
          <w:tcPr>
            <w:tcW w:w="6140" w:type="dxa"/>
            <w:vAlign w:val="bottom"/>
            <w:shd w:val="clear" w:color="auto" w:fill="D5E6F7"/>
          </w:tcPr>
          <w:p>
            <w:pPr>
              <w:ind w:left="200"/>
              <w:spacing w:after="0" w:line="202" w:lineRule="exact"/>
              <w:rPr>
                <w:sz w:val="20"/>
                <w:szCs w:val="20"/>
                <w:color w:val="auto"/>
              </w:rPr>
            </w:pPr>
            <w:r>
              <w:rPr>
                <w:rFonts w:ascii="Arial" w:cs="Arial" w:eastAsia="Arial" w:hAnsi="Arial"/>
                <w:sz w:val="18"/>
                <w:szCs w:val="18"/>
                <w:color w:val="auto"/>
              </w:rPr>
              <w:t>Interest expense - related party</w:t>
            </w:r>
          </w:p>
        </w:tc>
        <w:tc>
          <w:tcPr>
            <w:tcW w:w="320" w:type="dxa"/>
            <w:vAlign w:val="bottom"/>
            <w:shd w:val="clear" w:color="auto" w:fill="D5E6F7"/>
          </w:tcPr>
          <w:p>
            <w:pPr>
              <w:spacing w:after="0"/>
              <w:rPr>
                <w:sz w:val="17"/>
                <w:szCs w:val="17"/>
                <w:color w:val="auto"/>
              </w:rPr>
            </w:pP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1440" w:type="dxa"/>
            <w:vAlign w:val="bottom"/>
            <w:gridSpan w:val="2"/>
            <w:shd w:val="clear" w:color="auto" w:fill="D5E6F7"/>
          </w:tcPr>
          <w:p>
            <w:pPr>
              <w:jc w:val="right"/>
              <w:ind w:right="340"/>
              <w:spacing w:after="0" w:line="202" w:lineRule="exact"/>
              <w:rPr>
                <w:sz w:val="20"/>
                <w:szCs w:val="20"/>
                <w:color w:val="auto"/>
              </w:rPr>
            </w:pPr>
            <w:r>
              <w:rPr>
                <w:rFonts w:ascii="Arial" w:cs="Arial" w:eastAsia="Arial" w:hAnsi="Arial"/>
                <w:sz w:val="18"/>
                <w:szCs w:val="18"/>
                <w:color w:val="auto"/>
              </w:rPr>
              <w:t>(22 )</w:t>
            </w:r>
          </w:p>
        </w:tc>
        <w:tc>
          <w:tcPr>
            <w:tcW w:w="15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(Loss) gain on sale of digital assets</w:t>
            </w:r>
          </w:p>
        </w:tc>
        <w:tc>
          <w:tcPr>
            <w:tcW w:w="320" w:type="dxa"/>
            <w:vAlign w:val="bottom"/>
          </w:tcPr>
          <w:p>
            <w:pPr>
              <w:spacing w:after="0"/>
              <w:rPr>
                <w:sz w:val="17"/>
                <w:szCs w:val="17"/>
                <w:color w:val="auto"/>
              </w:rPr>
            </w:pPr>
          </w:p>
        </w:tc>
        <w:tc>
          <w:tcPr>
            <w:tcW w:w="1480" w:type="dxa"/>
            <w:vAlign w:val="bottom"/>
            <w:gridSpan w:val="2"/>
          </w:tcPr>
          <w:p>
            <w:pPr>
              <w:jc w:val="right"/>
              <w:ind w:right="276"/>
              <w:spacing w:after="0" w:line="202" w:lineRule="exact"/>
              <w:rPr>
                <w:sz w:val="20"/>
                <w:szCs w:val="20"/>
                <w:color w:val="auto"/>
              </w:rPr>
            </w:pPr>
            <w:r>
              <w:rPr>
                <w:rFonts w:ascii="Arial" w:cs="Arial" w:eastAsia="Arial" w:hAnsi="Arial"/>
                <w:sz w:val="18"/>
                <w:szCs w:val="18"/>
                <w:color w:val="auto"/>
              </w:rPr>
              <w:t>(5 )</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40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-101.7 %</w:t>
            </w:r>
          </w:p>
        </w:tc>
        <w:tc>
          <w:tcPr>
            <w:tcW w:w="0" w:type="dxa"/>
            <w:vAlign w:val="bottom"/>
          </w:tcPr>
          <w:p>
            <w:pPr>
              <w:spacing w:after="0"/>
              <w:rPr>
                <w:sz w:val="1"/>
                <w:szCs w:val="1"/>
                <w:color w:val="auto"/>
              </w:rPr>
            </w:pPr>
          </w:p>
        </w:tc>
      </w:tr>
      <w:tr>
        <w:trPr>
          <w:trHeight w:val="203"/>
        </w:trPr>
        <w:tc>
          <w:tcPr>
            <w:tcW w:w="6140" w:type="dxa"/>
            <w:vAlign w:val="bottom"/>
            <w:tcBorders>
              <w:bottom w:val="single" w:sz="8" w:color="D5E6F7"/>
            </w:tcBorders>
            <w:shd w:val="clear" w:color="auto" w:fill="D5E6F7"/>
          </w:tcPr>
          <w:p>
            <w:pPr>
              <w:ind w:left="200"/>
              <w:spacing w:after="0" w:line="202" w:lineRule="exact"/>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D5E6F7"/>
          </w:tcPr>
          <w:p>
            <w:pPr>
              <w:spacing w:after="0"/>
              <w:rPr>
                <w:sz w:val="17"/>
                <w:szCs w:val="17"/>
                <w:color w:val="auto"/>
              </w:rPr>
            </w:pPr>
          </w:p>
        </w:tc>
        <w:tc>
          <w:tcPr>
            <w:tcW w:w="10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39</w:t>
            </w:r>
          </w:p>
        </w:tc>
        <w:tc>
          <w:tcPr>
            <w:tcW w:w="440" w:type="dxa"/>
            <w:vAlign w:val="bottom"/>
            <w:tcBorders>
              <w:bottom w:val="single" w:sz="8" w:color="D5E6F7"/>
            </w:tcBorders>
            <w:shd w:val="clear" w:color="auto" w:fill="D5E6F7"/>
          </w:tcPr>
          <w:p>
            <w:pPr>
              <w:spacing w:after="0"/>
              <w:rPr>
                <w:sz w:val="17"/>
                <w:szCs w:val="17"/>
                <w:color w:val="auto"/>
              </w:rPr>
            </w:pPr>
          </w:p>
        </w:tc>
        <w:tc>
          <w:tcPr>
            <w:tcW w:w="320" w:type="dxa"/>
            <w:vAlign w:val="bottom"/>
            <w:tcBorders>
              <w:bottom w:val="single" w:sz="8" w:color="auto"/>
            </w:tcBorders>
            <w:shd w:val="clear" w:color="auto" w:fill="D5E6F7"/>
          </w:tcPr>
          <w:p>
            <w:pPr>
              <w:spacing w:after="0"/>
              <w:rPr>
                <w:sz w:val="17"/>
                <w:szCs w:val="17"/>
                <w:color w:val="auto"/>
              </w:rPr>
            </w:pPr>
          </w:p>
        </w:tc>
        <w:tc>
          <w:tcPr>
            <w:tcW w:w="10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19</w:t>
            </w:r>
          </w:p>
        </w:tc>
        <w:tc>
          <w:tcPr>
            <w:tcW w:w="400" w:type="dxa"/>
            <w:vAlign w:val="bottom"/>
            <w:tcBorders>
              <w:bottom w:val="single" w:sz="8" w:color="D5E6F7"/>
            </w:tcBorders>
            <w:shd w:val="clear" w:color="auto" w:fill="D5E6F7"/>
          </w:tcPr>
          <w:p>
            <w:pPr>
              <w:spacing w:after="0"/>
              <w:rPr>
                <w:sz w:val="17"/>
                <w:szCs w:val="17"/>
                <w:color w:val="auto"/>
              </w:rPr>
            </w:pPr>
          </w:p>
        </w:tc>
        <w:tc>
          <w:tcPr>
            <w:tcW w:w="1540" w:type="dxa"/>
            <w:vAlign w:val="bottom"/>
            <w:tcBorders>
              <w:bottom w:val="single" w:sz="8" w:color="D5E6F7"/>
            </w:tcBorders>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105.3 %</w:t>
            </w:r>
          </w:p>
        </w:tc>
        <w:tc>
          <w:tcPr>
            <w:tcW w:w="0" w:type="dxa"/>
            <w:vAlign w:val="bottom"/>
          </w:tcPr>
          <w:p>
            <w:pPr>
              <w:spacing w:after="0"/>
              <w:rPr>
                <w:sz w:val="1"/>
                <w:szCs w:val="1"/>
                <w:color w:val="auto"/>
              </w:rPr>
            </w:pP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 income, net</w:t>
            </w:r>
          </w:p>
        </w:tc>
        <w:tc>
          <w:tcPr>
            <w:tcW w:w="320" w:type="dxa"/>
            <w:vAlign w:val="bottom"/>
          </w:tcPr>
          <w:p>
            <w:pPr>
              <w:spacing w:after="0"/>
              <w:rPr>
                <w:sz w:val="17"/>
                <w:szCs w:val="17"/>
                <w:color w:val="auto"/>
              </w:rPr>
            </w:pPr>
          </w:p>
        </w:tc>
        <w:tc>
          <w:tcPr>
            <w:tcW w:w="1480" w:type="dxa"/>
            <w:vAlign w:val="bottom"/>
            <w:gridSpan w:val="2"/>
          </w:tcPr>
          <w:p>
            <w:pPr>
              <w:jc w:val="right"/>
              <w:ind w:right="276"/>
              <w:spacing w:after="0" w:line="196" w:lineRule="exact"/>
              <w:rPr>
                <w:sz w:val="20"/>
                <w:szCs w:val="20"/>
                <w:color w:val="auto"/>
              </w:rPr>
            </w:pPr>
            <w:r>
              <w:rPr>
                <w:rFonts w:ascii="Arial" w:cs="Arial" w:eastAsia="Arial" w:hAnsi="Arial"/>
                <w:sz w:val="18"/>
                <w:szCs w:val="18"/>
                <w:color w:val="auto"/>
              </w:rPr>
              <w:t>(3,319 )</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400" w:type="dxa"/>
            <w:vAlign w:val="bottom"/>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-2734.1 %</w:t>
            </w:r>
          </w:p>
        </w:tc>
        <w:tc>
          <w:tcPr>
            <w:tcW w:w="0" w:type="dxa"/>
            <w:vAlign w:val="bottom"/>
          </w:tcPr>
          <w:p>
            <w:pPr>
              <w:spacing w:after="0"/>
              <w:rPr>
                <w:sz w:val="1"/>
                <w:szCs w:val="1"/>
                <w:color w:val="auto"/>
              </w:rPr>
            </w:pPr>
          </w:p>
        </w:tc>
      </w:tr>
      <w:tr>
        <w:trPr>
          <w:trHeight w:val="196"/>
        </w:trPr>
        <w:tc>
          <w:tcPr>
            <w:tcW w:w="61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(Loss) income before income taxes</w:t>
            </w:r>
          </w:p>
        </w:tc>
        <w:tc>
          <w:tcPr>
            <w:tcW w:w="320" w:type="dxa"/>
            <w:vAlign w:val="bottom"/>
            <w:tcBorders>
              <w:top w:val="single" w:sz="8" w:color="auto"/>
            </w:tcBorders>
            <w:shd w:val="clear" w:color="auto" w:fill="D5E6F7"/>
          </w:tcPr>
          <w:p>
            <w:pPr>
              <w:spacing w:after="0"/>
              <w:rPr>
                <w:sz w:val="17"/>
                <w:szCs w:val="17"/>
                <w:color w:val="auto"/>
              </w:rPr>
            </w:pPr>
          </w:p>
        </w:tc>
        <w:tc>
          <w:tcPr>
            <w:tcW w:w="104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(797</w:t>
            </w:r>
          </w:p>
        </w:tc>
        <w:tc>
          <w:tcPr>
            <w:tcW w:w="440" w:type="dxa"/>
            <w:vAlign w:val="bottom"/>
            <w:shd w:val="clear" w:color="auto" w:fill="D5E6F7"/>
          </w:tcPr>
          <w:p>
            <w:pPr>
              <w:jc w:val="right"/>
              <w:ind w:right="276"/>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D5E6F7"/>
          </w:tcPr>
          <w:p>
            <w:pPr>
              <w:spacing w:after="0"/>
              <w:rPr>
                <w:sz w:val="17"/>
                <w:szCs w:val="17"/>
                <w:color w:val="auto"/>
              </w:rPr>
            </w:pPr>
          </w:p>
        </w:tc>
        <w:tc>
          <w:tcPr>
            <w:tcW w:w="104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2,011</w:t>
            </w:r>
          </w:p>
        </w:tc>
        <w:tc>
          <w:tcPr>
            <w:tcW w:w="400" w:type="dxa"/>
            <w:vAlign w:val="bottom"/>
            <w:shd w:val="clear" w:color="auto" w:fill="D5E6F7"/>
          </w:tcPr>
          <w:p>
            <w:pPr>
              <w:spacing w:after="0"/>
              <w:rPr>
                <w:sz w:val="17"/>
                <w:szCs w:val="17"/>
                <w:color w:val="auto"/>
              </w:rPr>
            </w:pPr>
          </w:p>
        </w:tc>
        <w:tc>
          <w:tcPr>
            <w:tcW w:w="1540" w:type="dxa"/>
            <w:vAlign w:val="bottom"/>
            <w:gridSpan w:val="2"/>
            <w:shd w:val="clear" w:color="auto" w:fill="D5E6F7"/>
          </w:tcPr>
          <w:p>
            <w:pPr>
              <w:jc w:val="right"/>
              <w:spacing w:after="0" w:line="196" w:lineRule="exact"/>
              <w:rPr>
                <w:sz w:val="20"/>
                <w:szCs w:val="20"/>
                <w:color w:val="auto"/>
              </w:rPr>
            </w:pPr>
            <w:r>
              <w:rPr>
                <w:rFonts w:ascii="Arial" w:cs="Arial" w:eastAsia="Arial" w:hAnsi="Arial"/>
                <w:sz w:val="18"/>
                <w:szCs w:val="18"/>
                <w:color w:val="auto"/>
              </w:rPr>
              <w:t>-139.6 %</w:t>
            </w:r>
          </w:p>
        </w:tc>
        <w:tc>
          <w:tcPr>
            <w:tcW w:w="0" w:type="dxa"/>
            <w:vAlign w:val="bottom"/>
          </w:tcPr>
          <w:p>
            <w:pPr>
              <w:spacing w:after="0"/>
              <w:rPr>
                <w:sz w:val="1"/>
                <w:szCs w:val="1"/>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320" w:type="dxa"/>
            <w:vAlign w:val="bottom"/>
          </w:tcPr>
          <w:p>
            <w:pPr>
              <w:spacing w:after="0"/>
              <w:rPr>
                <w:sz w:val="17"/>
                <w:szCs w:val="17"/>
                <w:color w:val="auto"/>
              </w:rPr>
            </w:pPr>
          </w:p>
        </w:tc>
        <w:tc>
          <w:tcPr>
            <w:tcW w:w="1480" w:type="dxa"/>
            <w:vAlign w:val="bottom"/>
            <w:gridSpan w:val="2"/>
          </w:tcPr>
          <w:p>
            <w:pPr>
              <w:jc w:val="right"/>
              <w:ind w:right="276"/>
              <w:spacing w:after="0" w:line="202" w:lineRule="exact"/>
              <w:rPr>
                <w:sz w:val="20"/>
                <w:szCs w:val="20"/>
                <w:color w:val="auto"/>
              </w:rPr>
            </w:pPr>
            <w:r>
              <w:rPr>
                <w:rFonts w:ascii="Arial" w:cs="Arial" w:eastAsia="Arial" w:hAnsi="Arial"/>
                <w:sz w:val="18"/>
                <w:szCs w:val="18"/>
                <w:color w:val="auto"/>
              </w:rPr>
              <w:t>(368 )</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40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-150.3 %</w:t>
            </w:r>
          </w:p>
        </w:tc>
        <w:tc>
          <w:tcPr>
            <w:tcW w:w="0" w:type="dxa"/>
            <w:vAlign w:val="bottom"/>
          </w:tcPr>
          <w:p>
            <w:pPr>
              <w:spacing w:after="0"/>
              <w:rPr>
                <w:sz w:val="1"/>
                <w:szCs w:val="1"/>
                <w:color w:val="auto"/>
              </w:rPr>
            </w:pPr>
          </w:p>
        </w:tc>
      </w:tr>
      <w:tr>
        <w:trPr>
          <w:trHeight w:val="236"/>
        </w:trPr>
        <w:tc>
          <w:tcPr>
            <w:tcW w:w="6140" w:type="dxa"/>
            <w:vAlign w:val="bottom"/>
            <w:tcBorders>
              <w:bottom w:val="single" w:sz="8" w:color="D5E6F7"/>
            </w:tcBorders>
            <w:shd w:val="clear" w:color="auto" w:fill="D5E6F7"/>
          </w:tcPr>
          <w:p>
            <w:pPr>
              <w:ind w:left="20"/>
              <w:spacing w:after="0" w:line="182" w:lineRule="exact"/>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bottom w:val="single" w:sz="8" w:color="auto"/>
            </w:tcBorders>
            <w:shd w:val="clear" w:color="auto" w:fill="D5E6F7"/>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(429</w:t>
            </w:r>
          </w:p>
        </w:tc>
        <w:tc>
          <w:tcPr>
            <w:tcW w:w="440" w:type="dxa"/>
            <w:vAlign w:val="bottom"/>
            <w:tcBorders>
              <w:bottom w:val="single" w:sz="8" w:color="D5E6F7"/>
            </w:tcBorders>
            <w:shd w:val="clear" w:color="auto" w:fill="D5E6F7"/>
          </w:tcPr>
          <w:p>
            <w:pPr>
              <w:jc w:val="right"/>
              <w:ind w:right="276"/>
              <w:spacing w:after="0" w:line="182"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D5E6F7"/>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1,279</w:t>
            </w:r>
          </w:p>
        </w:tc>
        <w:tc>
          <w:tcPr>
            <w:tcW w:w="400" w:type="dxa"/>
            <w:vAlign w:val="bottom"/>
            <w:tcBorders>
              <w:bottom w:val="single" w:sz="8" w:color="D5E6F7"/>
            </w:tcBorders>
            <w:shd w:val="clear" w:color="auto" w:fill="D5E6F7"/>
          </w:tcPr>
          <w:p>
            <w:pPr>
              <w:spacing w:after="0"/>
              <w:rPr>
                <w:sz w:val="20"/>
                <w:szCs w:val="20"/>
                <w:color w:val="auto"/>
              </w:rPr>
            </w:pPr>
          </w:p>
        </w:tc>
        <w:tc>
          <w:tcPr>
            <w:tcW w:w="1540" w:type="dxa"/>
            <w:vAlign w:val="bottom"/>
            <w:tcBorders>
              <w:bottom w:val="single" w:sz="8" w:color="D5E6F7"/>
            </w:tcBorders>
            <w:gridSpan w:val="2"/>
            <w:shd w:val="clear" w:color="auto" w:fill="D5E6F7"/>
          </w:tcPr>
          <w:p>
            <w:pPr>
              <w:jc w:val="right"/>
              <w:spacing w:after="0" w:line="182" w:lineRule="exact"/>
              <w:rPr>
                <w:sz w:val="20"/>
                <w:szCs w:val="20"/>
                <w:color w:val="auto"/>
              </w:rPr>
            </w:pPr>
            <w:r>
              <w:rPr>
                <w:rFonts w:ascii="Arial" w:cs="Arial" w:eastAsia="Arial" w:hAnsi="Arial"/>
                <w:sz w:val="18"/>
                <w:szCs w:val="18"/>
                <w:color w:val="auto"/>
              </w:rPr>
              <w:t>-133.5 %</w:t>
            </w:r>
          </w:p>
        </w:tc>
        <w:tc>
          <w:tcPr>
            <w:tcW w:w="0" w:type="dxa"/>
            <w:vAlign w:val="bottom"/>
          </w:tcPr>
          <w:p>
            <w:pPr>
              <w:spacing w:after="0"/>
              <w:rPr>
                <w:sz w:val="1"/>
                <w:szCs w:val="1"/>
                <w:color w:val="auto"/>
              </w:rPr>
            </w:pPr>
          </w:p>
        </w:tc>
      </w:tr>
      <w:tr>
        <w:trPr>
          <w:trHeight w:val="183"/>
        </w:trPr>
        <w:tc>
          <w:tcPr>
            <w:tcW w:w="6140" w:type="dxa"/>
            <w:vAlign w:val="bottom"/>
          </w:tcPr>
          <w:p>
            <w:pPr>
              <w:ind w:left="20"/>
              <w:spacing w:after="0" w:line="183" w:lineRule="exact"/>
              <w:rPr>
                <w:sz w:val="20"/>
                <w:szCs w:val="20"/>
                <w:color w:val="auto"/>
              </w:rPr>
            </w:pPr>
            <w:r>
              <w:rPr>
                <w:rFonts w:ascii="Arial" w:cs="Arial" w:eastAsia="Arial" w:hAnsi="Arial"/>
                <w:sz w:val="18"/>
                <w:szCs w:val="18"/>
                <w:b w:val="1"/>
                <w:bCs w:val="1"/>
                <w:i w:val="1"/>
                <w:iCs w:val="1"/>
                <w:color w:val="auto"/>
              </w:rPr>
              <w:t>Adjusted Amounts (a)</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Adjusted income from operations</w:t>
            </w: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4,839</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1,990</w:t>
            </w:r>
          </w:p>
        </w:tc>
        <w:tc>
          <w:tcPr>
            <w:tcW w:w="400" w:type="dxa"/>
            <w:vAlign w:val="bottom"/>
            <w:shd w:val="clear" w:color="auto" w:fill="D5E6F7"/>
          </w:tcPr>
          <w:p>
            <w:pPr>
              <w:spacing w:after="0"/>
              <w:rPr>
                <w:sz w:val="17"/>
                <w:szCs w:val="17"/>
                <w:color w:val="auto"/>
              </w:rPr>
            </w:pPr>
          </w:p>
        </w:tc>
        <w:tc>
          <w:tcPr>
            <w:tcW w:w="13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20"/>
              <w:spacing w:after="0" w:line="202" w:lineRule="exact"/>
              <w:rPr>
                <w:sz w:val="20"/>
                <w:szCs w:val="20"/>
                <w:color w:val="auto"/>
              </w:rPr>
            </w:pPr>
            <w:r>
              <w:rPr>
                <w:rFonts w:ascii="Arial" w:cs="Arial" w:eastAsia="Arial" w:hAnsi="Arial"/>
                <w:sz w:val="18"/>
                <w:szCs w:val="18"/>
                <w:color w:val="auto"/>
              </w:rPr>
              <w:t>Adjusted operating margin</w:t>
            </w:r>
          </w:p>
        </w:tc>
        <w:tc>
          <w:tcPr>
            <w:tcW w:w="320" w:type="dxa"/>
            <w:vAlign w:val="bottom"/>
          </w:tcPr>
          <w:p>
            <w:pPr>
              <w:spacing w:after="0"/>
              <w:rPr>
                <w:sz w:val="17"/>
                <w:szCs w:val="17"/>
                <w:color w:val="auto"/>
              </w:rPr>
            </w:pPr>
          </w:p>
        </w:tc>
        <w:tc>
          <w:tcPr>
            <w:tcW w:w="1480" w:type="dxa"/>
            <w:vAlign w:val="bottom"/>
            <w:gridSpan w:val="2"/>
          </w:tcPr>
          <w:p>
            <w:pPr>
              <w:jc w:val="right"/>
              <w:ind w:right="196"/>
              <w:spacing w:after="0" w:line="202" w:lineRule="exact"/>
              <w:rPr>
                <w:sz w:val="20"/>
                <w:szCs w:val="20"/>
                <w:color w:val="auto"/>
              </w:rPr>
            </w:pPr>
            <w:r>
              <w:rPr>
                <w:rFonts w:ascii="Arial" w:cs="Arial" w:eastAsia="Arial" w:hAnsi="Arial"/>
                <w:sz w:val="18"/>
                <w:szCs w:val="18"/>
                <w:color w:val="auto"/>
              </w:rPr>
              <w:t>12.9 %</w:t>
            </w:r>
          </w:p>
        </w:tc>
        <w:tc>
          <w:tcPr>
            <w:tcW w:w="32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18.0 %</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Adjusted net income</w:t>
            </w: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1,263</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1,355</w:t>
            </w:r>
          </w:p>
        </w:tc>
        <w:tc>
          <w:tcPr>
            <w:tcW w:w="400" w:type="dxa"/>
            <w:vAlign w:val="bottom"/>
            <w:shd w:val="clear" w:color="auto" w:fill="D5E6F7"/>
          </w:tcPr>
          <w:p>
            <w:pPr>
              <w:spacing w:after="0"/>
              <w:rPr>
                <w:sz w:val="17"/>
                <w:szCs w:val="17"/>
                <w:color w:val="auto"/>
              </w:rPr>
            </w:pPr>
          </w:p>
        </w:tc>
        <w:tc>
          <w:tcPr>
            <w:tcW w:w="13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b w:val="1"/>
                <w:bCs w:val="1"/>
                <w:i w:val="1"/>
                <w:iCs w:val="1"/>
                <w:color w:val="auto"/>
              </w:rPr>
              <w:t>Other Financial Data (a)</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EBITDA</w:t>
            </w: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6,534</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3,460</w:t>
            </w:r>
          </w:p>
        </w:tc>
        <w:tc>
          <w:tcPr>
            <w:tcW w:w="400" w:type="dxa"/>
            <w:vAlign w:val="bottom"/>
            <w:shd w:val="clear" w:color="auto" w:fill="D5E6F7"/>
          </w:tcPr>
          <w:p>
            <w:pPr>
              <w:spacing w:after="0"/>
              <w:rPr>
                <w:sz w:val="17"/>
                <w:szCs w:val="17"/>
                <w:color w:val="auto"/>
              </w:rPr>
            </w:pPr>
          </w:p>
        </w:tc>
        <w:tc>
          <w:tcPr>
            <w:tcW w:w="13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as a percent of revenues</w:t>
            </w:r>
          </w:p>
        </w:tc>
        <w:tc>
          <w:tcPr>
            <w:tcW w:w="320" w:type="dxa"/>
            <w:vAlign w:val="bottom"/>
          </w:tcPr>
          <w:p>
            <w:pPr>
              <w:spacing w:after="0"/>
              <w:rPr>
                <w:sz w:val="17"/>
                <w:szCs w:val="17"/>
                <w:color w:val="auto"/>
              </w:rPr>
            </w:pPr>
          </w:p>
        </w:tc>
        <w:tc>
          <w:tcPr>
            <w:tcW w:w="1480" w:type="dxa"/>
            <w:vAlign w:val="bottom"/>
            <w:gridSpan w:val="2"/>
          </w:tcPr>
          <w:p>
            <w:pPr>
              <w:jc w:val="right"/>
              <w:ind w:right="196"/>
              <w:spacing w:after="0" w:line="202" w:lineRule="exact"/>
              <w:rPr>
                <w:sz w:val="20"/>
                <w:szCs w:val="20"/>
                <w:color w:val="auto"/>
              </w:rPr>
            </w:pPr>
            <w:r>
              <w:rPr>
                <w:rFonts w:ascii="Arial" w:cs="Arial" w:eastAsia="Arial" w:hAnsi="Arial"/>
                <w:sz w:val="18"/>
                <w:szCs w:val="18"/>
                <w:i w:val="1"/>
                <w:iCs w:val="1"/>
                <w:color w:val="auto"/>
              </w:rPr>
              <w:t>17.4 %</w:t>
            </w:r>
          </w:p>
        </w:tc>
        <w:tc>
          <w:tcPr>
            <w:tcW w:w="32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i w:val="1"/>
                <w:iCs w:val="1"/>
                <w:color w:val="auto"/>
              </w:rPr>
              <w:t>31.3 %</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D5E6F7"/>
          </w:tcPr>
          <w:p>
            <w:pPr>
              <w:ind w:left="120"/>
              <w:spacing w:after="0" w:line="202" w:lineRule="exact"/>
              <w:rPr>
                <w:sz w:val="20"/>
                <w:szCs w:val="20"/>
                <w:color w:val="auto"/>
              </w:rPr>
            </w:pPr>
            <w:r>
              <w:rPr>
                <w:rFonts w:ascii="Arial" w:cs="Arial" w:eastAsia="Arial" w:hAnsi="Arial"/>
                <w:sz w:val="18"/>
                <w:szCs w:val="18"/>
                <w:color w:val="auto"/>
              </w:rPr>
              <w:t>Adjusted EBITDA</w:t>
            </w: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9,213</w:t>
            </w:r>
          </w:p>
        </w:tc>
        <w:tc>
          <w:tcPr>
            <w:tcW w:w="440" w:type="dxa"/>
            <w:vAlign w:val="bottom"/>
            <w:shd w:val="clear" w:color="auto" w:fill="D5E6F7"/>
          </w:tcPr>
          <w:p>
            <w:pPr>
              <w:spacing w:after="0"/>
              <w:rPr>
                <w:sz w:val="17"/>
                <w:szCs w:val="17"/>
                <w:color w:val="auto"/>
              </w:rPr>
            </w:pPr>
          </w:p>
        </w:tc>
        <w:tc>
          <w:tcPr>
            <w:tcW w:w="320" w:type="dxa"/>
            <w:vAlign w:val="bottom"/>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4,221</w:t>
            </w:r>
          </w:p>
        </w:tc>
        <w:tc>
          <w:tcPr>
            <w:tcW w:w="400" w:type="dxa"/>
            <w:vAlign w:val="bottom"/>
            <w:shd w:val="clear" w:color="auto" w:fill="D5E6F7"/>
          </w:tcPr>
          <w:p>
            <w:pPr>
              <w:spacing w:after="0"/>
              <w:rPr>
                <w:sz w:val="17"/>
                <w:szCs w:val="17"/>
                <w:color w:val="auto"/>
              </w:rPr>
            </w:pPr>
          </w:p>
        </w:tc>
        <w:tc>
          <w:tcPr>
            <w:tcW w:w="132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0"/>
              <w:spacing w:after="0"/>
              <w:rPr>
                <w:sz w:val="20"/>
                <w:szCs w:val="20"/>
                <w:color w:val="auto"/>
              </w:rPr>
            </w:pPr>
            <w:r>
              <w:rPr>
                <w:rFonts w:ascii="Arial" w:cs="Arial" w:eastAsia="Arial" w:hAnsi="Arial"/>
                <w:sz w:val="18"/>
                <w:szCs w:val="18"/>
                <w:i w:val="1"/>
                <w:iCs w:val="1"/>
                <w:color w:val="auto"/>
              </w:rPr>
              <w:t>as a percent of revenues</w:t>
            </w:r>
          </w:p>
        </w:tc>
        <w:tc>
          <w:tcPr>
            <w:tcW w:w="320" w:type="dxa"/>
            <w:vAlign w:val="bottom"/>
          </w:tcPr>
          <w:p>
            <w:pPr>
              <w:spacing w:after="0"/>
              <w:rPr>
                <w:sz w:val="20"/>
                <w:szCs w:val="20"/>
                <w:color w:val="auto"/>
              </w:rPr>
            </w:pPr>
          </w:p>
        </w:tc>
        <w:tc>
          <w:tcPr>
            <w:tcW w:w="1480" w:type="dxa"/>
            <w:vAlign w:val="bottom"/>
            <w:gridSpan w:val="2"/>
          </w:tcPr>
          <w:p>
            <w:pPr>
              <w:jc w:val="right"/>
              <w:ind w:right="196"/>
              <w:spacing w:after="0"/>
              <w:rPr>
                <w:sz w:val="20"/>
                <w:szCs w:val="20"/>
                <w:color w:val="auto"/>
              </w:rPr>
            </w:pPr>
            <w:r>
              <w:rPr>
                <w:rFonts w:ascii="Arial" w:cs="Arial" w:eastAsia="Arial" w:hAnsi="Arial"/>
                <w:sz w:val="18"/>
                <w:szCs w:val="18"/>
                <w:i w:val="1"/>
                <w:iCs w:val="1"/>
                <w:color w:val="auto"/>
              </w:rPr>
              <w:t>24.5 %</w:t>
            </w:r>
          </w:p>
        </w:tc>
        <w:tc>
          <w:tcPr>
            <w:tcW w:w="3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38.2 %</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-2517140</wp:posOffset>
            </wp:positionV>
            <wp:extent cx="14605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-2517140</wp:posOffset>
            </wp:positionV>
            <wp:extent cx="13716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-1737360</wp:posOffset>
            </wp:positionV>
            <wp:extent cx="14605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-1737360</wp:posOffset>
            </wp:positionV>
            <wp:extent cx="13716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-1200150</wp:posOffset>
            </wp:positionV>
            <wp:extent cx="1460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-1183005</wp:posOffset>
            </wp:positionV>
            <wp:extent cx="1460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-1200150</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-1183005</wp:posOffset>
            </wp:positionV>
            <wp:extent cx="137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46" w:lineRule="exact"/>
        <w:rPr>
          <w:sz w:val="20"/>
          <w:szCs w:val="20"/>
          <w:color w:val="auto"/>
        </w:rPr>
      </w:pPr>
    </w:p>
    <w:p>
      <w:pPr>
        <w:ind w:left="1020" w:right="60" w:hanging="503"/>
        <w:spacing w:after="0" w:line="32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Amounts and Other Financial Data are non-GAAP performance measures. A reconciliation of reported amounts to adjusted amounts can be found in the "Non-GAAP Measures and Reconciliations" section of this Management's Discussion and Analysis ("MD&amp;A").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2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w w:val="99"/>
              </w:rPr>
              <w:t>Three Months Ended March 31,</w:t>
            </w:r>
          </w:p>
        </w:tc>
        <w:tc>
          <w:tcPr>
            <w:tcW w:w="1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3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Cryptocurrency datacenter</w:t>
            </w:r>
          </w:p>
        </w:tc>
        <w:tc>
          <w:tcPr>
            <w:tcW w:w="2420" w:type="dxa"/>
            <w:vAlign w:val="bottom"/>
            <w:shd w:val="clear" w:color="auto" w:fill="D5E6F7"/>
          </w:tcPr>
          <w:p>
            <w:pPr>
              <w:spacing w:after="0"/>
              <w:rPr>
                <w:sz w:val="17"/>
                <w:szCs w:val="17"/>
                <w:color w:val="auto"/>
              </w:rPr>
            </w:pPr>
          </w:p>
        </w:tc>
        <w:tc>
          <w:tcPr>
            <w:tcW w:w="360" w:type="dxa"/>
            <w:vAlign w:val="bottom"/>
            <w:shd w:val="clear" w:color="auto" w:fill="D5E6F7"/>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23,232</w:t>
            </w:r>
          </w:p>
        </w:tc>
        <w:tc>
          <w:tcPr>
            <w:tcW w:w="260" w:type="dxa"/>
            <w:vAlign w:val="bottom"/>
            <w:shd w:val="clear" w:color="auto" w:fill="D5E6F7"/>
          </w:tcPr>
          <w:p>
            <w:pPr>
              <w:spacing w:after="0"/>
              <w:rPr>
                <w:sz w:val="17"/>
                <w:szCs w:val="17"/>
                <w:color w:val="auto"/>
              </w:rPr>
            </w:pPr>
          </w:p>
        </w:tc>
        <w:tc>
          <w:tcPr>
            <w:tcW w:w="360" w:type="dxa"/>
            <w:vAlign w:val="bottom"/>
            <w:shd w:val="clear" w:color="auto" w:fill="D5E6F7"/>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8,997</w:t>
            </w:r>
          </w:p>
        </w:tc>
        <w:tc>
          <w:tcPr>
            <w:tcW w:w="240" w:type="dxa"/>
            <w:vAlign w:val="bottom"/>
            <w:shd w:val="clear" w:color="auto" w:fill="D5E6F7"/>
          </w:tcPr>
          <w:p>
            <w:pPr>
              <w:spacing w:after="0"/>
              <w:rPr>
                <w:sz w:val="17"/>
                <w:szCs w:val="17"/>
                <w:color w:val="auto"/>
              </w:rPr>
            </w:pPr>
          </w:p>
        </w:tc>
        <w:tc>
          <w:tcPr>
            <w:tcW w:w="13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158.2</w:t>
            </w:r>
          </w:p>
        </w:tc>
        <w:tc>
          <w:tcPr>
            <w:tcW w:w="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5,923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2,066</w:t>
            </w:r>
          </w:p>
        </w:tc>
        <w:tc>
          <w:tcPr>
            <w:tcW w:w="240" w:type="dxa"/>
            <w:vAlign w:val="bottom"/>
          </w:tcPr>
          <w:p>
            <w:pPr>
              <w:spacing w:after="0"/>
              <w:rPr>
                <w:sz w:val="17"/>
                <w:szCs w:val="17"/>
                <w:color w:val="auto"/>
              </w:rPr>
            </w:pP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186.7 %</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Services and other</w:t>
            </w:r>
          </w:p>
        </w:tc>
        <w:tc>
          <w:tcPr>
            <w:tcW w:w="2420" w:type="dxa"/>
            <w:vAlign w:val="bottom"/>
            <w:tcBorders>
              <w:bottom w:val="single" w:sz="8" w:color="D5E6F7"/>
            </w:tcBorders>
            <w:shd w:val="clear" w:color="auto" w:fill="D5E6F7"/>
          </w:tcPr>
          <w:p>
            <w:pPr>
              <w:spacing w:after="0"/>
              <w:rPr>
                <w:sz w:val="17"/>
                <w:szCs w:val="17"/>
                <w:color w:val="auto"/>
              </w:rPr>
            </w:pPr>
          </w:p>
        </w:tc>
        <w:tc>
          <w:tcPr>
            <w:tcW w:w="360" w:type="dxa"/>
            <w:vAlign w:val="bottom"/>
            <w:tcBorders>
              <w:bottom w:val="single" w:sz="8" w:color="auto"/>
            </w:tcBorders>
            <w:shd w:val="clear" w:color="auto" w:fill="D5E6F7"/>
          </w:tcPr>
          <w:p>
            <w:pPr>
              <w:spacing w:after="0"/>
              <w:rPr>
                <w:sz w:val="17"/>
                <w:szCs w:val="17"/>
                <w:color w:val="auto"/>
              </w:rPr>
            </w:pPr>
          </w:p>
        </w:tc>
        <w:tc>
          <w:tcPr>
            <w:tcW w:w="116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8,500</w:t>
            </w:r>
          </w:p>
        </w:tc>
        <w:tc>
          <w:tcPr>
            <w:tcW w:w="260" w:type="dxa"/>
            <w:vAlign w:val="bottom"/>
            <w:tcBorders>
              <w:bottom w:val="single" w:sz="8" w:color="D5E6F7"/>
            </w:tcBorders>
            <w:shd w:val="clear" w:color="auto" w:fill="D5E6F7"/>
          </w:tcPr>
          <w:p>
            <w:pPr>
              <w:spacing w:after="0"/>
              <w:rPr>
                <w:sz w:val="17"/>
                <w:szCs w:val="17"/>
                <w:color w:val="auto"/>
              </w:rPr>
            </w:pPr>
          </w:p>
        </w:tc>
        <w:tc>
          <w:tcPr>
            <w:tcW w:w="360" w:type="dxa"/>
            <w:vAlign w:val="bottom"/>
            <w:tcBorders>
              <w:bottom w:val="single" w:sz="8" w:color="auto"/>
            </w:tcBorders>
            <w:shd w:val="clear" w:color="auto" w:fill="D5E6F7"/>
          </w:tcPr>
          <w:p>
            <w:pPr>
              <w:spacing w:after="0"/>
              <w:rPr>
                <w:sz w:val="17"/>
                <w:szCs w:val="17"/>
                <w:color w:val="auto"/>
              </w:rPr>
            </w:pPr>
          </w:p>
        </w:tc>
        <w:tc>
          <w:tcPr>
            <w:tcW w:w="11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D5E6F7"/>
            </w:tcBorders>
            <w:shd w:val="clear" w:color="auto" w:fill="D5E6F7"/>
          </w:tcPr>
          <w:p>
            <w:pPr>
              <w:spacing w:after="0"/>
              <w:rPr>
                <w:sz w:val="17"/>
                <w:szCs w:val="17"/>
                <w:color w:val="auto"/>
              </w:rPr>
            </w:pPr>
          </w:p>
        </w:tc>
        <w:tc>
          <w:tcPr>
            <w:tcW w:w="1560" w:type="dxa"/>
            <w:vAlign w:val="bottom"/>
            <w:tcBorders>
              <w:bottom w:val="single" w:sz="8" w:color="D5E6F7"/>
            </w:tcBorders>
            <w:gridSpan w:val="2"/>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6"/>
        </w:trPr>
        <w:tc>
          <w:tcPr>
            <w:tcW w:w="3740" w:type="dxa"/>
            <w:vAlign w:val="bottom"/>
          </w:tcPr>
          <w:p>
            <w:pPr>
              <w:ind w:left="200"/>
              <w:spacing w:after="0" w:line="182" w:lineRule="exact"/>
              <w:rPr>
                <w:sz w:val="20"/>
                <w:szCs w:val="20"/>
                <w:color w:val="auto"/>
              </w:rPr>
            </w:pPr>
            <w:r>
              <w:rPr>
                <w:rFonts w:ascii="Arial" w:cs="Arial" w:eastAsia="Arial" w:hAnsi="Arial"/>
                <w:sz w:val="18"/>
                <w:szCs w:val="18"/>
                <w:color w:val="auto"/>
              </w:rPr>
              <w:t>Total revenue</w:t>
            </w:r>
          </w:p>
        </w:tc>
        <w:tc>
          <w:tcPr>
            <w:tcW w:w="278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37,655</w:t>
            </w:r>
          </w:p>
        </w:tc>
        <w:tc>
          <w:tcPr>
            <w:tcW w:w="62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11,063</w:t>
            </w:r>
          </w:p>
        </w:tc>
        <w:tc>
          <w:tcPr>
            <w:tcW w:w="240" w:type="dxa"/>
            <w:vAlign w:val="bottom"/>
          </w:tcPr>
          <w:p>
            <w:pPr>
              <w:spacing w:after="0"/>
              <w:rPr>
                <w:sz w:val="17"/>
                <w:szCs w:val="17"/>
                <w:color w:val="auto"/>
              </w:rPr>
            </w:pPr>
          </w:p>
        </w:tc>
        <w:tc>
          <w:tcPr>
            <w:tcW w:w="1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240.4 %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20" w:type="dxa"/>
            <w:vAlign w:val="bottom"/>
            <w:vMerge w:val="restart"/>
          </w:tcPr>
          <w:p>
            <w:pPr>
              <w:jc w:val="right"/>
              <w:ind w:right="350"/>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4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-502285</wp:posOffset>
            </wp:positionV>
            <wp:extent cx="431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-502285</wp:posOffset>
            </wp:positionV>
            <wp:extent cx="342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revenue, expressed as a percentage of total revenue were:</w:t>
      </w:r>
    </w:p>
    <w:p>
      <w:pPr>
        <w:spacing w:after="0" w:line="217"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15240</wp:posOffset>
            </wp:positionV>
            <wp:extent cx="32232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gridSpan w:val="2"/>
          </w:tcPr>
          <w:p>
            <w:pPr>
              <w:ind w:left="5740"/>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40" w:type="dxa"/>
            <w:vAlign w:val="bottom"/>
          </w:tcPr>
          <w:p>
            <w:pPr>
              <w:jc w:val="right"/>
              <w:ind w:right="83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r>
      <w:tr>
        <w:trPr>
          <w:trHeight w:val="196"/>
        </w:trPr>
        <w:tc>
          <w:tcPr>
            <w:tcW w:w="48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Cryptocurrency datacenter</w:t>
            </w:r>
          </w:p>
        </w:tc>
        <w:tc>
          <w:tcPr>
            <w:tcW w:w="1480" w:type="dxa"/>
            <w:vAlign w:val="bottom"/>
            <w:tcBorders>
              <w:top w:val="single" w:sz="8" w:color="auto"/>
            </w:tcBorders>
            <w:shd w:val="clear" w:color="auto" w:fill="D5E6F7"/>
          </w:tcPr>
          <w:p>
            <w:pPr>
              <w:spacing w:after="0"/>
              <w:rPr>
                <w:sz w:val="17"/>
                <w:szCs w:val="17"/>
                <w:color w:val="auto"/>
              </w:rPr>
            </w:pPr>
          </w:p>
        </w:tc>
        <w:tc>
          <w:tcPr>
            <w:tcW w:w="6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61.7</w:t>
            </w:r>
          </w:p>
        </w:tc>
        <w:tc>
          <w:tcPr>
            <w:tcW w:w="780" w:type="dxa"/>
            <w:vAlign w:val="bottom"/>
            <w:shd w:val="clear" w:color="auto" w:fill="D5E6F7"/>
          </w:tcPr>
          <w:p>
            <w:pPr>
              <w:jc w:val="right"/>
              <w:ind w:right="530"/>
              <w:spacing w:after="0" w:line="196" w:lineRule="exact"/>
              <w:rPr>
                <w:sz w:val="20"/>
                <w:szCs w:val="20"/>
                <w:color w:val="auto"/>
              </w:rPr>
            </w:pPr>
            <w:r>
              <w:rPr>
                <w:rFonts w:ascii="Arial" w:cs="Arial" w:eastAsia="Arial" w:hAnsi="Arial"/>
                <w:sz w:val="18"/>
                <w:szCs w:val="18"/>
                <w:color w:val="auto"/>
                <w:w w:val="87"/>
              </w:rPr>
              <w:t>%</w:t>
            </w:r>
          </w:p>
        </w:tc>
        <w:tc>
          <w:tcPr>
            <w:tcW w:w="214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81.3</w:t>
            </w:r>
          </w:p>
        </w:tc>
        <w:tc>
          <w:tcPr>
            <w:tcW w:w="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1460" w:type="dxa"/>
            <w:vAlign w:val="bottom"/>
            <w:gridSpan w:val="2"/>
          </w:tcPr>
          <w:p>
            <w:pPr>
              <w:jc w:val="right"/>
              <w:ind w:right="530"/>
              <w:spacing w:after="0" w:line="202" w:lineRule="exact"/>
              <w:rPr>
                <w:sz w:val="20"/>
                <w:szCs w:val="20"/>
                <w:color w:val="auto"/>
              </w:rPr>
            </w:pPr>
            <w:r>
              <w:rPr>
                <w:rFonts w:ascii="Arial" w:cs="Arial" w:eastAsia="Arial" w:hAnsi="Arial"/>
                <w:sz w:val="18"/>
                <w:szCs w:val="18"/>
                <w:color w:val="auto"/>
              </w:rPr>
              <w:t>15.7 %</w:t>
            </w:r>
          </w:p>
        </w:tc>
        <w:tc>
          <w:tcPr>
            <w:tcW w:w="2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18.7 %</w:t>
            </w:r>
          </w:p>
        </w:tc>
      </w:tr>
      <w:tr>
        <w:trPr>
          <w:trHeight w:val="202"/>
        </w:trPr>
        <w:tc>
          <w:tcPr>
            <w:tcW w:w="480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Services and other</w:t>
            </w:r>
          </w:p>
        </w:tc>
        <w:tc>
          <w:tcPr>
            <w:tcW w:w="1480" w:type="dxa"/>
            <w:vAlign w:val="bottom"/>
            <w:shd w:val="clear" w:color="auto" w:fill="D5E6F7"/>
          </w:tcPr>
          <w:p>
            <w:pPr>
              <w:spacing w:after="0"/>
              <w:rPr>
                <w:sz w:val="17"/>
                <w:szCs w:val="17"/>
                <w:color w:val="auto"/>
              </w:rPr>
            </w:pPr>
          </w:p>
        </w:tc>
        <w:tc>
          <w:tcPr>
            <w:tcW w:w="1460" w:type="dxa"/>
            <w:vAlign w:val="bottom"/>
            <w:gridSpan w:val="2"/>
            <w:shd w:val="clear" w:color="auto" w:fill="D5E6F7"/>
          </w:tcPr>
          <w:p>
            <w:pPr>
              <w:jc w:val="right"/>
              <w:ind w:right="530"/>
              <w:spacing w:after="0" w:line="202" w:lineRule="exact"/>
              <w:rPr>
                <w:sz w:val="20"/>
                <w:szCs w:val="20"/>
                <w:color w:val="auto"/>
              </w:rPr>
            </w:pPr>
            <w:r>
              <w:rPr>
                <w:rFonts w:ascii="Arial" w:cs="Arial" w:eastAsia="Arial" w:hAnsi="Arial"/>
                <w:sz w:val="18"/>
                <w:szCs w:val="18"/>
                <w:color w:val="auto"/>
              </w:rPr>
              <w:t>22.6 %</w:t>
            </w:r>
          </w:p>
        </w:tc>
        <w:tc>
          <w:tcPr>
            <w:tcW w:w="2360" w:type="dxa"/>
            <w:vAlign w:val="bottom"/>
            <w:gridSpan w:val="2"/>
            <w:shd w:val="clear" w:color="auto" w:fill="D5E6F7"/>
          </w:tcPr>
          <w:p>
            <w:pPr>
              <w:jc w:val="right"/>
              <w:ind w:right="150"/>
              <w:spacing w:after="0" w:line="202" w:lineRule="exact"/>
              <w:rPr>
                <w:sz w:val="20"/>
                <w:szCs w:val="20"/>
                <w:color w:val="auto"/>
              </w:rPr>
            </w:pPr>
            <w:r>
              <w:rPr>
                <w:rFonts w:ascii="Arial" w:cs="Arial" w:eastAsia="Arial" w:hAnsi="Arial"/>
                <w:sz w:val="18"/>
                <w:szCs w:val="18"/>
                <w:color w:val="auto"/>
              </w:rPr>
              <w:t>N/A</w:t>
            </w:r>
          </w:p>
        </w:tc>
      </w:tr>
      <w:tr>
        <w:trPr>
          <w:trHeight w:val="20"/>
        </w:trPr>
        <w:tc>
          <w:tcPr>
            <w:tcW w:w="4800" w:type="dxa"/>
            <w:vAlign w:val="bottom"/>
            <w:shd w:val="clear" w:color="auto" w:fill="D5E6F7"/>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D5E6F7"/>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shd w:val="clear" w:color="auto" w:fill="D5E6F7"/>
          </w:tcPr>
          <w:p>
            <w:pPr>
              <w:spacing w:after="0" w:line="20" w:lineRule="exact"/>
              <w:rPr>
                <w:sz w:val="1"/>
                <w:szCs w:val="1"/>
                <w:color w:val="auto"/>
              </w:rPr>
            </w:pPr>
          </w:p>
        </w:tc>
      </w:tr>
      <w:tr>
        <w:trPr>
          <w:trHeight w:val="196"/>
        </w:trPr>
        <w:tc>
          <w:tcPr>
            <w:tcW w:w="4800" w:type="dxa"/>
            <w:vAlign w:val="bottom"/>
          </w:tcPr>
          <w:p>
            <w:pPr>
              <w:ind w:left="200"/>
              <w:spacing w:after="0" w:line="182" w:lineRule="exact"/>
              <w:rPr>
                <w:sz w:val="20"/>
                <w:szCs w:val="20"/>
                <w:color w:val="auto"/>
              </w:rPr>
            </w:pPr>
            <w:r>
              <w:rPr>
                <w:rFonts w:ascii="Arial" w:cs="Arial" w:eastAsia="Arial" w:hAnsi="Arial"/>
                <w:sz w:val="18"/>
                <w:szCs w:val="18"/>
                <w:color w:val="auto"/>
              </w:rPr>
              <w:t>Total revenue</w:t>
            </w:r>
          </w:p>
        </w:tc>
        <w:tc>
          <w:tcPr>
            <w:tcW w:w="1480" w:type="dxa"/>
            <w:vAlign w:val="bottom"/>
          </w:tcPr>
          <w:p>
            <w:pPr>
              <w:spacing w:after="0"/>
              <w:rPr>
                <w:sz w:val="17"/>
                <w:szCs w:val="17"/>
                <w:color w:val="auto"/>
              </w:rPr>
            </w:pPr>
          </w:p>
        </w:tc>
        <w:tc>
          <w:tcPr>
            <w:tcW w:w="1460" w:type="dxa"/>
            <w:vAlign w:val="bottom"/>
            <w:gridSpan w:val="2"/>
          </w:tcPr>
          <w:p>
            <w:pPr>
              <w:jc w:val="right"/>
              <w:ind w:right="530"/>
              <w:spacing w:after="0" w:line="182" w:lineRule="exact"/>
              <w:rPr>
                <w:sz w:val="20"/>
                <w:szCs w:val="20"/>
                <w:color w:val="auto"/>
              </w:rPr>
            </w:pPr>
            <w:r>
              <w:rPr>
                <w:rFonts w:ascii="Arial" w:cs="Arial" w:eastAsia="Arial" w:hAnsi="Arial"/>
                <w:sz w:val="18"/>
                <w:szCs w:val="18"/>
                <w:color w:val="auto"/>
              </w:rPr>
              <w:t>100.0 %</w:t>
            </w:r>
          </w:p>
        </w:tc>
        <w:tc>
          <w:tcPr>
            <w:tcW w:w="2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100.0 %</w:t>
            </w:r>
          </w:p>
        </w:tc>
      </w:tr>
      <w:tr>
        <w:trPr>
          <w:trHeight w:val="20"/>
        </w:trPr>
        <w:tc>
          <w:tcPr>
            <w:tcW w:w="48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-159385</wp:posOffset>
            </wp:positionV>
            <wp:extent cx="15430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-159385</wp:posOffset>
            </wp:positionV>
            <wp:extent cx="1454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6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Total revenue increased $26.6 million, or 240.4%, during the three months ended March 31, 2022 as compared to the prior year period. The increase in revenue was driven primarily by the Cryptocurrency Datacenter and Power Generation segment, specifically our cryptocurrency datacenter operations, due to our significantly expanded miner fleet over the last year. The merger with Support.com, whereby GGH Merger Sub, Inc., a wholly owned subsidiary of Greenidge, merged with and into Support.com, Inc. (“Support.com”), with Support.com continuing as the surviving corporation (the “Merger”) and wholly-owned subsidiary of Greenidge, increased revenue $8.5 million during the three month period ended March 31, 2022 as compared to the prior year period.</w:t>
      </w:r>
    </w:p>
    <w:p>
      <w:pPr>
        <w:spacing w:after="0" w:line="14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Refer to the "Segment Discussion" of this MD&amp;A for a more detailed discussion of revenues from the Cryptocurrency Datacenter and Power Generation segment and the Support Services segment.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8"/>
              </w:rPr>
              <w:t>Three Months Ended March 31,</w:t>
            </w:r>
          </w:p>
        </w:tc>
        <w:tc>
          <w:tcPr>
            <w:tcW w:w="1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4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Cryptocurrency datacenter</w:t>
            </w:r>
          </w:p>
        </w:tc>
        <w:tc>
          <w:tcPr>
            <w:tcW w:w="320" w:type="dxa"/>
            <w:vAlign w:val="bottom"/>
            <w:shd w:val="clear" w:color="auto" w:fill="D5E6F7"/>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8,456</w:t>
            </w:r>
          </w:p>
        </w:tc>
        <w:tc>
          <w:tcPr>
            <w:tcW w:w="440" w:type="dxa"/>
            <w:vAlign w:val="bottom"/>
            <w:shd w:val="clear" w:color="auto" w:fill="D5E6F7"/>
          </w:tcPr>
          <w:p>
            <w:pPr>
              <w:spacing w:after="0"/>
              <w:rPr>
                <w:sz w:val="17"/>
                <w:szCs w:val="17"/>
                <w:color w:val="auto"/>
              </w:rPr>
            </w:pPr>
          </w:p>
        </w:tc>
        <w:tc>
          <w:tcPr>
            <w:tcW w:w="300" w:type="dxa"/>
            <w:vAlign w:val="bottom"/>
            <w:shd w:val="clear" w:color="auto" w:fill="D5E6F7"/>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2,574</w:t>
            </w:r>
          </w:p>
        </w:tc>
        <w:tc>
          <w:tcPr>
            <w:tcW w:w="420" w:type="dxa"/>
            <w:vAlign w:val="bottom"/>
            <w:shd w:val="clear" w:color="auto" w:fill="D5E6F7"/>
          </w:tcPr>
          <w:p>
            <w:pPr>
              <w:spacing w:after="0"/>
              <w:rPr>
                <w:sz w:val="17"/>
                <w:szCs w:val="17"/>
                <w:color w:val="auto"/>
              </w:rPr>
            </w:pPr>
          </w:p>
        </w:tc>
        <w:tc>
          <w:tcPr>
            <w:tcW w:w="13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228.5</w:t>
            </w:r>
          </w:p>
        </w:tc>
        <w:tc>
          <w:tcPr>
            <w:tcW w:w="2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4,023</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42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100.2 %</w:t>
            </w:r>
          </w:p>
        </w:tc>
        <w:tc>
          <w:tcPr>
            <w:tcW w:w="0" w:type="dxa"/>
            <w:vAlign w:val="bottom"/>
          </w:tcPr>
          <w:p>
            <w:pPr>
              <w:spacing w:after="0"/>
              <w:rPr>
                <w:sz w:val="1"/>
                <w:szCs w:val="1"/>
                <w:color w:val="auto"/>
              </w:rPr>
            </w:pPr>
          </w:p>
        </w:tc>
      </w:tr>
      <w:tr>
        <w:trPr>
          <w:trHeight w:val="203"/>
        </w:trPr>
        <w:tc>
          <w:tcPr>
            <w:tcW w:w="614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Services and other</w:t>
            </w:r>
          </w:p>
        </w:tc>
        <w:tc>
          <w:tcPr>
            <w:tcW w:w="320" w:type="dxa"/>
            <w:vAlign w:val="bottom"/>
            <w:tcBorders>
              <w:bottom w:val="single" w:sz="8" w:color="auto"/>
            </w:tcBorders>
            <w:shd w:val="clear" w:color="auto" w:fill="D5E6F7"/>
          </w:tcPr>
          <w:p>
            <w:pPr>
              <w:spacing w:after="0"/>
              <w:rPr>
                <w:sz w:val="17"/>
                <w:szCs w:val="17"/>
                <w:color w:val="auto"/>
              </w:rPr>
            </w:pPr>
          </w:p>
        </w:tc>
        <w:tc>
          <w:tcPr>
            <w:tcW w:w="10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4,071</w:t>
            </w:r>
          </w:p>
        </w:tc>
        <w:tc>
          <w:tcPr>
            <w:tcW w:w="440" w:type="dxa"/>
            <w:vAlign w:val="bottom"/>
            <w:tcBorders>
              <w:bottom w:val="single" w:sz="8" w:color="D5E6F7"/>
            </w:tcBorders>
            <w:shd w:val="clear" w:color="auto" w:fill="D5E6F7"/>
          </w:tcPr>
          <w:p>
            <w:pPr>
              <w:spacing w:after="0"/>
              <w:rPr>
                <w:sz w:val="17"/>
                <w:szCs w:val="17"/>
                <w:color w:val="auto"/>
              </w:rPr>
            </w:pPr>
          </w:p>
        </w:tc>
        <w:tc>
          <w:tcPr>
            <w:tcW w:w="300" w:type="dxa"/>
            <w:vAlign w:val="bottom"/>
            <w:tcBorders>
              <w:bottom w:val="single" w:sz="8" w:color="auto"/>
            </w:tcBorders>
            <w:shd w:val="clear" w:color="auto" w:fill="D5E6F7"/>
          </w:tcPr>
          <w:p>
            <w:pPr>
              <w:spacing w:after="0"/>
              <w:rPr>
                <w:sz w:val="17"/>
                <w:szCs w:val="17"/>
                <w:color w:val="auto"/>
              </w:rPr>
            </w:pPr>
          </w:p>
        </w:tc>
        <w:tc>
          <w:tcPr>
            <w:tcW w:w="10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D5E6F7"/>
            </w:tcBorders>
            <w:shd w:val="clear" w:color="auto" w:fill="D5E6F7"/>
          </w:tcPr>
          <w:p>
            <w:pPr>
              <w:spacing w:after="0"/>
              <w:rPr>
                <w:sz w:val="17"/>
                <w:szCs w:val="17"/>
                <w:color w:val="auto"/>
              </w:rPr>
            </w:pPr>
          </w:p>
        </w:tc>
        <w:tc>
          <w:tcPr>
            <w:tcW w:w="1540" w:type="dxa"/>
            <w:vAlign w:val="bottom"/>
            <w:tcBorders>
              <w:bottom w:val="single" w:sz="8" w:color="D5E6F7"/>
            </w:tcBorders>
            <w:gridSpan w:val="2"/>
            <w:shd w:val="clear" w:color="auto" w:fill="D5E6F7"/>
          </w:tcPr>
          <w:p>
            <w:pPr>
              <w:jc w:val="right"/>
              <w:ind w:right="13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6"/>
        </w:trPr>
        <w:tc>
          <w:tcPr>
            <w:tcW w:w="6140" w:type="dxa"/>
            <w:vAlign w:val="bottom"/>
          </w:tcPr>
          <w:p>
            <w:pPr>
              <w:ind w:left="200"/>
              <w:spacing w:after="0" w:line="182" w:lineRule="exact"/>
              <w:rPr>
                <w:sz w:val="20"/>
                <w:szCs w:val="20"/>
                <w:color w:val="auto"/>
              </w:rPr>
            </w:pPr>
            <w:r>
              <w:rPr>
                <w:rFonts w:ascii="Arial" w:cs="Arial" w:eastAsia="Arial" w:hAnsi="Arial"/>
                <w:sz w:val="18"/>
                <w:szCs w:val="18"/>
                <w:color w:val="auto"/>
              </w:rPr>
              <w:t>Total cost of revenue</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16,550</w:t>
            </w:r>
          </w:p>
        </w:tc>
        <w:tc>
          <w:tcPr>
            <w:tcW w:w="74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4,583</w:t>
            </w:r>
          </w:p>
        </w:tc>
        <w:tc>
          <w:tcPr>
            <w:tcW w:w="420" w:type="dxa"/>
            <w:vAlign w:val="bottom"/>
          </w:tcPr>
          <w:p>
            <w:pPr>
              <w:spacing w:after="0"/>
              <w:rPr>
                <w:sz w:val="17"/>
                <w:szCs w:val="17"/>
                <w:color w:val="auto"/>
              </w:rPr>
            </w:pPr>
          </w:p>
        </w:tc>
        <w:tc>
          <w:tcPr>
            <w:tcW w:w="1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261.1 %</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40" w:type="dxa"/>
            <w:vAlign w:val="bottom"/>
            <w:shd w:val="clear" w:color="auto" w:fill="D5E6F7"/>
          </w:tcPr>
          <w:p>
            <w:pPr>
              <w:ind w:left="320"/>
              <w:spacing w:after="0" w:line="183" w:lineRule="exact"/>
              <w:rPr>
                <w:sz w:val="20"/>
                <w:szCs w:val="20"/>
                <w:color w:val="auto"/>
              </w:rPr>
            </w:pPr>
            <w:r>
              <w:rPr>
                <w:rFonts w:ascii="Arial" w:cs="Arial" w:eastAsia="Arial" w:hAnsi="Arial"/>
                <w:sz w:val="18"/>
                <w:szCs w:val="18"/>
                <w:color w:val="auto"/>
              </w:rPr>
              <w:t>As a percentage of total revenue</w:t>
            </w:r>
          </w:p>
        </w:tc>
        <w:tc>
          <w:tcPr>
            <w:tcW w:w="320" w:type="dxa"/>
            <w:vAlign w:val="bottom"/>
            <w:shd w:val="clear" w:color="auto" w:fill="D5E6F7"/>
          </w:tcPr>
          <w:p>
            <w:pPr>
              <w:spacing w:after="0"/>
              <w:rPr>
                <w:sz w:val="15"/>
                <w:szCs w:val="15"/>
                <w:color w:val="auto"/>
              </w:rPr>
            </w:pPr>
          </w:p>
        </w:tc>
        <w:tc>
          <w:tcPr>
            <w:tcW w:w="1040" w:type="dxa"/>
            <w:vAlign w:val="bottom"/>
            <w:shd w:val="clear" w:color="auto" w:fill="D5E6F7"/>
          </w:tcPr>
          <w:p>
            <w:pPr>
              <w:jc w:val="right"/>
              <w:spacing w:after="0" w:line="183" w:lineRule="exact"/>
              <w:rPr>
                <w:sz w:val="20"/>
                <w:szCs w:val="20"/>
                <w:color w:val="auto"/>
              </w:rPr>
            </w:pPr>
            <w:r>
              <w:rPr>
                <w:rFonts w:ascii="Arial" w:cs="Arial" w:eastAsia="Arial" w:hAnsi="Arial"/>
                <w:sz w:val="18"/>
                <w:szCs w:val="18"/>
                <w:color w:val="auto"/>
              </w:rPr>
              <w:t>44.0</w:t>
            </w:r>
          </w:p>
        </w:tc>
        <w:tc>
          <w:tcPr>
            <w:tcW w:w="440" w:type="dxa"/>
            <w:vAlign w:val="bottom"/>
            <w:shd w:val="clear" w:color="auto" w:fill="D5E6F7"/>
          </w:tcPr>
          <w:p>
            <w:pPr>
              <w:jc w:val="right"/>
              <w:ind w:right="196"/>
              <w:spacing w:after="0" w:line="183" w:lineRule="exact"/>
              <w:rPr>
                <w:sz w:val="20"/>
                <w:szCs w:val="20"/>
                <w:color w:val="auto"/>
              </w:rPr>
            </w:pPr>
            <w:r>
              <w:rPr>
                <w:rFonts w:ascii="Arial" w:cs="Arial" w:eastAsia="Arial" w:hAnsi="Arial"/>
                <w:sz w:val="18"/>
                <w:szCs w:val="18"/>
                <w:color w:val="auto"/>
                <w:w w:val="87"/>
              </w:rPr>
              <w:t>%</w:t>
            </w:r>
          </w:p>
        </w:tc>
        <w:tc>
          <w:tcPr>
            <w:tcW w:w="300" w:type="dxa"/>
            <w:vAlign w:val="bottom"/>
            <w:shd w:val="clear" w:color="auto" w:fill="D5E6F7"/>
          </w:tcPr>
          <w:p>
            <w:pPr>
              <w:spacing w:after="0"/>
              <w:rPr>
                <w:sz w:val="15"/>
                <w:szCs w:val="15"/>
                <w:color w:val="auto"/>
              </w:rPr>
            </w:pPr>
          </w:p>
        </w:tc>
        <w:tc>
          <w:tcPr>
            <w:tcW w:w="1040" w:type="dxa"/>
            <w:vAlign w:val="bottom"/>
            <w:shd w:val="clear" w:color="auto" w:fill="D5E6F7"/>
          </w:tcPr>
          <w:p>
            <w:pPr>
              <w:jc w:val="right"/>
              <w:spacing w:after="0" w:line="183" w:lineRule="exact"/>
              <w:rPr>
                <w:sz w:val="20"/>
                <w:szCs w:val="20"/>
                <w:color w:val="auto"/>
              </w:rPr>
            </w:pPr>
            <w:r>
              <w:rPr>
                <w:rFonts w:ascii="Arial" w:cs="Arial" w:eastAsia="Arial" w:hAnsi="Arial"/>
                <w:sz w:val="18"/>
                <w:szCs w:val="18"/>
                <w:color w:val="auto"/>
              </w:rPr>
              <w:t>41.4</w:t>
            </w:r>
          </w:p>
        </w:tc>
        <w:tc>
          <w:tcPr>
            <w:tcW w:w="420" w:type="dxa"/>
            <w:vAlign w:val="bottom"/>
            <w:shd w:val="clear" w:color="auto" w:fill="D5E6F7"/>
          </w:tcPr>
          <w:p>
            <w:pPr>
              <w:jc w:val="right"/>
              <w:ind w:right="170"/>
              <w:spacing w:after="0" w:line="183" w:lineRule="exact"/>
              <w:rPr>
                <w:sz w:val="20"/>
                <w:szCs w:val="20"/>
                <w:color w:val="auto"/>
              </w:rPr>
            </w:pPr>
            <w:r>
              <w:rPr>
                <w:rFonts w:ascii="Arial" w:cs="Arial" w:eastAsia="Arial" w:hAnsi="Arial"/>
                <w:sz w:val="18"/>
                <w:szCs w:val="18"/>
                <w:color w:val="auto"/>
                <w:w w:val="87"/>
              </w:rPr>
              <w:t>%</w:t>
            </w:r>
          </w:p>
        </w:tc>
        <w:tc>
          <w:tcPr>
            <w:tcW w:w="1320" w:type="dxa"/>
            <w:vAlign w:val="bottom"/>
            <w:shd w:val="clear" w:color="auto" w:fill="D5E6F7"/>
          </w:tcPr>
          <w:p>
            <w:pPr>
              <w:spacing w:after="0"/>
              <w:rPr>
                <w:sz w:val="15"/>
                <w:szCs w:val="15"/>
                <w:color w:val="auto"/>
              </w:rPr>
            </w:pPr>
          </w:p>
        </w:tc>
        <w:tc>
          <w:tcPr>
            <w:tcW w:w="220" w:type="dxa"/>
            <w:vAlign w:val="bottom"/>
            <w:shd w:val="clear" w:color="auto" w:fill="D5E6F7"/>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-287655</wp:posOffset>
            </wp:positionV>
            <wp:extent cx="14605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-287655</wp:posOffset>
            </wp:positionV>
            <wp:extent cx="14605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5715"/>
                    </a:xfrm>
                    <a:prstGeom prst="rect">
                      <a:avLst/>
                    </a:prstGeom>
                    <a:noFill/>
                  </pic:spPr>
                </pic:pic>
              </a:graphicData>
            </a:graphic>
          </wp:anchor>
        </w:drawing>
      </w:r>
    </w:p>
    <w:p>
      <w:pPr>
        <w:spacing w:after="0" w:line="168" w:lineRule="exact"/>
        <w:rPr>
          <w:sz w:val="20"/>
          <w:szCs w:val="20"/>
          <w:color w:val="auto"/>
        </w:rPr>
      </w:pPr>
    </w:p>
    <w:p>
      <w:pPr>
        <w:ind w:right="440"/>
        <w:spacing w:after="0" w:line="276" w:lineRule="auto"/>
        <w:rPr>
          <w:sz w:val="20"/>
          <w:szCs w:val="20"/>
          <w:color w:val="auto"/>
        </w:rPr>
      </w:pPr>
      <w:r>
        <w:rPr>
          <w:rFonts w:ascii="Arial" w:cs="Arial" w:eastAsia="Arial" w:hAnsi="Arial"/>
          <w:sz w:val="16"/>
          <w:szCs w:val="16"/>
          <w:color w:val="auto"/>
        </w:rPr>
        <w:t>Total cost of revenue, exclusive of depreciation and amortization, increased 261.1% to $16.6 million in the three months ended March 31, 2022 as compared to the prior year period due to the significant increase in cryptocurrency datacenter fleet requiring an increase in the use of megawatt hours ("MWh"). Additionally, the cost of revenue per MWh (exclusive of depreciation and amortization) increased significantly for both cryptocurrency datacenter operations and power and capacity operations primarily due to a significant increase in the natural gas cost per dekatherm, which increased approximately 83% in the three months ended March 31, 2022 as compared to the same period of 2021. The Merger added $4.1 million to cost of revenue, or 88.9%, to total cost of revenue for the three months ended March 31, 2022 as compared to the prior year period.</w:t>
      </w:r>
    </w:p>
    <w:p>
      <w:pPr>
        <w:spacing w:after="0" w:line="148"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color w:val="auto"/>
        </w:rPr>
        <w:t>Total cost of revenue as a percentage of total revenue increased due primarily to the inclusion of the Support Services Segment, which operates at a lower margin than our Cryptocurrency Datacenter and Power Generation Segment, and also due to the impact of the higher cost of natural gas on the Cryptocurrency Datacenter and Power Generation segment.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Selling, general and administrative expenses increased $11.2 million, or 345.7%, for the three months ended March 31, 2022 as compared to the prior year period primarily due to costs related to operating as a public company and costs of corporate infrastructure to support the Company’s growth, including $2.1 million of costs related to assessing potential expansion opportunities, costs of insurance, and wages associated with increased headcount. In addition, the Merger added $2.6 million of selling, general and administrative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and other costs</w:t>
      </w:r>
    </w:p>
    <w:p>
      <w:pPr>
        <w:spacing w:after="0" w:line="19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Merger and other costs represented costs associated with the Merger, as well as professional and other fees associated with becoming a publicly traded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8" w:lineRule="exact"/>
        <w:rPr>
          <w:sz w:val="20"/>
          <w:szCs w:val="20"/>
          <w:color w:val="auto"/>
        </w:rPr>
      </w:pPr>
    </w:p>
    <w:p>
      <w:pPr>
        <w:ind w:right="700"/>
        <w:spacing w:after="0" w:line="244" w:lineRule="auto"/>
        <w:rPr>
          <w:sz w:val="20"/>
          <w:szCs w:val="20"/>
          <w:color w:val="auto"/>
        </w:rPr>
      </w:pPr>
      <w:r>
        <w:rPr>
          <w:rFonts w:ascii="Arial" w:cs="Arial" w:eastAsia="Arial" w:hAnsi="Arial"/>
          <w:sz w:val="18"/>
          <w:szCs w:val="18"/>
          <w:color w:val="auto"/>
        </w:rPr>
        <w:t>Depreciation and amortization increased $2.7 million, or 215.5%, for the three months ended March 31, 2022 as compared to the prior year period primarily due to the purchase and deployment of additional miners. Additionally, the acquisition of</w:t>
      </w: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Support.com increased depreciation and amortization by $0.3 million, or 25.8%, for the three months ended March 31, 2022 as compared to the prior 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9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Greenidge reported income from operations of $2.5 million for the three months ended March 31, 2022 as compared to $1.9 million for the three months ended March 31, 2021. The increase in the income from operations during the three months ended March 31, 2022, was driven by the increased cryptocurrency datacenter operations, partially offset by the increased natural gas cost and higher costs to support our overall growth, including costs of being a public company, expansion costs and higher depreciation and amortization.</w:t>
      </w:r>
    </w:p>
    <w:p>
      <w:pPr>
        <w:spacing w:after="0" w:line="17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Adjusted income from operations was $4.8 million for the three months ended March 31, 2022, an increase of 143.2% as compared to the same period of 2021. The improvement in adjusted operating income as compared to the same period of 2021 is primarily attributable to an increase in bitcoin mining hash rate, partially offset by higher costs, primarily the increased cost of natural gas and higher depreciation and amortization. Adjusted income from operations is a non-GAAP performance measure. A reconciliation of reported amounts to adjusted amounts can be found in the "Non-GAAP Measures and Reconciliations" section of this MD&amp;A.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5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During the three months ended March 31, 2022, Greenidge incurred other expense as compared to other income in the same period of 2021, primarily due to increased interest expense associated with the incurrence of debt to finance the expansion of the mining fleet.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 recognized an income tax benefit of $0.4 million, or an effective tax rate of 46.2%, during the three months ended March 31, 2022 and a provision for income taxes of $0.7 million, or an effective tax rate of 36.4%, during the three months ended March 31, 2021. The effective tax rate for the three months ended March 31, 2022 was different from the U.S. federal statutory rate of 21% primarily due to state income taxes and tax benefits associated with stock-based compensation. The effective tax rate for the three months ended March 31, 2021 includes the recognition of a deferred tax liability caused by the reorganization from a limited liability company to a corporation during the first quarter of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19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a result of the factors described above, Greenidge incurred a net loss of $0.4 million for the three months ended March 31, 2022 as compared to net income of $1.3 million for the three months ended March 31, 2021.</w:t>
      </w:r>
    </w:p>
    <w:p>
      <w:pPr>
        <w:spacing w:after="0" w:line="15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On an adjusted basis, excluding the after-tax impact of the Merger-related costs, costs associated with becoming a public company and expansions costs, adjusted net income during the three months ended March 31, 2022 would have been $1.3 million as compared to $1.4 million in the same period in 2021. Adjusted net income is a non-GAAP performance measure. A reconciliation of reported amounts to adjusted amounts can be found in the "Non-GAAP Measures and Reconciliations" section of this MD&amp;A.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Discussion</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following summary of revenue and segment Adjusted EBITDA provides a basis for the discussion that follows. Greenidge evaluates the performance of its reportable segments based on Adjusted EBITDA, which excludes items not indicative of ongoing</w:t>
      </w: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business trends. The reported amounts in the table below are from the Condensed Consolidated Statements of Operations and Comprehensive (Loss)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w:t>
            </w:r>
          </w:p>
        </w:tc>
        <w:tc>
          <w:tcPr>
            <w:tcW w:w="1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6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4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b w:val="1"/>
                <w:bCs w:val="1"/>
                <w:i w:val="1"/>
                <w:iCs w:val="1"/>
                <w:color w:val="auto"/>
              </w:rPr>
              <w:t>REVENUE</w:t>
            </w: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30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46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60" w:type="dxa"/>
            <w:vAlign w:val="bottom"/>
          </w:tcPr>
          <w:p>
            <w:pPr>
              <w:ind w:left="20"/>
              <w:spacing w:after="0" w:line="162" w:lineRule="exact"/>
              <w:rPr>
                <w:sz w:val="20"/>
                <w:szCs w:val="20"/>
                <w:color w:val="auto"/>
              </w:rPr>
            </w:pPr>
            <w:r>
              <w:rPr>
                <w:rFonts w:ascii="Arial" w:cs="Arial" w:eastAsia="Arial" w:hAnsi="Arial"/>
                <w:sz w:val="18"/>
                <w:szCs w:val="18"/>
                <w:color w:val="auto"/>
              </w:rPr>
              <w:t>Cryptocurrency Datacenter and</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29,155</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11,063</w:t>
            </w:r>
          </w:p>
        </w:tc>
        <w:tc>
          <w:tcPr>
            <w:tcW w:w="380" w:type="dxa"/>
            <w:vAlign w:val="bottom"/>
          </w:tcPr>
          <w:p>
            <w:pPr>
              <w:spacing w:after="0"/>
              <w:rPr>
                <w:sz w:val="14"/>
                <w:szCs w:val="14"/>
                <w:color w:val="auto"/>
              </w:rPr>
            </w:pPr>
          </w:p>
        </w:tc>
        <w:tc>
          <w:tcPr>
            <w:tcW w:w="1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Power Generation</w:t>
            </w:r>
          </w:p>
        </w:tc>
        <w:tc>
          <w:tcPr>
            <w:tcW w:w="3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Support Services</w:t>
            </w:r>
          </w:p>
        </w:tc>
        <w:tc>
          <w:tcPr>
            <w:tcW w:w="380" w:type="dxa"/>
            <w:vAlign w:val="bottom"/>
            <w:tcBorders>
              <w:bottom w:val="single" w:sz="8" w:color="auto"/>
            </w:tcBorders>
            <w:shd w:val="clear" w:color="auto" w:fill="D5E6F7"/>
          </w:tcPr>
          <w:p>
            <w:pPr>
              <w:spacing w:after="0"/>
              <w:rPr>
                <w:sz w:val="17"/>
                <w:szCs w:val="17"/>
                <w:color w:val="auto"/>
              </w:rPr>
            </w:pPr>
          </w:p>
        </w:tc>
        <w:tc>
          <w:tcPr>
            <w:tcW w:w="12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8,500</w:t>
            </w:r>
          </w:p>
        </w:tc>
        <w:tc>
          <w:tcPr>
            <w:tcW w:w="100" w:type="dxa"/>
            <w:vAlign w:val="bottom"/>
            <w:tcBorders>
              <w:bottom w:val="single" w:sz="8" w:color="D5E6F7"/>
            </w:tcBorders>
            <w:shd w:val="clear" w:color="auto" w:fill="D5E6F7"/>
          </w:tcPr>
          <w:p>
            <w:pPr>
              <w:spacing w:after="0"/>
              <w:rPr>
                <w:sz w:val="17"/>
                <w:szCs w:val="17"/>
                <w:color w:val="auto"/>
              </w:rPr>
            </w:pPr>
          </w:p>
        </w:tc>
        <w:tc>
          <w:tcPr>
            <w:tcW w:w="300" w:type="dxa"/>
            <w:vAlign w:val="bottom"/>
            <w:tcBorders>
              <w:bottom w:val="single" w:sz="8" w:color="D5E6F7"/>
            </w:tcBorders>
            <w:shd w:val="clear" w:color="auto" w:fill="D5E6F7"/>
          </w:tcPr>
          <w:p>
            <w:pPr>
              <w:spacing w:after="0"/>
              <w:rPr>
                <w:sz w:val="17"/>
                <w:szCs w:val="17"/>
                <w:color w:val="auto"/>
              </w:rPr>
            </w:pPr>
          </w:p>
        </w:tc>
        <w:tc>
          <w:tcPr>
            <w:tcW w:w="380" w:type="dxa"/>
            <w:vAlign w:val="bottom"/>
            <w:tcBorders>
              <w:bottom w:val="single" w:sz="8" w:color="auto"/>
            </w:tcBorders>
            <w:shd w:val="clear" w:color="auto" w:fill="D5E6F7"/>
          </w:tcPr>
          <w:p>
            <w:pPr>
              <w:spacing w:after="0"/>
              <w:rPr>
                <w:sz w:val="17"/>
                <w:szCs w:val="17"/>
                <w:color w:val="auto"/>
              </w:rPr>
            </w:pPr>
          </w:p>
        </w:tc>
        <w:tc>
          <w:tcPr>
            <w:tcW w:w="122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D5E6F7"/>
            </w:tcBorders>
            <w:shd w:val="clear" w:color="auto" w:fill="D5E6F7"/>
          </w:tcPr>
          <w:p>
            <w:pPr>
              <w:spacing w:after="0"/>
              <w:rPr>
                <w:sz w:val="17"/>
                <w:szCs w:val="17"/>
                <w:color w:val="auto"/>
              </w:rPr>
            </w:pPr>
          </w:p>
        </w:tc>
        <w:tc>
          <w:tcPr>
            <w:tcW w:w="1680" w:type="dxa"/>
            <w:vAlign w:val="bottom"/>
            <w:tcBorders>
              <w:bottom w:val="single" w:sz="8" w:color="D5E6F7"/>
            </w:tcBorders>
            <w:gridSpan w:val="2"/>
            <w:shd w:val="clear" w:color="auto" w:fill="D5E6F7"/>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6"/>
        </w:trPr>
        <w:tc>
          <w:tcPr>
            <w:tcW w:w="5560" w:type="dxa"/>
            <w:vAlign w:val="bottom"/>
          </w:tcPr>
          <w:p>
            <w:pPr>
              <w:ind w:left="20"/>
              <w:spacing w:after="0" w:line="182" w:lineRule="exact"/>
              <w:rPr>
                <w:sz w:val="20"/>
                <w:szCs w:val="20"/>
                <w:color w:val="auto"/>
              </w:rPr>
            </w:pPr>
            <w:r>
              <w:rPr>
                <w:rFonts w:ascii="Arial" w:cs="Arial" w:eastAsia="Arial" w:hAnsi="Arial"/>
                <w:sz w:val="18"/>
                <w:szCs w:val="18"/>
                <w:color w:val="auto"/>
              </w:rPr>
              <w:t>Total Revenue</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37,655</w:t>
            </w:r>
          </w:p>
        </w:tc>
        <w:tc>
          <w:tcPr>
            <w:tcW w:w="100" w:type="dxa"/>
            <w:vAlign w:val="bottom"/>
          </w:tcPr>
          <w:p>
            <w:pPr>
              <w:spacing w:after="0"/>
              <w:rPr>
                <w:sz w:val="17"/>
                <w:szCs w:val="17"/>
                <w:color w:val="auto"/>
              </w:rPr>
            </w:pPr>
          </w:p>
        </w:tc>
        <w:tc>
          <w:tcPr>
            <w:tcW w:w="680" w:type="dxa"/>
            <w:vAlign w:val="bottom"/>
            <w:gridSpan w:val="2"/>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11,063</w:t>
            </w:r>
          </w:p>
        </w:tc>
        <w:tc>
          <w:tcPr>
            <w:tcW w:w="380" w:type="dxa"/>
            <w:vAlign w:val="bottom"/>
          </w:tcPr>
          <w:p>
            <w:pPr>
              <w:spacing w:after="0"/>
              <w:rPr>
                <w:sz w:val="17"/>
                <w:szCs w:val="17"/>
                <w:color w:val="auto"/>
              </w:rPr>
            </w:pPr>
          </w:p>
        </w:tc>
        <w:tc>
          <w:tcPr>
            <w:tcW w:w="16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b w:val="1"/>
                <w:bCs w:val="1"/>
                <w:i w:val="1"/>
                <w:iCs w:val="1"/>
                <w:color w:val="auto"/>
              </w:rPr>
              <w:t>SEGMENT ADJUSTED EBITDA</w:t>
            </w: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30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46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60" w:type="dxa"/>
            <w:vAlign w:val="bottom"/>
          </w:tcPr>
          <w:p>
            <w:pPr>
              <w:ind w:left="20"/>
              <w:spacing w:after="0" w:line="162" w:lineRule="exact"/>
              <w:rPr>
                <w:sz w:val="20"/>
                <w:szCs w:val="20"/>
                <w:color w:val="auto"/>
              </w:rPr>
            </w:pPr>
            <w:r>
              <w:rPr>
                <w:rFonts w:ascii="Arial" w:cs="Arial" w:eastAsia="Arial" w:hAnsi="Arial"/>
                <w:sz w:val="18"/>
                <w:szCs w:val="18"/>
                <w:color w:val="auto"/>
              </w:rPr>
              <w:t>Cryptocurrency Datacenter and</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4,221</w:t>
            </w:r>
          </w:p>
        </w:tc>
        <w:tc>
          <w:tcPr>
            <w:tcW w:w="380" w:type="dxa"/>
            <w:vAlign w:val="bottom"/>
          </w:tcPr>
          <w:p>
            <w:pPr>
              <w:spacing w:after="0"/>
              <w:rPr>
                <w:sz w:val="14"/>
                <w:szCs w:val="14"/>
                <w:color w:val="auto"/>
              </w:rPr>
            </w:pPr>
          </w:p>
        </w:tc>
        <w:tc>
          <w:tcPr>
            <w:tcW w:w="1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Power Generation</w:t>
            </w:r>
          </w:p>
        </w:tc>
        <w:tc>
          <w:tcPr>
            <w:tcW w:w="3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Support Services</w:t>
            </w:r>
          </w:p>
        </w:tc>
        <w:tc>
          <w:tcPr>
            <w:tcW w:w="380" w:type="dxa"/>
            <w:vAlign w:val="bottom"/>
            <w:tcBorders>
              <w:bottom w:val="single" w:sz="8" w:color="auto"/>
            </w:tcBorders>
            <w:shd w:val="clear" w:color="auto" w:fill="D5E6F7"/>
          </w:tcPr>
          <w:p>
            <w:pPr>
              <w:spacing w:after="0"/>
              <w:rPr>
                <w:sz w:val="17"/>
                <w:szCs w:val="17"/>
                <w:color w:val="auto"/>
              </w:rPr>
            </w:pPr>
          </w:p>
        </w:tc>
        <w:tc>
          <w:tcPr>
            <w:tcW w:w="12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1,869</w:t>
            </w:r>
          </w:p>
        </w:tc>
        <w:tc>
          <w:tcPr>
            <w:tcW w:w="100" w:type="dxa"/>
            <w:vAlign w:val="bottom"/>
            <w:tcBorders>
              <w:bottom w:val="single" w:sz="8" w:color="D5E6F7"/>
            </w:tcBorders>
            <w:shd w:val="clear" w:color="auto" w:fill="D5E6F7"/>
          </w:tcPr>
          <w:p>
            <w:pPr>
              <w:spacing w:after="0"/>
              <w:rPr>
                <w:sz w:val="17"/>
                <w:szCs w:val="17"/>
                <w:color w:val="auto"/>
              </w:rPr>
            </w:pPr>
          </w:p>
        </w:tc>
        <w:tc>
          <w:tcPr>
            <w:tcW w:w="300" w:type="dxa"/>
            <w:vAlign w:val="bottom"/>
            <w:tcBorders>
              <w:bottom w:val="single" w:sz="8" w:color="D5E6F7"/>
            </w:tcBorders>
            <w:shd w:val="clear" w:color="auto" w:fill="D5E6F7"/>
          </w:tcPr>
          <w:p>
            <w:pPr>
              <w:spacing w:after="0"/>
              <w:rPr>
                <w:sz w:val="17"/>
                <w:szCs w:val="17"/>
                <w:color w:val="auto"/>
              </w:rPr>
            </w:pPr>
          </w:p>
        </w:tc>
        <w:tc>
          <w:tcPr>
            <w:tcW w:w="380" w:type="dxa"/>
            <w:vAlign w:val="bottom"/>
            <w:tcBorders>
              <w:bottom w:val="single" w:sz="8" w:color="auto"/>
            </w:tcBorders>
            <w:shd w:val="clear" w:color="auto" w:fill="D5E6F7"/>
          </w:tcPr>
          <w:p>
            <w:pPr>
              <w:spacing w:after="0"/>
              <w:rPr>
                <w:sz w:val="17"/>
                <w:szCs w:val="17"/>
                <w:color w:val="auto"/>
              </w:rPr>
            </w:pPr>
          </w:p>
        </w:tc>
        <w:tc>
          <w:tcPr>
            <w:tcW w:w="122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D5E6F7"/>
            </w:tcBorders>
            <w:shd w:val="clear" w:color="auto" w:fill="D5E6F7"/>
          </w:tcPr>
          <w:p>
            <w:pPr>
              <w:spacing w:after="0"/>
              <w:rPr>
                <w:sz w:val="17"/>
                <w:szCs w:val="17"/>
                <w:color w:val="auto"/>
              </w:rPr>
            </w:pPr>
          </w:p>
        </w:tc>
        <w:tc>
          <w:tcPr>
            <w:tcW w:w="1680" w:type="dxa"/>
            <w:vAlign w:val="bottom"/>
            <w:tcBorders>
              <w:bottom w:val="single" w:sz="8" w:color="D5E6F7"/>
            </w:tcBorders>
            <w:gridSpan w:val="2"/>
            <w:shd w:val="clear" w:color="auto" w:fill="D5E6F7"/>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6"/>
        </w:trPr>
        <w:tc>
          <w:tcPr>
            <w:tcW w:w="5560" w:type="dxa"/>
            <w:vAlign w:val="bottom"/>
          </w:tcPr>
          <w:p>
            <w:pPr>
              <w:ind w:left="20"/>
              <w:spacing w:after="0" w:line="182" w:lineRule="exact"/>
              <w:rPr>
                <w:sz w:val="20"/>
                <w:szCs w:val="20"/>
                <w:color w:val="auto"/>
              </w:rPr>
            </w:pPr>
            <w:r>
              <w:rPr>
                <w:rFonts w:ascii="Arial" w:cs="Arial" w:eastAsia="Arial" w:hAnsi="Arial"/>
                <w:sz w:val="18"/>
                <w:szCs w:val="18"/>
                <w:color w:val="auto"/>
              </w:rPr>
              <w:t>Total Adjusted EBITDA</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9,213</w:t>
            </w:r>
          </w:p>
        </w:tc>
        <w:tc>
          <w:tcPr>
            <w:tcW w:w="100" w:type="dxa"/>
            <w:vAlign w:val="bottom"/>
          </w:tcPr>
          <w:p>
            <w:pPr>
              <w:spacing w:after="0"/>
              <w:rPr>
                <w:sz w:val="17"/>
                <w:szCs w:val="17"/>
                <w:color w:val="auto"/>
              </w:rPr>
            </w:pPr>
          </w:p>
        </w:tc>
        <w:tc>
          <w:tcPr>
            <w:tcW w:w="680" w:type="dxa"/>
            <w:vAlign w:val="bottom"/>
            <w:gridSpan w:val="2"/>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4,221</w:t>
            </w:r>
          </w:p>
        </w:tc>
        <w:tc>
          <w:tcPr>
            <w:tcW w:w="380" w:type="dxa"/>
            <w:vAlign w:val="bottom"/>
          </w:tcPr>
          <w:p>
            <w:pPr>
              <w:spacing w:after="0"/>
              <w:rPr>
                <w:sz w:val="17"/>
                <w:szCs w:val="17"/>
                <w:color w:val="auto"/>
              </w:rPr>
            </w:pPr>
          </w:p>
        </w:tc>
        <w:tc>
          <w:tcPr>
            <w:tcW w:w="16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i w:val="1"/>
                <w:iCs w:val="1"/>
                <w:color w:val="auto"/>
              </w:rPr>
              <w:t>Reconciliation to (loss) income before income taxes:</w:t>
            </w:r>
          </w:p>
        </w:tc>
        <w:tc>
          <w:tcPr>
            <w:tcW w:w="380" w:type="dxa"/>
            <w:vAlign w:val="bottom"/>
            <w:shd w:val="clear" w:color="auto" w:fill="D5E6F7"/>
          </w:tcPr>
          <w:p>
            <w:pPr>
              <w:spacing w:after="0"/>
              <w:rPr>
                <w:sz w:val="17"/>
                <w:szCs w:val="17"/>
                <w:color w:val="auto"/>
              </w:rPr>
            </w:pPr>
          </w:p>
        </w:tc>
        <w:tc>
          <w:tcPr>
            <w:tcW w:w="1240" w:type="dxa"/>
            <w:vAlign w:val="bottom"/>
            <w:shd w:val="clear" w:color="auto" w:fill="D5E6F7"/>
          </w:tcPr>
          <w:p>
            <w:pPr>
              <w:spacing w:after="0"/>
              <w:rPr>
                <w:sz w:val="17"/>
                <w:szCs w:val="17"/>
                <w:color w:val="auto"/>
              </w:rPr>
            </w:pPr>
          </w:p>
        </w:tc>
        <w:tc>
          <w:tcPr>
            <w:tcW w:w="100" w:type="dxa"/>
            <w:vAlign w:val="bottom"/>
            <w:shd w:val="clear" w:color="auto" w:fill="D5E6F7"/>
          </w:tcPr>
          <w:p>
            <w:pPr>
              <w:spacing w:after="0"/>
              <w:rPr>
                <w:sz w:val="17"/>
                <w:szCs w:val="17"/>
                <w:color w:val="auto"/>
              </w:rPr>
            </w:pPr>
          </w:p>
        </w:tc>
        <w:tc>
          <w:tcPr>
            <w:tcW w:w="30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2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46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(3,978 )</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(1,261 )</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D5E6F7"/>
          </w:tcPr>
          <w:p>
            <w:pPr>
              <w:spacing w:after="0"/>
              <w:rPr>
                <w:sz w:val="17"/>
                <w:szCs w:val="17"/>
                <w:color w:val="auto"/>
              </w:rPr>
            </w:pPr>
          </w:p>
        </w:tc>
        <w:tc>
          <w:tcPr>
            <w:tcW w:w="13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(362 )</w:t>
            </w:r>
          </w:p>
        </w:tc>
        <w:tc>
          <w:tcPr>
            <w:tcW w:w="30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600" w:type="dxa"/>
            <w:vAlign w:val="bottom"/>
            <w:gridSpan w:val="2"/>
            <w:shd w:val="clear" w:color="auto" w:fill="D5E6F7"/>
          </w:tcPr>
          <w:p>
            <w:pPr>
              <w:jc w:val="right"/>
              <w:ind w:right="300"/>
              <w:spacing w:after="0" w:line="202" w:lineRule="exact"/>
              <w:rPr>
                <w:sz w:val="20"/>
                <w:szCs w:val="20"/>
                <w:color w:val="auto"/>
              </w:rPr>
            </w:pPr>
            <w:r>
              <w:rPr>
                <w:rFonts w:ascii="Arial" w:cs="Arial" w:eastAsia="Arial" w:hAnsi="Arial"/>
                <w:sz w:val="18"/>
                <w:szCs w:val="18"/>
                <w:color w:val="auto"/>
              </w:rPr>
              <w:t>(656 )</w:t>
            </w:r>
          </w:p>
        </w:tc>
        <w:tc>
          <w:tcPr>
            <w:tcW w:w="146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Merger and other costs</w:t>
            </w:r>
          </w:p>
        </w:tc>
        <w:tc>
          <w:tcPr>
            <w:tcW w:w="3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(213 )</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(105 )</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D5E6F7"/>
          </w:tcPr>
          <w:p>
            <w:pPr>
              <w:ind w:left="20"/>
              <w:spacing w:after="0" w:line="202" w:lineRule="exact"/>
              <w:rPr>
                <w:sz w:val="20"/>
                <w:szCs w:val="20"/>
                <w:color w:val="auto"/>
              </w:rPr>
            </w:pPr>
            <w:r>
              <w:rPr>
                <w:rFonts w:ascii="Arial" w:cs="Arial" w:eastAsia="Arial" w:hAnsi="Arial"/>
                <w:sz w:val="18"/>
                <w:szCs w:val="18"/>
                <w:color w:val="auto"/>
              </w:rPr>
              <w:t>Expansion costs</w:t>
            </w:r>
          </w:p>
        </w:tc>
        <w:tc>
          <w:tcPr>
            <w:tcW w:w="380" w:type="dxa"/>
            <w:vAlign w:val="bottom"/>
            <w:shd w:val="clear" w:color="auto" w:fill="D5E6F7"/>
          </w:tcPr>
          <w:p>
            <w:pPr>
              <w:spacing w:after="0"/>
              <w:rPr>
                <w:sz w:val="17"/>
                <w:szCs w:val="17"/>
                <w:color w:val="auto"/>
              </w:rPr>
            </w:pPr>
          </w:p>
        </w:tc>
        <w:tc>
          <w:tcPr>
            <w:tcW w:w="1340" w:type="dxa"/>
            <w:vAlign w:val="bottom"/>
            <w:gridSpan w:val="2"/>
            <w:shd w:val="clear" w:color="auto" w:fill="D5E6F7"/>
          </w:tcPr>
          <w:p>
            <w:pPr>
              <w:jc w:val="right"/>
              <w:spacing w:after="0" w:line="202" w:lineRule="exact"/>
              <w:rPr>
                <w:sz w:val="20"/>
                <w:szCs w:val="20"/>
                <w:color w:val="auto"/>
              </w:rPr>
            </w:pPr>
            <w:r>
              <w:rPr>
                <w:rFonts w:ascii="Arial" w:cs="Arial" w:eastAsia="Arial" w:hAnsi="Arial"/>
                <w:sz w:val="18"/>
                <w:szCs w:val="18"/>
                <w:color w:val="auto"/>
              </w:rPr>
              <w:t>(2,104 )</w:t>
            </w:r>
          </w:p>
        </w:tc>
        <w:tc>
          <w:tcPr>
            <w:tcW w:w="30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2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D5E6F7"/>
          </w:tcPr>
          <w:p>
            <w:pPr>
              <w:spacing w:after="0"/>
              <w:rPr>
                <w:sz w:val="17"/>
                <w:szCs w:val="17"/>
                <w:color w:val="auto"/>
              </w:rPr>
            </w:pPr>
          </w:p>
        </w:tc>
        <w:tc>
          <w:tcPr>
            <w:tcW w:w="1460" w:type="dxa"/>
            <w:vAlign w:val="bottom"/>
            <w:shd w:val="clear" w:color="auto" w:fill="D5E6F7"/>
          </w:tcPr>
          <w:p>
            <w:pPr>
              <w:spacing w:after="0"/>
              <w:rPr>
                <w:sz w:val="17"/>
                <w:szCs w:val="17"/>
                <w:color w:val="auto"/>
              </w:rPr>
            </w:pPr>
          </w:p>
        </w:tc>
        <w:tc>
          <w:tcPr>
            <w:tcW w:w="22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(3,353 )</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(188 )</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60" w:type="dxa"/>
            <w:vAlign w:val="bottom"/>
            <w:tcBorders>
              <w:top w:val="single" w:sz="8" w:color="D5E6F7"/>
              <w:bottom w:val="single" w:sz="8" w:color="D5E6F7"/>
            </w:tcBorders>
            <w:shd w:val="clear" w:color="auto" w:fill="D5E6F7"/>
          </w:tcPr>
          <w:p>
            <w:pPr>
              <w:ind w:left="20"/>
              <w:spacing w:after="0" w:line="182" w:lineRule="exact"/>
              <w:rPr>
                <w:sz w:val="20"/>
                <w:szCs w:val="20"/>
                <w:color w:val="auto"/>
              </w:rPr>
            </w:pPr>
            <w:r>
              <w:rPr>
                <w:rFonts w:ascii="Arial" w:cs="Arial" w:eastAsia="Arial" w:hAnsi="Arial"/>
                <w:sz w:val="18"/>
                <w:szCs w:val="18"/>
                <w:color w:val="auto"/>
              </w:rPr>
              <w:t>Consolidated (loss) income before income taxes</w:t>
            </w:r>
          </w:p>
        </w:tc>
        <w:tc>
          <w:tcPr>
            <w:tcW w:w="380" w:type="dxa"/>
            <w:vAlign w:val="bottom"/>
            <w:tcBorders>
              <w:top w:val="single" w:sz="8" w:color="auto"/>
              <w:bottom w:val="single" w:sz="8" w:color="auto"/>
            </w:tcBorders>
            <w:shd w:val="clear" w:color="auto" w:fill="D5E6F7"/>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(797</w:t>
            </w:r>
          </w:p>
        </w:tc>
        <w:tc>
          <w:tcPr>
            <w:tcW w:w="100" w:type="dxa"/>
            <w:vAlign w:val="bottom"/>
            <w:tcBorders>
              <w:top w:val="single" w:sz="8" w:color="D5E6F7"/>
              <w:bottom w:val="single" w:sz="8" w:color="D5E6F7"/>
            </w:tcBorders>
            <w:shd w:val="clear" w:color="auto" w:fill="D5E6F7"/>
          </w:tcPr>
          <w:p>
            <w:pPr>
              <w:jc w:val="right"/>
              <w:spacing w:after="0" w:line="17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D5E6F7"/>
              <w:bottom w:val="single" w:sz="8" w:color="D5E6F7"/>
            </w:tcBorders>
            <w:shd w:val="clear" w:color="auto" w:fill="D5E6F7"/>
          </w:tcPr>
          <w:p>
            <w:pPr>
              <w:spacing w:after="0"/>
              <w:rPr>
                <w:sz w:val="20"/>
                <w:szCs w:val="20"/>
                <w:color w:val="auto"/>
              </w:rPr>
            </w:pPr>
          </w:p>
        </w:tc>
        <w:tc>
          <w:tcPr>
            <w:tcW w:w="380" w:type="dxa"/>
            <w:vAlign w:val="bottom"/>
            <w:tcBorders>
              <w:top w:val="single" w:sz="8" w:color="auto"/>
              <w:bottom w:val="single" w:sz="8" w:color="auto"/>
            </w:tcBorders>
            <w:shd w:val="clear" w:color="auto" w:fill="D5E6F7"/>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2,011</w:t>
            </w:r>
          </w:p>
        </w:tc>
        <w:tc>
          <w:tcPr>
            <w:tcW w:w="380" w:type="dxa"/>
            <w:vAlign w:val="bottom"/>
            <w:tcBorders>
              <w:top w:val="single" w:sz="8" w:color="D5E6F7"/>
              <w:bottom w:val="single" w:sz="8" w:color="D5E6F7"/>
            </w:tcBorders>
            <w:shd w:val="clear" w:color="auto" w:fill="D5E6F7"/>
          </w:tcPr>
          <w:p>
            <w:pPr>
              <w:spacing w:after="0"/>
              <w:rPr>
                <w:sz w:val="20"/>
                <w:szCs w:val="20"/>
                <w:color w:val="auto"/>
              </w:rPr>
            </w:pPr>
          </w:p>
        </w:tc>
        <w:tc>
          <w:tcPr>
            <w:tcW w:w="1460" w:type="dxa"/>
            <w:vAlign w:val="bottom"/>
            <w:tcBorders>
              <w:top w:val="single" w:sz="8" w:color="D5E6F7"/>
              <w:bottom w:val="single" w:sz="8" w:color="D5E6F7"/>
            </w:tcBorders>
            <w:shd w:val="clear" w:color="auto" w:fill="D5E6F7"/>
          </w:tcPr>
          <w:p>
            <w:pPr>
              <w:spacing w:after="0"/>
              <w:rPr>
                <w:sz w:val="20"/>
                <w:szCs w:val="20"/>
                <w:color w:val="auto"/>
              </w:rPr>
            </w:pPr>
          </w:p>
        </w:tc>
        <w:tc>
          <w:tcPr>
            <w:tcW w:w="220" w:type="dxa"/>
            <w:vAlign w:val="bottom"/>
            <w:tcBorders>
              <w:top w:val="single" w:sz="8" w:color="D5E6F7"/>
              <w:bottom w:val="single" w:sz="8" w:color="D5E6F7"/>
            </w:tcBorders>
            <w:shd w:val="clear" w:color="auto" w:fill="D5E6F7"/>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-2011045</wp:posOffset>
            </wp:positionV>
            <wp:extent cx="6032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-2011045</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-1222375</wp:posOffset>
            </wp:positionV>
            <wp:extent cx="603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-1222375</wp:posOffset>
            </wp:positionV>
            <wp:extent cx="5143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-162560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Cryptocurrency Datacenter and Power Generation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key metrics associated with the Cryptocurrency Datacenter and Power Generation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gridSpan w:val="4"/>
          </w:tcPr>
          <w:p>
            <w:pPr>
              <w:ind w:left="20"/>
              <w:spacing w:after="0"/>
              <w:rPr>
                <w:sz w:val="20"/>
                <w:szCs w:val="20"/>
                <w:color w:val="auto"/>
              </w:rPr>
            </w:pPr>
            <w:r>
              <w:rPr>
                <w:rFonts w:ascii="Arial" w:cs="Arial" w:eastAsia="Arial" w:hAnsi="Arial"/>
                <w:sz w:val="16"/>
                <w:szCs w:val="16"/>
                <w:b w:val="1"/>
                <w:bCs w:val="1"/>
                <w:color w:val="auto"/>
              </w:rPr>
              <w:t>$ in thousands, except $ per MWh</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5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r>
      <w:tr>
        <w:trPr>
          <w:trHeight w:val="183"/>
        </w:trPr>
        <w:tc>
          <w:tcPr>
            <w:tcW w:w="5240" w:type="dxa"/>
            <w:vAlign w:val="bottom"/>
            <w:gridSpan w:val="4"/>
          </w:tcPr>
          <w:p>
            <w:pPr>
              <w:ind w:left="20"/>
              <w:spacing w:after="0" w:line="183" w:lineRule="exact"/>
              <w:rPr>
                <w:sz w:val="20"/>
                <w:szCs w:val="20"/>
                <w:color w:val="auto"/>
              </w:rPr>
            </w:pPr>
            <w:r>
              <w:rPr>
                <w:rFonts w:ascii="Arial" w:cs="Arial" w:eastAsia="Arial" w:hAnsi="Arial"/>
                <w:sz w:val="16"/>
                <w:szCs w:val="16"/>
                <w:b w:val="1"/>
                <w:bCs w:val="1"/>
                <w:color w:val="auto"/>
              </w:rPr>
              <w:t>and average bitcoin price</w:t>
            </w:r>
          </w:p>
        </w:tc>
        <w:tc>
          <w:tcPr>
            <w:tcW w:w="200" w:type="dxa"/>
            <w:vAlign w:val="bottom"/>
          </w:tcPr>
          <w:p>
            <w:pPr>
              <w:spacing w:after="0"/>
              <w:rPr>
                <w:sz w:val="15"/>
                <w:szCs w:val="15"/>
                <w:color w:val="auto"/>
              </w:rPr>
            </w:pPr>
          </w:p>
        </w:tc>
        <w:tc>
          <w:tcPr>
            <w:tcW w:w="1480" w:type="dxa"/>
            <w:vAlign w:val="bottom"/>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2060" w:type="dxa"/>
            <w:vAlign w:val="bottom"/>
            <w:gridSpan w:val="2"/>
          </w:tcPr>
          <w:p>
            <w:pPr>
              <w:jc w:val="right"/>
              <w:ind w:right="910"/>
              <w:spacing w:after="0"/>
              <w:rPr>
                <w:sz w:val="20"/>
                <w:szCs w:val="20"/>
                <w:color w:val="auto"/>
              </w:rPr>
            </w:pPr>
            <w:r>
              <w:rPr>
                <w:rFonts w:ascii="Arial" w:cs="Arial" w:eastAsia="Arial" w:hAnsi="Arial"/>
                <w:sz w:val="14"/>
                <w:szCs w:val="14"/>
                <w:b w:val="1"/>
                <w:bCs w:val="1"/>
                <w:color w:val="auto"/>
              </w:rPr>
              <w:t>Variance</w:t>
            </w:r>
          </w:p>
        </w:tc>
      </w:tr>
      <w:tr>
        <w:trPr>
          <w:trHeight w:val="196"/>
        </w:trPr>
        <w:tc>
          <w:tcPr>
            <w:tcW w:w="5240" w:type="dxa"/>
            <w:vAlign w:val="bottom"/>
            <w:gridSpan w:val="4"/>
            <w:shd w:val="clear" w:color="auto" w:fill="D5E6F7"/>
          </w:tcPr>
          <w:p>
            <w:pPr>
              <w:ind w:left="20"/>
              <w:spacing w:after="0" w:line="196" w:lineRule="exact"/>
              <w:rPr>
                <w:sz w:val="20"/>
                <w:szCs w:val="20"/>
                <w:color w:val="auto"/>
              </w:rPr>
            </w:pPr>
            <w:r>
              <w:rPr>
                <w:rFonts w:ascii="Arial" w:cs="Arial" w:eastAsia="Arial" w:hAnsi="Arial"/>
                <w:sz w:val="18"/>
                <w:szCs w:val="18"/>
                <w:color w:val="auto"/>
              </w:rPr>
              <w:t>Cryptocurrency datacenter</w:t>
            </w:r>
          </w:p>
        </w:tc>
        <w:tc>
          <w:tcPr>
            <w:tcW w:w="200" w:type="dxa"/>
            <w:vAlign w:val="bottom"/>
            <w:tcBorders>
              <w:top w:val="single" w:sz="8" w:color="auto"/>
            </w:tcBorders>
            <w:shd w:val="clear" w:color="auto" w:fill="D5E6F7"/>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23,232</w:t>
            </w:r>
          </w:p>
        </w:tc>
        <w:tc>
          <w:tcPr>
            <w:tcW w:w="320" w:type="dxa"/>
            <w:vAlign w:val="bottom"/>
            <w:shd w:val="clear" w:color="auto" w:fill="D5E6F7"/>
          </w:tcPr>
          <w:p>
            <w:pPr>
              <w:spacing w:after="0"/>
              <w:rPr>
                <w:sz w:val="17"/>
                <w:szCs w:val="17"/>
                <w:color w:val="auto"/>
              </w:rPr>
            </w:pPr>
          </w:p>
        </w:tc>
        <w:tc>
          <w:tcPr>
            <w:tcW w:w="380" w:type="dxa"/>
            <w:vAlign w:val="bottom"/>
            <w:tcBorders>
              <w:top w:val="single" w:sz="8" w:color="auto"/>
            </w:tcBorders>
            <w:shd w:val="clear" w:color="auto" w:fill="D5E6F7"/>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8,997</w:t>
            </w:r>
          </w:p>
        </w:tc>
        <w:tc>
          <w:tcPr>
            <w:tcW w:w="280" w:type="dxa"/>
            <w:vAlign w:val="bottom"/>
            <w:shd w:val="clear" w:color="auto" w:fill="D5E6F7"/>
          </w:tcPr>
          <w:p>
            <w:pPr>
              <w:spacing w:after="0"/>
              <w:rPr>
                <w:sz w:val="17"/>
                <w:szCs w:val="17"/>
                <w:color w:val="auto"/>
              </w:rPr>
            </w:pPr>
          </w:p>
        </w:tc>
        <w:tc>
          <w:tcPr>
            <w:tcW w:w="1560" w:type="dxa"/>
            <w:vAlign w:val="bottom"/>
            <w:tcBorders>
              <w:top w:val="single" w:sz="8" w:color="auto"/>
            </w:tcBorders>
            <w:shd w:val="clear" w:color="auto" w:fill="D5E6F7"/>
          </w:tcPr>
          <w:p>
            <w:pPr>
              <w:jc w:val="right"/>
              <w:spacing w:after="0" w:line="196" w:lineRule="exact"/>
              <w:rPr>
                <w:sz w:val="20"/>
                <w:szCs w:val="20"/>
                <w:color w:val="auto"/>
              </w:rPr>
            </w:pPr>
            <w:r>
              <w:rPr>
                <w:rFonts w:ascii="Arial" w:cs="Arial" w:eastAsia="Arial" w:hAnsi="Arial"/>
                <w:sz w:val="18"/>
                <w:szCs w:val="18"/>
                <w:color w:val="auto"/>
              </w:rPr>
              <w:t>158.2</w:t>
            </w:r>
          </w:p>
        </w:tc>
        <w:tc>
          <w:tcPr>
            <w:tcW w:w="500" w:type="dxa"/>
            <w:vAlign w:val="bottom"/>
            <w:shd w:val="clear" w:color="auto" w:fill="D5E6F7"/>
          </w:tcPr>
          <w:p>
            <w:pPr>
              <w:jc w:val="right"/>
              <w:ind w:right="25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2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Power and capacity</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5,923</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2,066</w:t>
            </w:r>
          </w:p>
        </w:tc>
        <w:tc>
          <w:tcPr>
            <w:tcW w:w="280" w:type="dxa"/>
            <w:vAlign w:val="bottom"/>
          </w:tcPr>
          <w:p>
            <w:pPr>
              <w:spacing w:after="0"/>
              <w:rPr>
                <w:sz w:val="17"/>
                <w:szCs w:val="17"/>
                <w:color w:val="auto"/>
              </w:rPr>
            </w:pPr>
          </w:p>
        </w:tc>
        <w:tc>
          <w:tcPr>
            <w:tcW w:w="20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186.7 %</w:t>
            </w:r>
          </w:p>
        </w:tc>
      </w:tr>
      <w:tr>
        <w:trPr>
          <w:trHeight w:val="236"/>
        </w:trPr>
        <w:tc>
          <w:tcPr>
            <w:tcW w:w="20" w:type="dxa"/>
            <w:vAlign w:val="bottom"/>
            <w:tcBorders>
              <w:bottom w:val="single" w:sz="8" w:color="D5E6F7"/>
            </w:tcBorders>
            <w:shd w:val="clear" w:color="auto" w:fill="D5E6F7"/>
          </w:tcPr>
          <w:p>
            <w:pPr>
              <w:spacing w:after="0"/>
              <w:rPr>
                <w:sz w:val="20"/>
                <w:szCs w:val="20"/>
                <w:color w:val="auto"/>
              </w:rPr>
            </w:pPr>
          </w:p>
        </w:tc>
        <w:tc>
          <w:tcPr>
            <w:tcW w:w="5220" w:type="dxa"/>
            <w:vAlign w:val="bottom"/>
            <w:tcBorders>
              <w:bottom w:val="single" w:sz="8" w:color="D5E6F7"/>
            </w:tcBorders>
            <w:gridSpan w:val="3"/>
            <w:shd w:val="clear" w:color="auto" w:fill="D5E6F7"/>
          </w:tcPr>
          <w:p>
            <w:pPr>
              <w:ind w:left="180"/>
              <w:spacing w:after="0" w:line="182" w:lineRule="exact"/>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D5E6F7"/>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29,155</w:t>
            </w:r>
          </w:p>
        </w:tc>
        <w:tc>
          <w:tcPr>
            <w:tcW w:w="320" w:type="dxa"/>
            <w:vAlign w:val="bottom"/>
            <w:tcBorders>
              <w:bottom w:val="single" w:sz="8" w:color="D5E6F7"/>
            </w:tcBorders>
            <w:shd w:val="clear" w:color="auto" w:fill="D5E6F7"/>
          </w:tcPr>
          <w:p>
            <w:pPr>
              <w:spacing w:after="0"/>
              <w:rPr>
                <w:sz w:val="20"/>
                <w:szCs w:val="20"/>
                <w:color w:val="auto"/>
              </w:rPr>
            </w:pPr>
          </w:p>
        </w:tc>
        <w:tc>
          <w:tcPr>
            <w:tcW w:w="380" w:type="dxa"/>
            <w:vAlign w:val="bottom"/>
            <w:tcBorders>
              <w:bottom w:val="single" w:sz="8" w:color="auto"/>
            </w:tcBorders>
            <w:shd w:val="clear" w:color="auto" w:fill="D5E6F7"/>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11,063</w:t>
            </w:r>
          </w:p>
        </w:tc>
        <w:tc>
          <w:tcPr>
            <w:tcW w:w="280" w:type="dxa"/>
            <w:vAlign w:val="bottom"/>
            <w:tcBorders>
              <w:bottom w:val="single" w:sz="8" w:color="D5E6F7"/>
            </w:tcBorders>
            <w:shd w:val="clear" w:color="auto" w:fill="D5E6F7"/>
          </w:tcPr>
          <w:p>
            <w:pPr>
              <w:spacing w:after="0"/>
              <w:rPr>
                <w:sz w:val="20"/>
                <w:szCs w:val="20"/>
                <w:color w:val="auto"/>
              </w:rPr>
            </w:pPr>
          </w:p>
        </w:tc>
        <w:tc>
          <w:tcPr>
            <w:tcW w:w="2060" w:type="dxa"/>
            <w:vAlign w:val="bottom"/>
            <w:tcBorders>
              <w:bottom w:val="single" w:sz="8" w:color="D5E6F7"/>
            </w:tcBorders>
            <w:gridSpan w:val="2"/>
            <w:shd w:val="clear" w:color="auto" w:fill="D5E6F7"/>
          </w:tcPr>
          <w:p>
            <w:pPr>
              <w:jc w:val="right"/>
              <w:ind w:right="250"/>
              <w:spacing w:after="0" w:line="182" w:lineRule="exact"/>
              <w:rPr>
                <w:sz w:val="20"/>
                <w:szCs w:val="20"/>
                <w:color w:val="auto"/>
              </w:rPr>
            </w:pPr>
            <w:r>
              <w:rPr>
                <w:rFonts w:ascii="Arial" w:cs="Arial" w:eastAsia="Arial" w:hAnsi="Arial"/>
                <w:sz w:val="18"/>
                <w:szCs w:val="18"/>
                <w:color w:val="auto"/>
              </w:rPr>
              <w:t>163.5 %</w:t>
            </w:r>
          </w:p>
        </w:tc>
      </w:tr>
      <w:tr>
        <w:trPr>
          <w:trHeight w:val="365"/>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MWh</w:t>
            </w:r>
          </w:p>
        </w:tc>
        <w:tc>
          <w:tcPr>
            <w:tcW w:w="47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3"/>
        </w:trPr>
        <w:tc>
          <w:tcPr>
            <w:tcW w:w="20" w:type="dxa"/>
            <w:vAlign w:val="bottom"/>
            <w:shd w:val="clear" w:color="auto" w:fill="D5E6F7"/>
          </w:tcPr>
          <w:p>
            <w:pPr>
              <w:spacing w:after="0"/>
              <w:rPr>
                <w:sz w:val="17"/>
                <w:szCs w:val="17"/>
                <w:color w:val="auto"/>
              </w:rPr>
            </w:pPr>
          </w:p>
        </w:tc>
        <w:tc>
          <w:tcPr>
            <w:tcW w:w="5220" w:type="dxa"/>
            <w:vAlign w:val="bottom"/>
            <w:gridSpan w:val="3"/>
            <w:shd w:val="clear" w:color="auto" w:fill="D5E6F7"/>
          </w:tcPr>
          <w:p>
            <w:pPr>
              <w:ind w:left="100"/>
              <w:spacing w:after="0" w:line="202" w:lineRule="exact"/>
              <w:rPr>
                <w:sz w:val="20"/>
                <w:szCs w:val="20"/>
                <w:color w:val="auto"/>
              </w:rPr>
            </w:pPr>
            <w:r>
              <w:rPr>
                <w:rFonts w:ascii="Arial" w:cs="Arial" w:eastAsia="Arial" w:hAnsi="Arial"/>
                <w:sz w:val="18"/>
                <w:szCs w:val="18"/>
                <w:color w:val="auto"/>
              </w:rPr>
              <w:t>Cryptocurrency datacenter</w:t>
            </w:r>
          </w:p>
        </w:tc>
        <w:tc>
          <w:tcPr>
            <w:tcW w:w="20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101,090</w:t>
            </w:r>
          </w:p>
        </w:tc>
        <w:tc>
          <w:tcPr>
            <w:tcW w:w="32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48,286</w:t>
            </w:r>
          </w:p>
        </w:tc>
        <w:tc>
          <w:tcPr>
            <w:tcW w:w="280" w:type="dxa"/>
            <w:vAlign w:val="bottom"/>
            <w:shd w:val="clear" w:color="auto" w:fill="D5E6F7"/>
          </w:tcPr>
          <w:p>
            <w:pPr>
              <w:spacing w:after="0"/>
              <w:rPr>
                <w:sz w:val="17"/>
                <w:szCs w:val="17"/>
                <w:color w:val="auto"/>
              </w:rPr>
            </w:pPr>
          </w:p>
        </w:tc>
        <w:tc>
          <w:tcPr>
            <w:tcW w:w="2060" w:type="dxa"/>
            <w:vAlign w:val="bottom"/>
            <w:gridSpan w:val="2"/>
            <w:shd w:val="clear" w:color="auto" w:fill="D5E6F7"/>
          </w:tcPr>
          <w:p>
            <w:pPr>
              <w:jc w:val="right"/>
              <w:ind w:right="250"/>
              <w:spacing w:after="0" w:line="202" w:lineRule="exact"/>
              <w:rPr>
                <w:sz w:val="20"/>
                <w:szCs w:val="20"/>
                <w:color w:val="auto"/>
              </w:rPr>
            </w:pPr>
            <w:r>
              <w:rPr>
                <w:rFonts w:ascii="Arial" w:cs="Arial" w:eastAsia="Arial" w:hAnsi="Arial"/>
                <w:sz w:val="18"/>
                <w:szCs w:val="18"/>
                <w:color w:val="auto"/>
              </w:rPr>
              <w:t>109.4 %</w:t>
            </w:r>
          </w:p>
        </w:tc>
      </w:tr>
      <w:tr>
        <w:trPr>
          <w:trHeight w:val="203"/>
        </w:trPr>
        <w:tc>
          <w:tcPr>
            <w:tcW w:w="20" w:type="dxa"/>
            <w:vAlign w:val="bottom"/>
          </w:tcPr>
          <w:p>
            <w:pPr>
              <w:spacing w:after="0"/>
              <w:rPr>
                <w:sz w:val="17"/>
                <w:szCs w:val="17"/>
                <w:color w:val="auto"/>
              </w:rPr>
            </w:pPr>
          </w:p>
        </w:tc>
        <w:tc>
          <w:tcPr>
            <w:tcW w:w="52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Power and capacity</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53,261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40,328</w:t>
            </w:r>
          </w:p>
        </w:tc>
        <w:tc>
          <w:tcPr>
            <w:tcW w:w="280" w:type="dxa"/>
            <w:vAlign w:val="bottom"/>
          </w:tcPr>
          <w:p>
            <w:pPr>
              <w:spacing w:after="0"/>
              <w:rPr>
                <w:sz w:val="17"/>
                <w:szCs w:val="17"/>
                <w:color w:val="auto"/>
              </w:rPr>
            </w:pPr>
          </w:p>
        </w:tc>
        <w:tc>
          <w:tcPr>
            <w:tcW w:w="20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32.1 %</w:t>
            </w:r>
          </w:p>
        </w:tc>
      </w:tr>
      <w:tr>
        <w:trPr>
          <w:trHeight w:val="203"/>
        </w:trPr>
        <w:tc>
          <w:tcPr>
            <w:tcW w:w="5240" w:type="dxa"/>
            <w:vAlign w:val="bottom"/>
            <w:gridSpan w:val="4"/>
            <w:shd w:val="clear" w:color="auto" w:fill="D5E6F7"/>
          </w:tcPr>
          <w:p>
            <w:pPr>
              <w:ind w:left="20"/>
              <w:spacing w:after="0" w:line="202" w:lineRule="exact"/>
              <w:rPr>
                <w:sz w:val="20"/>
                <w:szCs w:val="20"/>
                <w:color w:val="auto"/>
              </w:rPr>
            </w:pPr>
            <w:r>
              <w:rPr>
                <w:rFonts w:ascii="Arial" w:cs="Arial" w:eastAsia="Arial" w:hAnsi="Arial"/>
                <w:sz w:val="18"/>
                <w:szCs w:val="18"/>
                <w:b w:val="1"/>
                <w:bCs w:val="1"/>
                <w:i w:val="1"/>
                <w:iCs w:val="1"/>
                <w:color w:val="auto"/>
              </w:rPr>
              <w:t>Revenue per MWh</w:t>
            </w:r>
          </w:p>
        </w:tc>
        <w:tc>
          <w:tcPr>
            <w:tcW w:w="200" w:type="dxa"/>
            <w:vAlign w:val="bottom"/>
            <w:shd w:val="clear" w:color="auto" w:fill="D5E6F7"/>
          </w:tcPr>
          <w:p>
            <w:pPr>
              <w:spacing w:after="0"/>
              <w:rPr>
                <w:sz w:val="17"/>
                <w:szCs w:val="17"/>
                <w:color w:val="auto"/>
              </w:rPr>
            </w:pPr>
          </w:p>
        </w:tc>
        <w:tc>
          <w:tcPr>
            <w:tcW w:w="148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80" w:type="dxa"/>
            <w:vAlign w:val="bottom"/>
            <w:shd w:val="clear" w:color="auto" w:fill="D5E6F7"/>
          </w:tcPr>
          <w:p>
            <w:pPr>
              <w:spacing w:after="0"/>
              <w:rPr>
                <w:sz w:val="17"/>
                <w:szCs w:val="17"/>
                <w:color w:val="auto"/>
              </w:rPr>
            </w:pPr>
          </w:p>
        </w:tc>
        <w:tc>
          <w:tcPr>
            <w:tcW w:w="280" w:type="dxa"/>
            <w:vAlign w:val="bottom"/>
            <w:shd w:val="clear" w:color="auto" w:fill="D5E6F7"/>
          </w:tcPr>
          <w:p>
            <w:pPr>
              <w:spacing w:after="0"/>
              <w:rPr>
                <w:sz w:val="17"/>
                <w:szCs w:val="17"/>
                <w:color w:val="auto"/>
              </w:rPr>
            </w:pPr>
          </w:p>
        </w:tc>
        <w:tc>
          <w:tcPr>
            <w:tcW w:w="1560" w:type="dxa"/>
            <w:vAlign w:val="bottom"/>
            <w:shd w:val="clear" w:color="auto" w:fill="D5E6F7"/>
          </w:tcPr>
          <w:p>
            <w:pPr>
              <w:spacing w:after="0"/>
              <w:rPr>
                <w:sz w:val="17"/>
                <w:szCs w:val="17"/>
                <w:color w:val="auto"/>
              </w:rPr>
            </w:pPr>
          </w:p>
        </w:tc>
        <w:tc>
          <w:tcPr>
            <w:tcW w:w="500" w:type="dxa"/>
            <w:vAlign w:val="bottom"/>
            <w:shd w:val="clear" w:color="auto" w:fill="D5E6F7"/>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Cryptocurrency datacenter</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7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280" w:type="dxa"/>
            <w:vAlign w:val="bottom"/>
          </w:tcPr>
          <w:p>
            <w:pPr>
              <w:spacing w:after="0"/>
              <w:rPr>
                <w:sz w:val="17"/>
                <w:szCs w:val="17"/>
                <w:color w:val="auto"/>
              </w:rPr>
            </w:pPr>
          </w:p>
        </w:tc>
        <w:tc>
          <w:tcPr>
            <w:tcW w:w="20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23.7 %</w:t>
            </w:r>
          </w:p>
        </w:tc>
      </w:tr>
      <w:tr>
        <w:trPr>
          <w:trHeight w:val="203"/>
        </w:trPr>
        <w:tc>
          <w:tcPr>
            <w:tcW w:w="20" w:type="dxa"/>
            <w:vAlign w:val="bottom"/>
            <w:shd w:val="clear" w:color="auto" w:fill="D5E6F7"/>
          </w:tcPr>
          <w:p>
            <w:pPr>
              <w:spacing w:after="0"/>
              <w:rPr>
                <w:sz w:val="17"/>
                <w:szCs w:val="17"/>
                <w:color w:val="auto"/>
              </w:rPr>
            </w:pPr>
          </w:p>
        </w:tc>
        <w:tc>
          <w:tcPr>
            <w:tcW w:w="5220" w:type="dxa"/>
            <w:vAlign w:val="bottom"/>
            <w:gridSpan w:val="3"/>
            <w:shd w:val="clear" w:color="auto" w:fill="D5E6F7"/>
          </w:tcPr>
          <w:p>
            <w:pPr>
              <w:ind w:left="140"/>
              <w:spacing w:after="0" w:line="202" w:lineRule="exact"/>
              <w:rPr>
                <w:sz w:val="20"/>
                <w:szCs w:val="20"/>
                <w:color w:val="auto"/>
              </w:rPr>
            </w:pPr>
            <w:r>
              <w:rPr>
                <w:rFonts w:ascii="Arial" w:cs="Arial" w:eastAsia="Arial" w:hAnsi="Arial"/>
                <w:sz w:val="18"/>
                <w:szCs w:val="18"/>
                <w:color w:val="auto"/>
              </w:rPr>
              <w:t>Power and capacity</w:t>
            </w:r>
          </w:p>
        </w:tc>
        <w:tc>
          <w:tcPr>
            <w:tcW w:w="200" w:type="dxa"/>
            <w:vAlign w:val="bottom"/>
            <w:shd w:val="clear" w:color="auto" w:fill="D5E6F7"/>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111</w:t>
            </w:r>
          </w:p>
        </w:tc>
        <w:tc>
          <w:tcPr>
            <w:tcW w:w="700" w:type="dxa"/>
            <w:vAlign w:val="bottom"/>
            <w:gridSpan w:val="2"/>
            <w:shd w:val="clear" w:color="auto" w:fill="D5E6F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51</w:t>
            </w:r>
          </w:p>
        </w:tc>
        <w:tc>
          <w:tcPr>
            <w:tcW w:w="280" w:type="dxa"/>
            <w:vAlign w:val="bottom"/>
            <w:shd w:val="clear" w:color="auto" w:fill="D5E6F7"/>
          </w:tcPr>
          <w:p>
            <w:pPr>
              <w:spacing w:after="0"/>
              <w:rPr>
                <w:sz w:val="17"/>
                <w:szCs w:val="17"/>
                <w:color w:val="auto"/>
              </w:rPr>
            </w:pPr>
          </w:p>
        </w:tc>
        <w:tc>
          <w:tcPr>
            <w:tcW w:w="2060" w:type="dxa"/>
            <w:vAlign w:val="bottom"/>
            <w:gridSpan w:val="2"/>
            <w:shd w:val="clear" w:color="auto" w:fill="D5E6F7"/>
          </w:tcPr>
          <w:p>
            <w:pPr>
              <w:jc w:val="right"/>
              <w:ind w:right="250"/>
              <w:spacing w:after="0" w:line="202" w:lineRule="exact"/>
              <w:rPr>
                <w:sz w:val="20"/>
                <w:szCs w:val="20"/>
                <w:color w:val="auto"/>
              </w:rPr>
            </w:pPr>
            <w:r>
              <w:rPr>
                <w:rFonts w:ascii="Arial" w:cs="Arial" w:eastAsia="Arial" w:hAnsi="Arial"/>
                <w:sz w:val="18"/>
                <w:szCs w:val="18"/>
                <w:color w:val="auto"/>
              </w:rPr>
              <w:t>117.6 %</w:t>
            </w:r>
          </w:p>
        </w:tc>
      </w:tr>
      <w:tr>
        <w:trPr>
          <w:trHeight w:val="162"/>
        </w:trPr>
        <w:tc>
          <w:tcPr>
            <w:tcW w:w="5240" w:type="dxa"/>
            <w:vAlign w:val="bottom"/>
            <w:gridSpan w:val="4"/>
          </w:tcPr>
          <w:p>
            <w:pPr>
              <w:ind w:left="20"/>
              <w:spacing w:after="0" w:line="162" w:lineRule="exact"/>
              <w:rPr>
                <w:sz w:val="20"/>
                <w:szCs w:val="20"/>
                <w:color w:val="auto"/>
              </w:rPr>
            </w:pPr>
            <w:r>
              <w:rPr>
                <w:rFonts w:ascii="Arial" w:cs="Arial" w:eastAsia="Arial" w:hAnsi="Arial"/>
                <w:sz w:val="18"/>
                <w:szCs w:val="18"/>
                <w:b w:val="1"/>
                <w:bCs w:val="1"/>
                <w:color w:val="auto"/>
              </w:rPr>
              <w:t>Cost of revenue (exclusive of depreciation</w:t>
            </w: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ind w:left="140"/>
              <w:spacing w:after="0"/>
              <w:rPr>
                <w:sz w:val="20"/>
                <w:szCs w:val="20"/>
                <w:color w:val="auto"/>
              </w:rPr>
            </w:pPr>
            <w:r>
              <w:rPr>
                <w:rFonts w:ascii="Arial" w:cs="Arial" w:eastAsia="Arial" w:hAnsi="Arial"/>
                <w:sz w:val="18"/>
                <w:szCs w:val="18"/>
                <w:b w:val="1"/>
                <w:bCs w:val="1"/>
                <w:color w:val="auto"/>
              </w:rPr>
              <w:t>and amortization)</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3"/>
        </w:trPr>
        <w:tc>
          <w:tcPr>
            <w:tcW w:w="20" w:type="dxa"/>
            <w:vAlign w:val="bottom"/>
            <w:shd w:val="clear" w:color="auto" w:fill="D5E6F7"/>
          </w:tcPr>
          <w:p>
            <w:pPr>
              <w:spacing w:after="0"/>
              <w:rPr>
                <w:sz w:val="17"/>
                <w:szCs w:val="17"/>
                <w:color w:val="auto"/>
              </w:rPr>
            </w:pPr>
          </w:p>
        </w:tc>
        <w:tc>
          <w:tcPr>
            <w:tcW w:w="5220" w:type="dxa"/>
            <w:vAlign w:val="bottom"/>
            <w:gridSpan w:val="3"/>
            <w:shd w:val="clear" w:color="auto" w:fill="D5E6F7"/>
          </w:tcPr>
          <w:p>
            <w:pPr>
              <w:ind w:left="140"/>
              <w:spacing w:after="0" w:line="202" w:lineRule="exact"/>
              <w:rPr>
                <w:sz w:val="20"/>
                <w:szCs w:val="20"/>
                <w:color w:val="auto"/>
              </w:rPr>
            </w:pPr>
            <w:r>
              <w:rPr>
                <w:rFonts w:ascii="Arial" w:cs="Arial" w:eastAsia="Arial" w:hAnsi="Arial"/>
                <w:sz w:val="18"/>
                <w:szCs w:val="18"/>
                <w:color w:val="auto"/>
              </w:rPr>
              <w:t>Cryptocurrency datacenter</w:t>
            </w:r>
          </w:p>
        </w:tc>
        <w:tc>
          <w:tcPr>
            <w:tcW w:w="200" w:type="dxa"/>
            <w:vAlign w:val="bottom"/>
            <w:shd w:val="clear" w:color="auto" w:fill="D5E6F7"/>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8,456</w:t>
            </w:r>
          </w:p>
        </w:tc>
        <w:tc>
          <w:tcPr>
            <w:tcW w:w="700" w:type="dxa"/>
            <w:vAlign w:val="bottom"/>
            <w:gridSpan w:val="2"/>
            <w:shd w:val="clear" w:color="auto" w:fill="D5E6F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2,574</w:t>
            </w:r>
          </w:p>
        </w:tc>
        <w:tc>
          <w:tcPr>
            <w:tcW w:w="280" w:type="dxa"/>
            <w:vAlign w:val="bottom"/>
            <w:shd w:val="clear" w:color="auto" w:fill="D5E6F7"/>
          </w:tcPr>
          <w:p>
            <w:pPr>
              <w:spacing w:after="0"/>
              <w:rPr>
                <w:sz w:val="17"/>
                <w:szCs w:val="17"/>
                <w:color w:val="auto"/>
              </w:rPr>
            </w:pPr>
          </w:p>
        </w:tc>
        <w:tc>
          <w:tcPr>
            <w:tcW w:w="2060" w:type="dxa"/>
            <w:vAlign w:val="bottom"/>
            <w:gridSpan w:val="2"/>
            <w:shd w:val="clear" w:color="auto" w:fill="D5E6F7"/>
          </w:tcPr>
          <w:p>
            <w:pPr>
              <w:jc w:val="right"/>
              <w:ind w:right="250"/>
              <w:spacing w:after="0" w:line="202" w:lineRule="exact"/>
              <w:rPr>
                <w:sz w:val="20"/>
                <w:szCs w:val="20"/>
                <w:color w:val="auto"/>
              </w:rPr>
            </w:pPr>
            <w:r>
              <w:rPr>
                <w:rFonts w:ascii="Arial" w:cs="Arial" w:eastAsia="Arial" w:hAnsi="Arial"/>
                <w:sz w:val="18"/>
                <w:szCs w:val="18"/>
                <w:color w:val="auto"/>
              </w:rPr>
              <w:t>228.5 %</w:t>
            </w:r>
          </w:p>
        </w:tc>
      </w:tr>
      <w:tr>
        <w:trPr>
          <w:trHeight w:val="203"/>
        </w:trPr>
        <w:tc>
          <w:tcPr>
            <w:tcW w:w="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Power and capacity</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4,023</w:t>
            </w:r>
          </w:p>
        </w:tc>
        <w:tc>
          <w:tcPr>
            <w:tcW w:w="7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280" w:type="dxa"/>
            <w:vAlign w:val="bottom"/>
          </w:tcPr>
          <w:p>
            <w:pPr>
              <w:spacing w:after="0"/>
              <w:rPr>
                <w:sz w:val="17"/>
                <w:szCs w:val="17"/>
                <w:color w:val="auto"/>
              </w:rPr>
            </w:pPr>
          </w:p>
        </w:tc>
        <w:tc>
          <w:tcPr>
            <w:tcW w:w="20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100.2 %</w:t>
            </w:r>
          </w:p>
        </w:tc>
      </w:tr>
      <w:tr>
        <w:trPr>
          <w:trHeight w:val="162"/>
        </w:trPr>
        <w:tc>
          <w:tcPr>
            <w:tcW w:w="5240" w:type="dxa"/>
            <w:vAlign w:val="bottom"/>
            <w:gridSpan w:val="4"/>
            <w:shd w:val="clear" w:color="auto" w:fill="D5E6F7"/>
          </w:tcPr>
          <w:p>
            <w:pPr>
              <w:ind w:left="20"/>
              <w:spacing w:after="0" w:line="162" w:lineRule="exact"/>
              <w:rPr>
                <w:sz w:val="20"/>
                <w:szCs w:val="20"/>
                <w:color w:val="auto"/>
              </w:rPr>
            </w:pPr>
            <w:r>
              <w:rPr>
                <w:rFonts w:ascii="Arial" w:cs="Arial" w:eastAsia="Arial" w:hAnsi="Arial"/>
                <w:sz w:val="18"/>
                <w:szCs w:val="18"/>
                <w:b w:val="1"/>
                <w:bCs w:val="1"/>
                <w:i w:val="1"/>
                <w:iCs w:val="1"/>
                <w:color w:val="auto"/>
              </w:rPr>
              <w:t>Cost of revenue per MWh (exclusive of</w:t>
            </w:r>
          </w:p>
        </w:tc>
        <w:tc>
          <w:tcPr>
            <w:tcW w:w="200" w:type="dxa"/>
            <w:vAlign w:val="bottom"/>
            <w:shd w:val="clear" w:color="auto" w:fill="D5E6F7"/>
          </w:tcPr>
          <w:p>
            <w:pPr>
              <w:spacing w:after="0"/>
              <w:rPr>
                <w:sz w:val="14"/>
                <w:szCs w:val="14"/>
                <w:color w:val="auto"/>
              </w:rPr>
            </w:pPr>
          </w:p>
        </w:tc>
        <w:tc>
          <w:tcPr>
            <w:tcW w:w="1480" w:type="dxa"/>
            <w:vAlign w:val="bottom"/>
            <w:shd w:val="clear" w:color="auto" w:fill="D5E6F7"/>
          </w:tcPr>
          <w:p>
            <w:pPr>
              <w:spacing w:after="0"/>
              <w:rPr>
                <w:sz w:val="14"/>
                <w:szCs w:val="14"/>
                <w:color w:val="auto"/>
              </w:rPr>
            </w:pPr>
          </w:p>
        </w:tc>
        <w:tc>
          <w:tcPr>
            <w:tcW w:w="320" w:type="dxa"/>
            <w:vAlign w:val="bottom"/>
            <w:shd w:val="clear" w:color="auto" w:fill="D5E6F7"/>
          </w:tcPr>
          <w:p>
            <w:pPr>
              <w:spacing w:after="0"/>
              <w:rPr>
                <w:sz w:val="14"/>
                <w:szCs w:val="14"/>
                <w:color w:val="auto"/>
              </w:rPr>
            </w:pPr>
          </w:p>
        </w:tc>
        <w:tc>
          <w:tcPr>
            <w:tcW w:w="380" w:type="dxa"/>
            <w:vAlign w:val="bottom"/>
            <w:shd w:val="clear" w:color="auto" w:fill="D5E6F7"/>
          </w:tcPr>
          <w:p>
            <w:pPr>
              <w:spacing w:after="0"/>
              <w:rPr>
                <w:sz w:val="14"/>
                <w:szCs w:val="14"/>
                <w:color w:val="auto"/>
              </w:rPr>
            </w:pPr>
          </w:p>
        </w:tc>
        <w:tc>
          <w:tcPr>
            <w:tcW w:w="1280" w:type="dxa"/>
            <w:vAlign w:val="bottom"/>
            <w:shd w:val="clear" w:color="auto" w:fill="D5E6F7"/>
          </w:tcPr>
          <w:p>
            <w:pPr>
              <w:spacing w:after="0"/>
              <w:rPr>
                <w:sz w:val="14"/>
                <w:szCs w:val="14"/>
                <w:color w:val="auto"/>
              </w:rPr>
            </w:pPr>
          </w:p>
        </w:tc>
        <w:tc>
          <w:tcPr>
            <w:tcW w:w="280" w:type="dxa"/>
            <w:vAlign w:val="bottom"/>
            <w:shd w:val="clear" w:color="auto" w:fill="D5E6F7"/>
          </w:tcPr>
          <w:p>
            <w:pPr>
              <w:spacing w:after="0"/>
              <w:rPr>
                <w:sz w:val="14"/>
                <w:szCs w:val="14"/>
                <w:color w:val="auto"/>
              </w:rPr>
            </w:pPr>
          </w:p>
        </w:tc>
        <w:tc>
          <w:tcPr>
            <w:tcW w:w="1560" w:type="dxa"/>
            <w:vAlign w:val="bottom"/>
            <w:shd w:val="clear" w:color="auto" w:fill="D5E6F7"/>
          </w:tcPr>
          <w:p>
            <w:pPr>
              <w:spacing w:after="0"/>
              <w:rPr>
                <w:sz w:val="14"/>
                <w:szCs w:val="14"/>
                <w:color w:val="auto"/>
              </w:rPr>
            </w:pPr>
          </w:p>
        </w:tc>
        <w:tc>
          <w:tcPr>
            <w:tcW w:w="500" w:type="dxa"/>
            <w:vAlign w:val="bottom"/>
            <w:shd w:val="clear" w:color="auto" w:fill="D5E6F7"/>
          </w:tcPr>
          <w:p>
            <w:pPr>
              <w:spacing w:after="0"/>
              <w:rPr>
                <w:sz w:val="14"/>
                <w:szCs w:val="14"/>
                <w:color w:val="auto"/>
              </w:rPr>
            </w:pPr>
          </w:p>
        </w:tc>
      </w:tr>
      <w:tr>
        <w:trPr>
          <w:trHeight w:val="216"/>
        </w:trPr>
        <w:tc>
          <w:tcPr>
            <w:tcW w:w="20" w:type="dxa"/>
            <w:vAlign w:val="bottom"/>
            <w:shd w:val="clear" w:color="auto" w:fill="D5E6F7"/>
          </w:tcPr>
          <w:p>
            <w:pPr>
              <w:spacing w:after="0"/>
              <w:rPr>
                <w:sz w:val="18"/>
                <w:szCs w:val="18"/>
                <w:color w:val="auto"/>
              </w:rPr>
            </w:pPr>
          </w:p>
        </w:tc>
        <w:tc>
          <w:tcPr>
            <w:tcW w:w="5220" w:type="dxa"/>
            <w:vAlign w:val="bottom"/>
            <w:gridSpan w:val="3"/>
            <w:shd w:val="clear" w:color="auto" w:fill="D5E6F7"/>
          </w:tcPr>
          <w:p>
            <w:pPr>
              <w:ind w:left="1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200" w:type="dxa"/>
            <w:vAlign w:val="bottom"/>
            <w:shd w:val="clear" w:color="auto" w:fill="D5E6F7"/>
          </w:tcPr>
          <w:p>
            <w:pPr>
              <w:spacing w:after="0"/>
              <w:rPr>
                <w:sz w:val="18"/>
                <w:szCs w:val="18"/>
                <w:color w:val="auto"/>
              </w:rPr>
            </w:pPr>
          </w:p>
        </w:tc>
        <w:tc>
          <w:tcPr>
            <w:tcW w:w="1480" w:type="dxa"/>
            <w:vAlign w:val="bottom"/>
            <w:shd w:val="clear" w:color="auto" w:fill="D5E6F7"/>
          </w:tcPr>
          <w:p>
            <w:pPr>
              <w:spacing w:after="0"/>
              <w:rPr>
                <w:sz w:val="18"/>
                <w:szCs w:val="18"/>
                <w:color w:val="auto"/>
              </w:rPr>
            </w:pPr>
          </w:p>
        </w:tc>
        <w:tc>
          <w:tcPr>
            <w:tcW w:w="32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1280" w:type="dxa"/>
            <w:vAlign w:val="bottom"/>
            <w:shd w:val="clear" w:color="auto" w:fill="D5E6F7"/>
          </w:tcPr>
          <w:p>
            <w:pPr>
              <w:spacing w:after="0"/>
              <w:rPr>
                <w:sz w:val="18"/>
                <w:szCs w:val="18"/>
                <w:color w:val="auto"/>
              </w:rPr>
            </w:pPr>
          </w:p>
        </w:tc>
        <w:tc>
          <w:tcPr>
            <w:tcW w:w="280" w:type="dxa"/>
            <w:vAlign w:val="bottom"/>
            <w:shd w:val="clear" w:color="auto" w:fill="D5E6F7"/>
          </w:tcPr>
          <w:p>
            <w:pPr>
              <w:spacing w:after="0"/>
              <w:rPr>
                <w:sz w:val="18"/>
                <w:szCs w:val="18"/>
                <w:color w:val="auto"/>
              </w:rPr>
            </w:pPr>
          </w:p>
        </w:tc>
        <w:tc>
          <w:tcPr>
            <w:tcW w:w="1560" w:type="dxa"/>
            <w:vAlign w:val="bottom"/>
            <w:shd w:val="clear" w:color="auto" w:fill="D5E6F7"/>
          </w:tcPr>
          <w:p>
            <w:pPr>
              <w:spacing w:after="0"/>
              <w:rPr>
                <w:sz w:val="18"/>
                <w:szCs w:val="18"/>
                <w:color w:val="auto"/>
              </w:rPr>
            </w:pPr>
          </w:p>
        </w:tc>
        <w:tc>
          <w:tcPr>
            <w:tcW w:w="500" w:type="dxa"/>
            <w:vAlign w:val="bottom"/>
            <w:shd w:val="clear" w:color="auto" w:fill="D5E6F7"/>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Cryptocurrency datacenter</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7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80" w:type="dxa"/>
            <w:vAlign w:val="bottom"/>
          </w:tcPr>
          <w:p>
            <w:pPr>
              <w:spacing w:after="0"/>
              <w:rPr>
                <w:sz w:val="17"/>
                <w:szCs w:val="17"/>
                <w:color w:val="auto"/>
              </w:rPr>
            </w:pPr>
          </w:p>
        </w:tc>
        <w:tc>
          <w:tcPr>
            <w:tcW w:w="20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58.5 %</w:t>
            </w:r>
          </w:p>
        </w:tc>
      </w:tr>
      <w:tr>
        <w:trPr>
          <w:trHeight w:val="203"/>
        </w:trPr>
        <w:tc>
          <w:tcPr>
            <w:tcW w:w="20" w:type="dxa"/>
            <w:vAlign w:val="bottom"/>
            <w:shd w:val="clear" w:color="auto" w:fill="D5E6F7"/>
          </w:tcPr>
          <w:p>
            <w:pPr>
              <w:spacing w:after="0"/>
              <w:rPr>
                <w:sz w:val="17"/>
                <w:szCs w:val="17"/>
                <w:color w:val="auto"/>
              </w:rPr>
            </w:pPr>
          </w:p>
        </w:tc>
        <w:tc>
          <w:tcPr>
            <w:tcW w:w="5220" w:type="dxa"/>
            <w:vAlign w:val="bottom"/>
            <w:gridSpan w:val="3"/>
            <w:shd w:val="clear" w:color="auto" w:fill="D5E6F7"/>
          </w:tcPr>
          <w:p>
            <w:pPr>
              <w:ind w:left="140"/>
              <w:spacing w:after="0" w:line="202" w:lineRule="exact"/>
              <w:rPr>
                <w:sz w:val="20"/>
                <w:szCs w:val="20"/>
                <w:color w:val="auto"/>
              </w:rPr>
            </w:pPr>
            <w:r>
              <w:rPr>
                <w:rFonts w:ascii="Arial" w:cs="Arial" w:eastAsia="Arial" w:hAnsi="Arial"/>
                <w:sz w:val="18"/>
                <w:szCs w:val="18"/>
                <w:color w:val="auto"/>
              </w:rPr>
              <w:t>Power and capacity</w:t>
            </w:r>
          </w:p>
        </w:tc>
        <w:tc>
          <w:tcPr>
            <w:tcW w:w="200" w:type="dxa"/>
            <w:vAlign w:val="bottom"/>
            <w:shd w:val="clear" w:color="auto" w:fill="D5E6F7"/>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76</w:t>
            </w:r>
          </w:p>
        </w:tc>
        <w:tc>
          <w:tcPr>
            <w:tcW w:w="700" w:type="dxa"/>
            <w:vAlign w:val="bottom"/>
            <w:gridSpan w:val="2"/>
            <w:shd w:val="clear" w:color="auto" w:fill="D5E6F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50</w:t>
            </w:r>
          </w:p>
        </w:tc>
        <w:tc>
          <w:tcPr>
            <w:tcW w:w="280" w:type="dxa"/>
            <w:vAlign w:val="bottom"/>
            <w:shd w:val="clear" w:color="auto" w:fill="D5E6F7"/>
          </w:tcPr>
          <w:p>
            <w:pPr>
              <w:spacing w:after="0"/>
              <w:rPr>
                <w:sz w:val="17"/>
                <w:szCs w:val="17"/>
                <w:color w:val="auto"/>
              </w:rPr>
            </w:pPr>
          </w:p>
        </w:tc>
        <w:tc>
          <w:tcPr>
            <w:tcW w:w="2060" w:type="dxa"/>
            <w:vAlign w:val="bottom"/>
            <w:gridSpan w:val="2"/>
            <w:shd w:val="clear" w:color="auto" w:fill="D5E6F7"/>
          </w:tcPr>
          <w:p>
            <w:pPr>
              <w:jc w:val="right"/>
              <w:ind w:right="250"/>
              <w:spacing w:after="0" w:line="202" w:lineRule="exact"/>
              <w:rPr>
                <w:sz w:val="20"/>
                <w:szCs w:val="20"/>
                <w:color w:val="auto"/>
              </w:rPr>
            </w:pPr>
            <w:r>
              <w:rPr>
                <w:rFonts w:ascii="Arial" w:cs="Arial" w:eastAsia="Arial" w:hAnsi="Arial"/>
                <w:sz w:val="18"/>
                <w:szCs w:val="18"/>
                <w:color w:val="auto"/>
              </w:rPr>
              <w:t>52.0 %</w:t>
            </w:r>
          </w:p>
        </w:tc>
      </w:tr>
      <w:tr>
        <w:trPr>
          <w:trHeight w:val="385"/>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Cryptocurrency Datacenter Metrics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3"/>
        </w:trPr>
        <w:tc>
          <w:tcPr>
            <w:tcW w:w="20" w:type="dxa"/>
            <w:vAlign w:val="bottom"/>
            <w:shd w:val="clear" w:color="auto" w:fill="D5E6F7"/>
          </w:tcPr>
          <w:p>
            <w:pPr>
              <w:spacing w:after="0"/>
              <w:rPr>
                <w:sz w:val="17"/>
                <w:szCs w:val="17"/>
                <w:color w:val="auto"/>
              </w:rPr>
            </w:pPr>
          </w:p>
        </w:tc>
        <w:tc>
          <w:tcPr>
            <w:tcW w:w="2760" w:type="dxa"/>
            <w:vAlign w:val="bottom"/>
            <w:tcBorders>
              <w:top w:val="single" w:sz="8" w:color="auto"/>
            </w:tcBorders>
            <w:gridSpan w:val="2"/>
            <w:shd w:val="clear" w:color="auto" w:fill="D5E6F7"/>
          </w:tcPr>
          <w:p>
            <w:pPr>
              <w:spacing w:after="0" w:line="202" w:lineRule="exact"/>
              <w:rPr>
                <w:sz w:val="20"/>
                <w:szCs w:val="20"/>
                <w:color w:val="auto"/>
              </w:rPr>
            </w:pPr>
            <w:r>
              <w:rPr>
                <w:rFonts w:ascii="Arial" w:cs="Arial" w:eastAsia="Arial" w:hAnsi="Arial"/>
                <w:sz w:val="18"/>
                <w:szCs w:val="18"/>
                <w:color w:val="auto"/>
              </w:rPr>
              <w:t>Bitcoins produced</w:t>
            </w:r>
          </w:p>
        </w:tc>
        <w:tc>
          <w:tcPr>
            <w:tcW w:w="2460" w:type="dxa"/>
            <w:vAlign w:val="bottom"/>
            <w:shd w:val="clear" w:color="auto" w:fill="D5E6F7"/>
          </w:tcPr>
          <w:p>
            <w:pPr>
              <w:spacing w:after="0"/>
              <w:rPr>
                <w:sz w:val="17"/>
                <w:szCs w:val="17"/>
                <w:color w:val="auto"/>
              </w:rPr>
            </w:pPr>
          </w:p>
        </w:tc>
        <w:tc>
          <w:tcPr>
            <w:tcW w:w="200" w:type="dxa"/>
            <w:vAlign w:val="bottom"/>
            <w:shd w:val="clear" w:color="auto" w:fill="D5E6F7"/>
          </w:tcPr>
          <w:p>
            <w:pPr>
              <w:spacing w:after="0"/>
              <w:rPr>
                <w:sz w:val="17"/>
                <w:szCs w:val="17"/>
                <w:color w:val="auto"/>
              </w:rPr>
            </w:pPr>
          </w:p>
        </w:tc>
        <w:tc>
          <w:tcPr>
            <w:tcW w:w="14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561</w:t>
            </w:r>
          </w:p>
        </w:tc>
        <w:tc>
          <w:tcPr>
            <w:tcW w:w="32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8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213</w:t>
            </w:r>
          </w:p>
        </w:tc>
        <w:tc>
          <w:tcPr>
            <w:tcW w:w="280" w:type="dxa"/>
            <w:vAlign w:val="bottom"/>
            <w:shd w:val="clear" w:color="auto" w:fill="D5E6F7"/>
          </w:tcPr>
          <w:p>
            <w:pPr>
              <w:spacing w:after="0"/>
              <w:rPr>
                <w:sz w:val="17"/>
                <w:szCs w:val="17"/>
                <w:color w:val="auto"/>
              </w:rPr>
            </w:pPr>
          </w:p>
        </w:tc>
        <w:tc>
          <w:tcPr>
            <w:tcW w:w="2060" w:type="dxa"/>
            <w:vAlign w:val="bottom"/>
            <w:gridSpan w:val="2"/>
            <w:shd w:val="clear" w:color="auto" w:fill="D5E6F7"/>
          </w:tcPr>
          <w:p>
            <w:pPr>
              <w:jc w:val="right"/>
              <w:ind w:right="250"/>
              <w:spacing w:after="0" w:line="202" w:lineRule="exact"/>
              <w:rPr>
                <w:sz w:val="20"/>
                <w:szCs w:val="20"/>
                <w:color w:val="auto"/>
              </w:rPr>
            </w:pPr>
            <w:r>
              <w:rPr>
                <w:rFonts w:ascii="Arial" w:cs="Arial" w:eastAsia="Arial" w:hAnsi="Arial"/>
                <w:sz w:val="18"/>
                <w:szCs w:val="18"/>
                <w:color w:val="auto"/>
              </w:rPr>
              <w:t>163.4 %</w:t>
            </w:r>
          </w:p>
        </w:tc>
      </w:tr>
      <w:tr>
        <w:trPr>
          <w:trHeight w:val="203"/>
        </w:trPr>
        <w:tc>
          <w:tcPr>
            <w:tcW w:w="52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Average bitcoin price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41,188</w:t>
            </w:r>
          </w:p>
        </w:tc>
        <w:tc>
          <w:tcPr>
            <w:tcW w:w="7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45,211</w:t>
            </w:r>
          </w:p>
        </w:tc>
        <w:tc>
          <w:tcPr>
            <w:tcW w:w="280" w:type="dxa"/>
            <w:vAlign w:val="bottom"/>
          </w:tcPr>
          <w:p>
            <w:pPr>
              <w:spacing w:after="0"/>
              <w:rPr>
                <w:sz w:val="17"/>
                <w:szCs w:val="17"/>
                <w:color w:val="auto"/>
              </w:rPr>
            </w:pPr>
          </w:p>
        </w:tc>
        <w:tc>
          <w:tcPr>
            <w:tcW w:w="20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-8.9 %</w:t>
            </w:r>
          </w:p>
        </w:tc>
      </w:tr>
      <w:tr>
        <w:trPr>
          <w:trHeight w:val="203"/>
        </w:trPr>
        <w:tc>
          <w:tcPr>
            <w:tcW w:w="5240" w:type="dxa"/>
            <w:vAlign w:val="bottom"/>
            <w:gridSpan w:val="4"/>
            <w:shd w:val="clear" w:color="auto" w:fill="D5E6F7"/>
          </w:tcPr>
          <w:p>
            <w:pPr>
              <w:ind w:left="20"/>
              <w:spacing w:after="0" w:line="202" w:lineRule="exact"/>
              <w:rPr>
                <w:sz w:val="20"/>
                <w:szCs w:val="20"/>
                <w:color w:val="auto"/>
              </w:rPr>
            </w:pPr>
            <w:r>
              <w:rPr>
                <w:rFonts w:ascii="Arial" w:cs="Arial" w:eastAsia="Arial" w:hAnsi="Arial"/>
                <w:sz w:val="18"/>
                <w:szCs w:val="18"/>
                <w:color w:val="auto"/>
              </w:rPr>
              <w:t>Average hash rate (EH/s)</w:t>
            </w:r>
          </w:p>
        </w:tc>
        <w:tc>
          <w:tcPr>
            <w:tcW w:w="200" w:type="dxa"/>
            <w:vAlign w:val="bottom"/>
            <w:shd w:val="clear" w:color="auto" w:fill="D5E6F7"/>
          </w:tcPr>
          <w:p>
            <w:pPr>
              <w:spacing w:after="0"/>
              <w:rPr>
                <w:sz w:val="17"/>
                <w:szCs w:val="17"/>
                <w:color w:val="auto"/>
              </w:rPr>
            </w:pPr>
          </w:p>
        </w:tc>
        <w:tc>
          <w:tcPr>
            <w:tcW w:w="1480" w:type="dxa"/>
            <w:vAlign w:val="bottom"/>
            <w:shd w:val="clear" w:color="auto" w:fill="D5E6F7"/>
          </w:tcPr>
          <w:p>
            <w:pPr>
              <w:spacing w:after="0"/>
              <w:rPr>
                <w:sz w:val="17"/>
                <w:szCs w:val="17"/>
                <w:color w:val="auto"/>
              </w:rPr>
            </w:pPr>
          </w:p>
        </w:tc>
        <w:tc>
          <w:tcPr>
            <w:tcW w:w="320" w:type="dxa"/>
            <w:vAlign w:val="bottom"/>
            <w:shd w:val="clear" w:color="auto" w:fill="D5E6F7"/>
          </w:tcPr>
          <w:p>
            <w:pPr>
              <w:spacing w:after="0"/>
              <w:rPr>
                <w:sz w:val="17"/>
                <w:szCs w:val="17"/>
                <w:color w:val="auto"/>
              </w:rPr>
            </w:pPr>
          </w:p>
        </w:tc>
        <w:tc>
          <w:tcPr>
            <w:tcW w:w="380" w:type="dxa"/>
            <w:vAlign w:val="bottom"/>
            <w:shd w:val="clear" w:color="auto" w:fill="D5E6F7"/>
          </w:tcPr>
          <w:p>
            <w:pPr>
              <w:spacing w:after="0"/>
              <w:rPr>
                <w:sz w:val="17"/>
                <w:szCs w:val="17"/>
                <w:color w:val="auto"/>
              </w:rPr>
            </w:pPr>
          </w:p>
        </w:tc>
        <w:tc>
          <w:tcPr>
            <w:tcW w:w="1280" w:type="dxa"/>
            <w:vAlign w:val="bottom"/>
            <w:shd w:val="clear" w:color="auto" w:fill="D5E6F7"/>
          </w:tcPr>
          <w:p>
            <w:pPr>
              <w:spacing w:after="0"/>
              <w:rPr>
                <w:sz w:val="17"/>
                <w:szCs w:val="17"/>
                <w:color w:val="auto"/>
              </w:rPr>
            </w:pPr>
          </w:p>
        </w:tc>
        <w:tc>
          <w:tcPr>
            <w:tcW w:w="280" w:type="dxa"/>
            <w:vAlign w:val="bottom"/>
            <w:shd w:val="clear" w:color="auto" w:fill="D5E6F7"/>
          </w:tcPr>
          <w:p>
            <w:pPr>
              <w:spacing w:after="0"/>
              <w:rPr>
                <w:sz w:val="17"/>
                <w:szCs w:val="17"/>
                <w:color w:val="auto"/>
              </w:rPr>
            </w:pPr>
          </w:p>
        </w:tc>
        <w:tc>
          <w:tcPr>
            <w:tcW w:w="2060" w:type="dxa"/>
            <w:vAlign w:val="bottom"/>
            <w:gridSpan w:val="2"/>
            <w:shd w:val="clear" w:color="auto" w:fill="D5E6F7"/>
          </w:tcPr>
          <w:p>
            <w:pPr>
              <w:jc w:val="right"/>
              <w:ind w:right="250"/>
              <w:spacing w:after="0" w:line="202" w:lineRule="exact"/>
              <w:rPr>
                <w:sz w:val="20"/>
                <w:szCs w:val="20"/>
                <w:color w:val="auto"/>
              </w:rPr>
            </w:pPr>
            <w:r>
              <w:rPr>
                <w:rFonts w:ascii="Arial" w:cs="Arial" w:eastAsia="Arial" w:hAnsi="Arial"/>
                <w:sz w:val="18"/>
                <w:szCs w:val="18"/>
                <w:color w:val="auto"/>
              </w:rPr>
              <w:t>267.3 %</w:t>
            </w:r>
          </w:p>
        </w:tc>
      </w:tr>
      <w:tr>
        <w:trPr>
          <w:trHeight w:val="230"/>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Average difficulty</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jc w:val="right"/>
              <w:ind w:right="250"/>
              <w:spacing w:after="0"/>
              <w:rPr>
                <w:sz w:val="20"/>
                <w:szCs w:val="20"/>
                <w:color w:val="auto"/>
              </w:rPr>
            </w:pPr>
            <w:r>
              <w:rPr>
                <w:rFonts w:ascii="Arial" w:cs="Arial" w:eastAsia="Arial" w:hAnsi="Arial"/>
                <w:sz w:val="18"/>
                <w:szCs w:val="18"/>
                <w:color w:val="auto"/>
              </w:rPr>
              <w:t>26.4 %</w:t>
            </w:r>
          </w:p>
        </w:tc>
      </w:tr>
      <w:tr>
        <w:trPr>
          <w:trHeight w:val="39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ind w:right="1111"/>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-3034030</wp:posOffset>
            </wp:positionV>
            <wp:extent cx="431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-3016885</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-3034030</wp:posOffset>
            </wp:positionV>
            <wp:extent cx="342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-3016885</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datacenter revenue</w:t>
      </w:r>
    </w:p>
    <w:p>
      <w:pPr>
        <w:spacing w:after="0" w:line="171"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For its cryptocurrency datacenter revenue, we generate electricity on-site from our power plant located at the New York Facility and use that electricity to power ASIC miners, generating bitcoin that we then exchange for U.S. dollars or hold in our wallet. Our cryptocurrency datacenter revenue increased by $14.2 million, or 158.2%, during the three months ended March 31, 2022. Such increase was attributable to our increased mining fleet resulting in a</w:t>
      </w:r>
    </w:p>
    <w:p>
      <w:pPr>
        <w:ind w:right="320"/>
        <w:spacing w:after="0" w:line="238" w:lineRule="auto"/>
        <w:rPr>
          <w:sz w:val="20"/>
          <w:szCs w:val="20"/>
          <w:color w:val="auto"/>
        </w:rPr>
      </w:pPr>
      <w:r>
        <w:rPr>
          <w:rFonts w:ascii="Arial" w:cs="Arial" w:eastAsia="Arial" w:hAnsi="Arial"/>
          <w:sz w:val="18"/>
          <w:szCs w:val="18"/>
          <w:color w:val="auto"/>
        </w:rPr>
        <w:t>267.3% increase in the average hash rate during the three months ended March 31, 2022. The increased average hash rate, partially offset by a higher average mining difficulty, led to us producing 561 bitcoins in the first quarter of 2022 as compared to 213 bitcoins in the first quarter of 2021. The increased number of bitcoins produced, partially offset by the lower average bitcoin price in 2022, resulted in the significant growth in cryptocurrency datacenter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 revenue</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 xml:space="preserve">Power and capacity revenue </w:t>
      </w:r>
      <w:r>
        <w:rPr>
          <w:rFonts w:ascii="Arial" w:cs="Arial" w:eastAsia="Arial" w:hAnsi="Arial"/>
          <w:sz w:val="16"/>
          <w:szCs w:val="16"/>
          <w:color w:val="231F20"/>
        </w:rPr>
        <w:t>at our New York Facility i</w:t>
      </w:r>
      <w:r>
        <w:rPr>
          <w:rFonts w:ascii="Arial" w:cs="Arial" w:eastAsia="Arial" w:hAnsi="Arial"/>
          <w:sz w:val="16"/>
          <w:szCs w:val="16"/>
          <w:color w:val="auto"/>
        </w:rPr>
        <w:t>s earned when we sell capacity and energy and ancillary services to the wholesale power grid managed by the NYISO. Through these sales, we earn revenue in three streams, including: (1) power revenue received based on the hourly price of power,</w:t>
      </w:r>
    </w:p>
    <w:p>
      <w:pPr>
        <w:spacing w:after="0" w:line="1" w:lineRule="exact"/>
        <w:rPr>
          <w:sz w:val="20"/>
          <w:szCs w:val="20"/>
          <w:color w:val="auto"/>
        </w:rPr>
      </w:pPr>
    </w:p>
    <w:p>
      <w:pPr>
        <w:ind w:right="40" w:firstLine="8"/>
        <w:spacing w:after="0" w:line="254"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capacity revenue for committing to sell power to the NYISO when dispatched and (3) other ancillary service revenue received as compensation for the provision of operating reserves. Our power and capacity revenue increased 186.7% to $5.9 million during the first quarter of 2022 as a result of higher prices, signified by the higher power and capacity revenue per MWh, and an increase in volume, signified by the increase in power and capacity MWh. Due to more severe weather in the month of January 2022 as compared to 2021, we curtailed cryptocurrency datacenter operations at the New York Facility for a period of time when there was a spike in power demand, which coincided with higher prices for electricity.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17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Segment Adjusted EBITDA for the Cryptocurrency Datacenter and Power Generation segment increased to $7.3 million for the first quarter of 2022 from $4.2 million in the first quarter of 2021. The increase in segment Adjusted EBITDA was driven by the significant increase in cryptocurrency datacenter operations due to the expansion of our mining fleet, as well as the higher pricing for power during the first quarter of 2022 due to weather conditions in New York during January 2022. The increased revenue was partially offset by higher costs, including higher natural gas cost and increased administrative costs to support the business expansion.</w:t>
      </w:r>
    </w:p>
    <w:p>
      <w:pPr>
        <w:spacing w:after="0" w:line="176"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Cryptocurrency datacenter revenue per MWh and power and capacity revenue per MWh are used by management to consider the extent to which it will generate electricity to either produce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 Depreciation and amortization costs are excluded from the cost of revenue (exclusive of depreciation and amortization) per MWh metric; therefore, not all cost of revenues for cryptocurrency datacenter and power and capacity are fully reflected. To the extent any other cryptocurrency datacenters are public or may go public, the cost of revenue (exclusive of depreciation and amortization) per MWh metric may not be comparable because some competitors may include depreciation in their cost of revenue figures.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Support Services Segment</w:t>
      </w:r>
    </w:p>
    <w:p>
      <w:pPr>
        <w:spacing w:after="0" w:line="202"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Greenidge acquired Support.com, which constitutes the Support Services segment as of close of business on September 14, 2021. As such, there were no operations included in our consolidated results in the first quarter of 2021. Support Services had revenue of $8.5 million and segment Adjusted EBITDA of $1.9 million in the three months ended March 31, 2022.</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231F20"/>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goodwill and intangible assets, accounts receivable, digital assets, emissions expense and credits, environmental and asset retirement obligations and revenue recognition. Management evaluates its policies and assumptions on an ongoing basis.</w:t>
      </w:r>
    </w:p>
    <w:p>
      <w:pPr>
        <w:spacing w:after="0" w:line="15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231F20"/>
        </w:rPr>
        <w:t>Our significant accounting policies related to these accounts in the preparation of our condensed consolidated financial statements are described under the heading “Management Discussion and Analysis of Financial Condition and Results of Operations – Critical</w:t>
      </w: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231F20"/>
        </w:rPr>
        <w:t>Accounting Policies and Estimates” in our Annual Report on Form 10-K for the year ended December 31, 2021. As of the date of this filing, there were no significant changes to any of the critical accounting policies and estimates previously described in our Annual Report on Form 10-K for the year ended December 31, 2021.</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and Reconciliations</w:t>
      </w:r>
    </w:p>
    <w:p>
      <w:pPr>
        <w:spacing w:after="0" w:line="81"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GAAP.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2"/>
        </w:trPr>
        <w:tc>
          <w:tcPr>
            <w:tcW w:w="6840" w:type="dxa"/>
            <w:vAlign w:val="bottom"/>
            <w:gridSpan w:val="5"/>
          </w:tcPr>
          <w:p>
            <w:pPr>
              <w:ind w:left="20"/>
              <w:spacing w:after="0" w:line="183" w:lineRule="exact"/>
              <w:rPr>
                <w:sz w:val="20"/>
                <w:szCs w:val="20"/>
                <w:color w:val="auto"/>
              </w:rPr>
            </w:pPr>
            <w:r>
              <w:rPr>
                <w:rFonts w:ascii="Arial" w:cs="Arial" w:eastAsia="Arial" w:hAnsi="Arial"/>
                <w:sz w:val="16"/>
                <w:szCs w:val="16"/>
                <w:b w:val="1"/>
                <w:bCs w:val="1"/>
                <w:color w:val="auto"/>
              </w:rPr>
              <w:t>$ in thousands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r>
      <w:tr>
        <w:trPr>
          <w:trHeight w:val="176"/>
        </w:trPr>
        <w:tc>
          <w:tcPr>
            <w:tcW w:w="20" w:type="dxa"/>
            <w:vAlign w:val="bottom"/>
            <w:shd w:val="clear" w:color="auto" w:fill="D5E6F7"/>
          </w:tcPr>
          <w:p>
            <w:pPr>
              <w:spacing w:after="0"/>
              <w:rPr>
                <w:sz w:val="15"/>
                <w:szCs w:val="15"/>
                <w:color w:val="auto"/>
              </w:rPr>
            </w:pPr>
          </w:p>
        </w:tc>
        <w:tc>
          <w:tcPr>
            <w:tcW w:w="6820" w:type="dxa"/>
            <w:vAlign w:val="bottom"/>
            <w:gridSpan w:val="4"/>
            <w:shd w:val="clear" w:color="auto" w:fill="D5E6F7"/>
          </w:tcPr>
          <w:p>
            <w:pPr>
              <w:spacing w:after="0" w:line="169" w:lineRule="exact"/>
              <w:rPr>
                <w:sz w:val="20"/>
                <w:szCs w:val="20"/>
                <w:color w:val="auto"/>
              </w:rPr>
            </w:pPr>
            <w:r>
              <w:rPr>
                <w:rFonts w:ascii="Arial" w:cs="Arial" w:eastAsia="Arial" w:hAnsi="Arial"/>
                <w:sz w:val="18"/>
                <w:szCs w:val="18"/>
                <w:b w:val="1"/>
                <w:bCs w:val="1"/>
                <w:color w:val="auto"/>
              </w:rPr>
              <w:t>Adjusted operating income</w:t>
            </w:r>
          </w:p>
        </w:tc>
        <w:tc>
          <w:tcPr>
            <w:tcW w:w="420" w:type="dxa"/>
            <w:vAlign w:val="bottom"/>
            <w:shd w:val="clear" w:color="auto" w:fill="D5E6F7"/>
          </w:tcPr>
          <w:p>
            <w:pPr>
              <w:spacing w:after="0"/>
              <w:rPr>
                <w:sz w:val="15"/>
                <w:szCs w:val="15"/>
                <w:color w:val="auto"/>
              </w:rPr>
            </w:pPr>
          </w:p>
        </w:tc>
        <w:tc>
          <w:tcPr>
            <w:tcW w:w="1340" w:type="dxa"/>
            <w:vAlign w:val="bottom"/>
            <w:shd w:val="clear" w:color="auto" w:fill="D5E6F7"/>
          </w:tcPr>
          <w:p>
            <w:pPr>
              <w:spacing w:after="0"/>
              <w:rPr>
                <w:sz w:val="15"/>
                <w:szCs w:val="15"/>
                <w:color w:val="auto"/>
              </w:rPr>
            </w:pPr>
          </w:p>
        </w:tc>
        <w:tc>
          <w:tcPr>
            <w:tcW w:w="680" w:type="dxa"/>
            <w:vAlign w:val="bottom"/>
            <w:shd w:val="clear" w:color="auto" w:fill="D5E6F7"/>
          </w:tcPr>
          <w:p>
            <w:pPr>
              <w:spacing w:after="0"/>
              <w:rPr>
                <w:sz w:val="15"/>
                <w:szCs w:val="15"/>
                <w:color w:val="auto"/>
              </w:rPr>
            </w:pPr>
          </w:p>
        </w:tc>
        <w:tc>
          <w:tcPr>
            <w:tcW w:w="680" w:type="dxa"/>
            <w:vAlign w:val="bottom"/>
            <w:shd w:val="clear" w:color="auto" w:fill="D5E6F7"/>
          </w:tcPr>
          <w:p>
            <w:pPr>
              <w:spacing w:after="0"/>
              <w:rPr>
                <w:sz w:val="15"/>
                <w:szCs w:val="15"/>
                <w:color w:val="auto"/>
              </w:rPr>
            </w:pPr>
          </w:p>
        </w:tc>
        <w:tc>
          <w:tcPr>
            <w:tcW w:w="1060" w:type="dxa"/>
            <w:vAlign w:val="bottom"/>
            <w:shd w:val="clear" w:color="auto" w:fill="D5E6F7"/>
          </w:tcPr>
          <w:p>
            <w:pPr>
              <w:spacing w:after="0"/>
              <w:rPr>
                <w:sz w:val="15"/>
                <w:szCs w:val="15"/>
                <w:color w:val="auto"/>
              </w:rPr>
            </w:pPr>
          </w:p>
        </w:tc>
        <w:tc>
          <w:tcPr>
            <w:tcW w:w="220" w:type="dxa"/>
            <w:vAlign w:val="bottom"/>
            <w:shd w:val="clear" w:color="auto" w:fill="D5E6F7"/>
          </w:tcPr>
          <w:p>
            <w:pPr>
              <w:spacing w:after="0"/>
              <w:rPr>
                <w:sz w:val="15"/>
                <w:szCs w:val="15"/>
                <w:color w:val="auto"/>
              </w:rPr>
            </w:pPr>
          </w:p>
        </w:tc>
      </w:tr>
      <w:tr>
        <w:trPr>
          <w:trHeight w:val="203"/>
        </w:trPr>
        <w:tc>
          <w:tcPr>
            <w:tcW w:w="20" w:type="dxa"/>
            <w:vAlign w:val="bottom"/>
            <w:tcBorders>
              <w:top w:val="single" w:sz="8" w:color="D5E6F7"/>
            </w:tcBorders>
          </w:tcPr>
          <w:p>
            <w:pPr>
              <w:spacing w:after="0"/>
              <w:rPr>
                <w:sz w:val="17"/>
                <w:szCs w:val="17"/>
                <w:color w:val="auto"/>
              </w:rPr>
            </w:pPr>
          </w:p>
        </w:tc>
        <w:tc>
          <w:tcPr>
            <w:tcW w:w="208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Income from operations</w:t>
            </w:r>
          </w:p>
        </w:tc>
        <w:tc>
          <w:tcPr>
            <w:tcW w:w="4740" w:type="dxa"/>
            <w:vAlign w:val="bottom"/>
            <w:tcBorders>
              <w:top w:val="single" w:sz="8" w:color="D5E6F7"/>
            </w:tcBorders>
            <w:gridSpan w:val="2"/>
          </w:tcPr>
          <w:p>
            <w:pPr>
              <w:spacing w:after="0"/>
              <w:rPr>
                <w:sz w:val="17"/>
                <w:szCs w:val="17"/>
                <w:color w:val="auto"/>
              </w:rPr>
            </w:pPr>
          </w:p>
        </w:tc>
        <w:tc>
          <w:tcPr>
            <w:tcW w:w="420" w:type="dxa"/>
            <w:vAlign w:val="bottom"/>
            <w:tcBorders>
              <w:top w:val="single" w:sz="8" w:color="D5E6F7"/>
            </w:tcBorders>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D5E6F7"/>
            </w:tcBorders>
          </w:tcPr>
          <w:p>
            <w:pPr>
              <w:jc w:val="right"/>
              <w:spacing w:after="0" w:line="202" w:lineRule="exact"/>
              <w:rPr>
                <w:sz w:val="20"/>
                <w:szCs w:val="20"/>
                <w:color w:val="auto"/>
              </w:rPr>
            </w:pPr>
            <w:r>
              <w:rPr>
                <w:rFonts w:ascii="Arial" w:cs="Arial" w:eastAsia="Arial" w:hAnsi="Arial"/>
                <w:sz w:val="18"/>
                <w:szCs w:val="18"/>
                <w:color w:val="auto"/>
              </w:rPr>
              <w:t>2,522</w:t>
            </w:r>
          </w:p>
        </w:tc>
        <w:tc>
          <w:tcPr>
            <w:tcW w:w="680" w:type="dxa"/>
            <w:vAlign w:val="bottom"/>
            <w:tcBorders>
              <w:top w:val="single" w:sz="8" w:color="D5E6F7"/>
            </w:tcBorders>
          </w:tcPr>
          <w:p>
            <w:pPr>
              <w:spacing w:after="0"/>
              <w:rPr>
                <w:sz w:val="17"/>
                <w:szCs w:val="17"/>
                <w:color w:val="auto"/>
              </w:rPr>
            </w:pPr>
          </w:p>
        </w:tc>
        <w:tc>
          <w:tcPr>
            <w:tcW w:w="680" w:type="dxa"/>
            <w:vAlign w:val="bottom"/>
            <w:tcBorders>
              <w:top w:val="single" w:sz="8" w:color="D5E6F7"/>
            </w:tcBorders>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D5E6F7"/>
            </w:tcBorders>
          </w:tcPr>
          <w:p>
            <w:pPr>
              <w:jc w:val="right"/>
              <w:spacing w:after="0" w:line="202" w:lineRule="exact"/>
              <w:rPr>
                <w:sz w:val="20"/>
                <w:szCs w:val="20"/>
                <w:color w:val="auto"/>
              </w:rPr>
            </w:pPr>
            <w:r>
              <w:rPr>
                <w:rFonts w:ascii="Arial" w:cs="Arial" w:eastAsia="Arial" w:hAnsi="Arial"/>
                <w:sz w:val="18"/>
                <w:szCs w:val="18"/>
                <w:color w:val="auto"/>
              </w:rPr>
              <w:t>1,885</w:t>
            </w:r>
          </w:p>
        </w:tc>
        <w:tc>
          <w:tcPr>
            <w:tcW w:w="220" w:type="dxa"/>
            <w:vAlign w:val="bottom"/>
            <w:tcBorders>
              <w:top w:val="single" w:sz="8" w:color="D5E6F7"/>
            </w:tcBorders>
          </w:tcPr>
          <w:p>
            <w:pPr>
              <w:spacing w:after="0"/>
              <w:rPr>
                <w:sz w:val="17"/>
                <w:szCs w:val="17"/>
                <w:color w:val="auto"/>
              </w:rPr>
            </w:pPr>
          </w:p>
        </w:tc>
      </w:tr>
      <w:tr>
        <w:trPr>
          <w:trHeight w:val="203"/>
        </w:trPr>
        <w:tc>
          <w:tcPr>
            <w:tcW w:w="6840" w:type="dxa"/>
            <w:vAlign w:val="bottom"/>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Merger and other costs</w:t>
            </w:r>
          </w:p>
        </w:tc>
        <w:tc>
          <w:tcPr>
            <w:tcW w:w="420" w:type="dxa"/>
            <w:vAlign w:val="bottom"/>
            <w:shd w:val="clear" w:color="auto" w:fill="D5E6F7"/>
          </w:tcPr>
          <w:p>
            <w:pPr>
              <w:spacing w:after="0"/>
              <w:rPr>
                <w:sz w:val="17"/>
                <w:szCs w:val="17"/>
                <w:color w:val="auto"/>
              </w:rPr>
            </w:pPr>
          </w:p>
        </w:tc>
        <w:tc>
          <w:tcPr>
            <w:tcW w:w="13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213</w:t>
            </w:r>
          </w:p>
        </w:tc>
        <w:tc>
          <w:tcPr>
            <w:tcW w:w="680" w:type="dxa"/>
            <w:vAlign w:val="bottom"/>
            <w:shd w:val="clear" w:color="auto" w:fill="D5E6F7"/>
          </w:tcPr>
          <w:p>
            <w:pPr>
              <w:spacing w:after="0"/>
              <w:rPr>
                <w:sz w:val="17"/>
                <w:szCs w:val="17"/>
                <w:color w:val="auto"/>
              </w:rPr>
            </w:pPr>
          </w:p>
        </w:tc>
        <w:tc>
          <w:tcPr>
            <w:tcW w:w="680" w:type="dxa"/>
            <w:vAlign w:val="bottom"/>
            <w:shd w:val="clear" w:color="auto" w:fill="D5E6F7"/>
          </w:tcPr>
          <w:p>
            <w:pPr>
              <w:spacing w:after="0"/>
              <w:rPr>
                <w:sz w:val="17"/>
                <w:szCs w:val="17"/>
                <w:color w:val="auto"/>
              </w:rPr>
            </w:pPr>
          </w:p>
        </w:tc>
        <w:tc>
          <w:tcPr>
            <w:tcW w:w="10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105</w:t>
            </w:r>
          </w:p>
        </w:tc>
        <w:tc>
          <w:tcPr>
            <w:tcW w:w="220" w:type="dxa"/>
            <w:vAlign w:val="bottom"/>
            <w:shd w:val="clear" w:color="auto" w:fill="D5E6F7"/>
          </w:tcPr>
          <w:p>
            <w:pPr>
              <w:spacing w:after="0"/>
              <w:rPr>
                <w:sz w:val="17"/>
                <w:szCs w:val="17"/>
                <w:color w:val="auto"/>
              </w:rPr>
            </w:pPr>
          </w:p>
        </w:tc>
      </w:tr>
      <w:tr>
        <w:trPr>
          <w:trHeight w:val="203"/>
        </w:trPr>
        <w:tc>
          <w:tcPr>
            <w:tcW w:w="684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Expansion costs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2,104</w:t>
            </w:r>
          </w:p>
        </w:tc>
        <w:tc>
          <w:tcPr>
            <w:tcW w:w="6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36"/>
        </w:trPr>
        <w:tc>
          <w:tcPr>
            <w:tcW w:w="20" w:type="dxa"/>
            <w:vAlign w:val="bottom"/>
            <w:tcBorders>
              <w:bottom w:val="single" w:sz="8" w:color="D5E6F7"/>
            </w:tcBorders>
            <w:shd w:val="clear" w:color="auto" w:fill="D5E6F7"/>
          </w:tcPr>
          <w:p>
            <w:pPr>
              <w:spacing w:after="0"/>
              <w:rPr>
                <w:sz w:val="20"/>
                <w:szCs w:val="20"/>
                <w:color w:val="auto"/>
              </w:rPr>
            </w:pPr>
          </w:p>
        </w:tc>
        <w:tc>
          <w:tcPr>
            <w:tcW w:w="6820" w:type="dxa"/>
            <w:vAlign w:val="bottom"/>
            <w:tcBorders>
              <w:bottom w:val="single" w:sz="8" w:color="D5E6F7"/>
            </w:tcBorders>
            <w:gridSpan w:val="4"/>
            <w:shd w:val="clear" w:color="auto" w:fill="D5E6F7"/>
          </w:tcPr>
          <w:p>
            <w:pPr>
              <w:ind w:left="100"/>
              <w:spacing w:after="0" w:line="182" w:lineRule="exact"/>
              <w:rPr>
                <w:sz w:val="20"/>
                <w:szCs w:val="20"/>
                <w:color w:val="auto"/>
              </w:rPr>
            </w:pPr>
            <w:r>
              <w:rPr>
                <w:rFonts w:ascii="Arial" w:cs="Arial" w:eastAsia="Arial" w:hAnsi="Arial"/>
                <w:sz w:val="18"/>
                <w:szCs w:val="18"/>
                <w:color w:val="auto"/>
              </w:rPr>
              <w:t>Adjusted income from operations</w:t>
            </w:r>
          </w:p>
        </w:tc>
        <w:tc>
          <w:tcPr>
            <w:tcW w:w="420" w:type="dxa"/>
            <w:vAlign w:val="bottom"/>
            <w:tcBorders>
              <w:bottom w:val="single" w:sz="8" w:color="auto"/>
            </w:tcBorders>
            <w:shd w:val="clear" w:color="auto" w:fill="D5E6F7"/>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4,839</w:t>
            </w:r>
          </w:p>
        </w:tc>
        <w:tc>
          <w:tcPr>
            <w:tcW w:w="680" w:type="dxa"/>
            <w:vAlign w:val="bottom"/>
            <w:tcBorders>
              <w:bottom w:val="single" w:sz="8" w:color="D5E6F7"/>
            </w:tcBorders>
            <w:shd w:val="clear" w:color="auto" w:fill="D5E6F7"/>
          </w:tcPr>
          <w:p>
            <w:pPr>
              <w:spacing w:after="0"/>
              <w:rPr>
                <w:sz w:val="20"/>
                <w:szCs w:val="20"/>
                <w:color w:val="auto"/>
              </w:rPr>
            </w:pPr>
          </w:p>
        </w:tc>
        <w:tc>
          <w:tcPr>
            <w:tcW w:w="680" w:type="dxa"/>
            <w:vAlign w:val="bottom"/>
            <w:tcBorders>
              <w:bottom w:val="single" w:sz="8" w:color="auto"/>
            </w:tcBorders>
            <w:shd w:val="clear" w:color="auto" w:fill="D5E6F7"/>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1,990</w:t>
            </w:r>
          </w:p>
        </w:tc>
        <w:tc>
          <w:tcPr>
            <w:tcW w:w="220" w:type="dxa"/>
            <w:vAlign w:val="bottom"/>
            <w:tcBorders>
              <w:bottom w:val="single" w:sz="8" w:color="D5E6F7"/>
            </w:tcBorders>
            <w:shd w:val="clear" w:color="auto" w:fill="D5E6F7"/>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6820" w:type="dxa"/>
            <w:vAlign w:val="bottom"/>
            <w:gridSpan w:val="4"/>
          </w:tcPr>
          <w:p>
            <w:pPr>
              <w:ind w:left="180"/>
              <w:spacing w:after="0"/>
              <w:rPr>
                <w:sz w:val="20"/>
                <w:szCs w:val="20"/>
                <w:color w:val="auto"/>
              </w:rPr>
            </w:pPr>
            <w:r>
              <w:rPr>
                <w:rFonts w:ascii="Arial" w:cs="Arial" w:eastAsia="Arial" w:hAnsi="Arial"/>
                <w:sz w:val="18"/>
                <w:szCs w:val="18"/>
                <w:color w:val="auto"/>
              </w:rPr>
              <w:t>Adjusted operating margin</w:t>
            </w:r>
          </w:p>
        </w:tc>
        <w:tc>
          <w:tcPr>
            <w:tcW w:w="420" w:type="dxa"/>
            <w:vAlign w:val="bottom"/>
          </w:tcPr>
          <w:p>
            <w:pPr>
              <w:spacing w:after="0"/>
              <w:rPr>
                <w:sz w:val="18"/>
                <w:szCs w:val="18"/>
                <w:color w:val="auto"/>
              </w:rPr>
            </w:pPr>
          </w:p>
        </w:tc>
        <w:tc>
          <w:tcPr>
            <w:tcW w:w="2020" w:type="dxa"/>
            <w:vAlign w:val="bottom"/>
            <w:gridSpan w:val="2"/>
          </w:tcPr>
          <w:p>
            <w:pPr>
              <w:jc w:val="right"/>
              <w:ind w:right="520"/>
              <w:spacing w:after="0"/>
              <w:rPr>
                <w:sz w:val="20"/>
                <w:szCs w:val="20"/>
                <w:color w:val="auto"/>
              </w:rPr>
            </w:pPr>
            <w:r>
              <w:rPr>
                <w:rFonts w:ascii="Arial" w:cs="Arial" w:eastAsia="Arial" w:hAnsi="Arial"/>
                <w:sz w:val="18"/>
                <w:szCs w:val="18"/>
                <w:color w:val="auto"/>
              </w:rPr>
              <w:t>12.9 %</w:t>
            </w:r>
          </w:p>
        </w:tc>
        <w:tc>
          <w:tcPr>
            <w:tcW w:w="6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18.0 %</w:t>
            </w:r>
          </w:p>
        </w:tc>
      </w:tr>
      <w:tr>
        <w:trPr>
          <w:trHeight w:val="175"/>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3"/>
        </w:trPr>
        <w:tc>
          <w:tcPr>
            <w:tcW w:w="20" w:type="dxa"/>
            <w:vAlign w:val="bottom"/>
            <w:shd w:val="clear" w:color="auto" w:fill="D5E6F7"/>
          </w:tcPr>
          <w:p>
            <w:pPr>
              <w:spacing w:after="0"/>
              <w:rPr>
                <w:sz w:val="15"/>
                <w:szCs w:val="15"/>
                <w:color w:val="auto"/>
              </w:rPr>
            </w:pPr>
          </w:p>
        </w:tc>
        <w:tc>
          <w:tcPr>
            <w:tcW w:w="6820" w:type="dxa"/>
            <w:vAlign w:val="bottom"/>
            <w:gridSpan w:val="4"/>
            <w:shd w:val="clear" w:color="auto" w:fill="D5E6F7"/>
          </w:tcPr>
          <w:p>
            <w:pPr>
              <w:spacing w:after="0" w:line="176" w:lineRule="exact"/>
              <w:rPr>
                <w:sz w:val="20"/>
                <w:szCs w:val="20"/>
                <w:color w:val="auto"/>
              </w:rPr>
            </w:pPr>
            <w:r>
              <w:rPr>
                <w:rFonts w:ascii="Arial" w:cs="Arial" w:eastAsia="Arial" w:hAnsi="Arial"/>
                <w:sz w:val="18"/>
                <w:szCs w:val="18"/>
                <w:b w:val="1"/>
                <w:bCs w:val="1"/>
                <w:color w:val="auto"/>
              </w:rPr>
              <w:t>Adjusted net income</w:t>
            </w:r>
          </w:p>
        </w:tc>
        <w:tc>
          <w:tcPr>
            <w:tcW w:w="420" w:type="dxa"/>
            <w:vAlign w:val="bottom"/>
            <w:shd w:val="clear" w:color="auto" w:fill="D5E6F7"/>
          </w:tcPr>
          <w:p>
            <w:pPr>
              <w:spacing w:after="0"/>
              <w:rPr>
                <w:sz w:val="15"/>
                <w:szCs w:val="15"/>
                <w:color w:val="auto"/>
              </w:rPr>
            </w:pPr>
          </w:p>
        </w:tc>
        <w:tc>
          <w:tcPr>
            <w:tcW w:w="1340" w:type="dxa"/>
            <w:vAlign w:val="bottom"/>
            <w:shd w:val="clear" w:color="auto" w:fill="D5E6F7"/>
          </w:tcPr>
          <w:p>
            <w:pPr>
              <w:spacing w:after="0"/>
              <w:rPr>
                <w:sz w:val="15"/>
                <w:szCs w:val="15"/>
                <w:color w:val="auto"/>
              </w:rPr>
            </w:pPr>
          </w:p>
        </w:tc>
        <w:tc>
          <w:tcPr>
            <w:tcW w:w="680" w:type="dxa"/>
            <w:vAlign w:val="bottom"/>
            <w:shd w:val="clear" w:color="auto" w:fill="D5E6F7"/>
          </w:tcPr>
          <w:p>
            <w:pPr>
              <w:spacing w:after="0"/>
              <w:rPr>
                <w:sz w:val="15"/>
                <w:szCs w:val="15"/>
                <w:color w:val="auto"/>
              </w:rPr>
            </w:pPr>
          </w:p>
        </w:tc>
        <w:tc>
          <w:tcPr>
            <w:tcW w:w="680" w:type="dxa"/>
            <w:vAlign w:val="bottom"/>
            <w:shd w:val="clear" w:color="auto" w:fill="D5E6F7"/>
          </w:tcPr>
          <w:p>
            <w:pPr>
              <w:spacing w:after="0"/>
              <w:rPr>
                <w:sz w:val="15"/>
                <w:szCs w:val="15"/>
                <w:color w:val="auto"/>
              </w:rPr>
            </w:pPr>
          </w:p>
        </w:tc>
        <w:tc>
          <w:tcPr>
            <w:tcW w:w="1060" w:type="dxa"/>
            <w:vAlign w:val="bottom"/>
            <w:shd w:val="clear" w:color="auto" w:fill="D5E6F7"/>
          </w:tcPr>
          <w:p>
            <w:pPr>
              <w:spacing w:after="0"/>
              <w:rPr>
                <w:sz w:val="15"/>
                <w:szCs w:val="15"/>
                <w:color w:val="auto"/>
              </w:rPr>
            </w:pPr>
          </w:p>
        </w:tc>
        <w:tc>
          <w:tcPr>
            <w:tcW w:w="220" w:type="dxa"/>
            <w:vAlign w:val="bottom"/>
            <w:shd w:val="clear" w:color="auto" w:fill="D5E6F7"/>
          </w:tcPr>
          <w:p>
            <w:pPr>
              <w:spacing w:after="0"/>
              <w:rPr>
                <w:sz w:val="15"/>
                <w:szCs w:val="15"/>
                <w:color w:val="auto"/>
              </w:rPr>
            </w:pPr>
          </w:p>
        </w:tc>
      </w:tr>
      <w:tr>
        <w:trPr>
          <w:trHeight w:val="203"/>
        </w:trPr>
        <w:tc>
          <w:tcPr>
            <w:tcW w:w="20" w:type="dxa"/>
            <w:vAlign w:val="bottom"/>
            <w:tcBorders>
              <w:top w:val="single" w:sz="8" w:color="D5E6F7"/>
            </w:tcBorders>
          </w:tcPr>
          <w:p>
            <w:pPr>
              <w:spacing w:after="0"/>
              <w:rPr>
                <w:sz w:val="17"/>
                <w:szCs w:val="17"/>
                <w:color w:val="auto"/>
              </w:rPr>
            </w:pPr>
          </w:p>
        </w:tc>
        <w:tc>
          <w:tcPr>
            <w:tcW w:w="1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Net (loss) income</w:t>
            </w:r>
          </w:p>
        </w:tc>
        <w:tc>
          <w:tcPr>
            <w:tcW w:w="5240" w:type="dxa"/>
            <w:vAlign w:val="bottom"/>
            <w:tcBorders>
              <w:top w:val="single" w:sz="8" w:color="D5E6F7"/>
            </w:tcBorders>
            <w:gridSpan w:val="3"/>
          </w:tcPr>
          <w:p>
            <w:pPr>
              <w:spacing w:after="0"/>
              <w:rPr>
                <w:sz w:val="17"/>
                <w:szCs w:val="17"/>
                <w:color w:val="auto"/>
              </w:rPr>
            </w:pPr>
          </w:p>
        </w:tc>
        <w:tc>
          <w:tcPr>
            <w:tcW w:w="420" w:type="dxa"/>
            <w:vAlign w:val="bottom"/>
            <w:tcBorders>
              <w:top w:val="single" w:sz="8" w:color="D5E6F7"/>
            </w:tcBorders>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tcBorders>
              <w:top w:val="single" w:sz="8" w:color="D5E6F7"/>
            </w:tcBorders>
            <w:gridSpan w:val="2"/>
          </w:tcPr>
          <w:p>
            <w:pPr>
              <w:jc w:val="right"/>
              <w:ind w:right="620"/>
              <w:spacing w:after="0" w:line="202" w:lineRule="exact"/>
              <w:rPr>
                <w:sz w:val="20"/>
                <w:szCs w:val="20"/>
                <w:color w:val="auto"/>
              </w:rPr>
            </w:pPr>
            <w:r>
              <w:rPr>
                <w:rFonts w:ascii="Arial" w:cs="Arial" w:eastAsia="Arial" w:hAnsi="Arial"/>
                <w:sz w:val="18"/>
                <w:szCs w:val="18"/>
                <w:color w:val="auto"/>
              </w:rPr>
              <w:t>(429 )</w:t>
            </w:r>
          </w:p>
        </w:tc>
        <w:tc>
          <w:tcPr>
            <w:tcW w:w="680" w:type="dxa"/>
            <w:vAlign w:val="bottom"/>
            <w:tcBorders>
              <w:top w:val="single" w:sz="8" w:color="D5E6F7"/>
            </w:tcBorders>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D5E6F7"/>
            </w:tcBorders>
          </w:tcPr>
          <w:p>
            <w:pPr>
              <w:jc w:val="right"/>
              <w:spacing w:after="0" w:line="202" w:lineRule="exact"/>
              <w:rPr>
                <w:sz w:val="20"/>
                <w:szCs w:val="20"/>
                <w:color w:val="auto"/>
              </w:rPr>
            </w:pPr>
            <w:r>
              <w:rPr>
                <w:rFonts w:ascii="Arial" w:cs="Arial" w:eastAsia="Arial" w:hAnsi="Arial"/>
                <w:sz w:val="18"/>
                <w:szCs w:val="18"/>
                <w:color w:val="auto"/>
              </w:rPr>
              <w:t>1,279</w:t>
            </w:r>
          </w:p>
        </w:tc>
        <w:tc>
          <w:tcPr>
            <w:tcW w:w="220" w:type="dxa"/>
            <w:vAlign w:val="bottom"/>
            <w:tcBorders>
              <w:top w:val="single" w:sz="8" w:color="D5E6F7"/>
            </w:tcBorders>
          </w:tcPr>
          <w:p>
            <w:pPr>
              <w:spacing w:after="0"/>
              <w:rPr>
                <w:sz w:val="17"/>
                <w:szCs w:val="17"/>
                <w:color w:val="auto"/>
              </w:rPr>
            </w:pPr>
          </w:p>
        </w:tc>
      </w:tr>
      <w:tr>
        <w:trPr>
          <w:trHeight w:val="203"/>
        </w:trPr>
        <w:tc>
          <w:tcPr>
            <w:tcW w:w="6840" w:type="dxa"/>
            <w:vAlign w:val="bottom"/>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Merger and other costs, after tax</w:t>
            </w:r>
          </w:p>
        </w:tc>
        <w:tc>
          <w:tcPr>
            <w:tcW w:w="420" w:type="dxa"/>
            <w:vAlign w:val="bottom"/>
            <w:shd w:val="clear" w:color="auto" w:fill="D5E6F7"/>
          </w:tcPr>
          <w:p>
            <w:pPr>
              <w:spacing w:after="0"/>
              <w:rPr>
                <w:sz w:val="17"/>
                <w:szCs w:val="17"/>
                <w:color w:val="auto"/>
              </w:rPr>
            </w:pPr>
          </w:p>
        </w:tc>
        <w:tc>
          <w:tcPr>
            <w:tcW w:w="13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156</w:t>
            </w:r>
          </w:p>
        </w:tc>
        <w:tc>
          <w:tcPr>
            <w:tcW w:w="680" w:type="dxa"/>
            <w:vAlign w:val="bottom"/>
            <w:shd w:val="clear" w:color="auto" w:fill="D5E6F7"/>
          </w:tcPr>
          <w:p>
            <w:pPr>
              <w:spacing w:after="0"/>
              <w:rPr>
                <w:sz w:val="17"/>
                <w:szCs w:val="17"/>
                <w:color w:val="auto"/>
              </w:rPr>
            </w:pPr>
          </w:p>
        </w:tc>
        <w:tc>
          <w:tcPr>
            <w:tcW w:w="680" w:type="dxa"/>
            <w:vAlign w:val="bottom"/>
            <w:shd w:val="clear" w:color="auto" w:fill="D5E6F7"/>
          </w:tcPr>
          <w:p>
            <w:pPr>
              <w:spacing w:after="0"/>
              <w:rPr>
                <w:sz w:val="17"/>
                <w:szCs w:val="17"/>
                <w:color w:val="auto"/>
              </w:rPr>
            </w:pPr>
          </w:p>
        </w:tc>
        <w:tc>
          <w:tcPr>
            <w:tcW w:w="10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76</w:t>
            </w:r>
          </w:p>
        </w:tc>
        <w:tc>
          <w:tcPr>
            <w:tcW w:w="220" w:type="dxa"/>
            <w:vAlign w:val="bottom"/>
            <w:shd w:val="clear" w:color="auto" w:fill="D5E6F7"/>
          </w:tcPr>
          <w:p>
            <w:pPr>
              <w:spacing w:after="0"/>
              <w:rPr>
                <w:sz w:val="17"/>
                <w:szCs w:val="17"/>
                <w:color w:val="auto"/>
              </w:rPr>
            </w:pPr>
          </w:p>
        </w:tc>
      </w:tr>
      <w:tr>
        <w:trPr>
          <w:trHeight w:val="203"/>
        </w:trPr>
        <w:tc>
          <w:tcPr>
            <w:tcW w:w="6840" w:type="dxa"/>
            <w:vAlign w:val="bottom"/>
            <w:tcBorders>
              <w:bottom w:val="single" w:sz="8" w:color="D5E6F7"/>
            </w:tcBorders>
            <w:gridSpan w:val="5"/>
          </w:tcPr>
          <w:p>
            <w:pPr>
              <w:ind w:left="20"/>
              <w:spacing w:after="0" w:line="202" w:lineRule="exact"/>
              <w:rPr>
                <w:sz w:val="20"/>
                <w:szCs w:val="20"/>
                <w:color w:val="auto"/>
              </w:rPr>
            </w:pPr>
            <w:r>
              <w:rPr>
                <w:rFonts w:ascii="Arial" w:cs="Arial" w:eastAsia="Arial" w:hAnsi="Arial"/>
                <w:sz w:val="18"/>
                <w:szCs w:val="18"/>
                <w:color w:val="auto"/>
              </w:rPr>
              <w:t>Expansion costs, after tax</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1,536</w:t>
            </w:r>
          </w:p>
        </w:tc>
        <w:tc>
          <w:tcPr>
            <w:tcW w:w="680" w:type="dxa"/>
            <w:vAlign w:val="bottom"/>
            <w:tcBorders>
              <w:bottom w:val="single" w:sz="8" w:color="D5E6F7"/>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D5E6F7"/>
            </w:tcBorders>
          </w:tcPr>
          <w:p>
            <w:pPr>
              <w:spacing w:after="0"/>
              <w:rPr>
                <w:sz w:val="17"/>
                <w:szCs w:val="17"/>
                <w:color w:val="auto"/>
              </w:rPr>
            </w:pPr>
          </w:p>
        </w:tc>
      </w:tr>
      <w:tr>
        <w:trPr>
          <w:trHeight w:val="236"/>
        </w:trPr>
        <w:tc>
          <w:tcPr>
            <w:tcW w:w="20" w:type="dxa"/>
            <w:vAlign w:val="bottom"/>
            <w:tcBorders>
              <w:bottom w:val="single" w:sz="8" w:color="D5E6F7"/>
            </w:tcBorders>
            <w:shd w:val="clear" w:color="auto" w:fill="D5E6F7"/>
          </w:tcPr>
          <w:p>
            <w:pPr>
              <w:spacing w:after="0"/>
              <w:rPr>
                <w:sz w:val="20"/>
                <w:szCs w:val="20"/>
                <w:color w:val="auto"/>
              </w:rPr>
            </w:pPr>
          </w:p>
        </w:tc>
        <w:tc>
          <w:tcPr>
            <w:tcW w:w="6820" w:type="dxa"/>
            <w:vAlign w:val="bottom"/>
            <w:tcBorders>
              <w:bottom w:val="single" w:sz="8" w:color="D5E6F7"/>
            </w:tcBorders>
            <w:gridSpan w:val="4"/>
            <w:shd w:val="clear" w:color="auto" w:fill="D5E6F7"/>
          </w:tcPr>
          <w:p>
            <w:pPr>
              <w:ind w:left="100"/>
              <w:spacing w:after="0" w:line="182" w:lineRule="exact"/>
              <w:rPr>
                <w:sz w:val="20"/>
                <w:szCs w:val="20"/>
                <w:color w:val="auto"/>
              </w:rPr>
            </w:pPr>
            <w:r>
              <w:rPr>
                <w:rFonts w:ascii="Arial" w:cs="Arial" w:eastAsia="Arial" w:hAnsi="Arial"/>
                <w:sz w:val="18"/>
                <w:szCs w:val="18"/>
                <w:color w:val="auto"/>
              </w:rPr>
              <w:t>Adjusted net income</w:t>
            </w:r>
          </w:p>
        </w:tc>
        <w:tc>
          <w:tcPr>
            <w:tcW w:w="420" w:type="dxa"/>
            <w:vAlign w:val="bottom"/>
            <w:tcBorders>
              <w:bottom w:val="single" w:sz="8" w:color="auto"/>
            </w:tcBorders>
            <w:shd w:val="clear" w:color="auto" w:fill="D5E6F7"/>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1,263</w:t>
            </w:r>
          </w:p>
        </w:tc>
        <w:tc>
          <w:tcPr>
            <w:tcW w:w="680" w:type="dxa"/>
            <w:vAlign w:val="bottom"/>
            <w:tcBorders>
              <w:bottom w:val="single" w:sz="8" w:color="D5E6F7"/>
            </w:tcBorders>
            <w:shd w:val="clear" w:color="auto" w:fill="D5E6F7"/>
          </w:tcPr>
          <w:p>
            <w:pPr>
              <w:spacing w:after="0"/>
              <w:rPr>
                <w:sz w:val="20"/>
                <w:szCs w:val="20"/>
                <w:color w:val="auto"/>
              </w:rPr>
            </w:pPr>
          </w:p>
        </w:tc>
        <w:tc>
          <w:tcPr>
            <w:tcW w:w="680" w:type="dxa"/>
            <w:vAlign w:val="bottom"/>
            <w:tcBorders>
              <w:bottom w:val="single" w:sz="8" w:color="auto"/>
            </w:tcBorders>
            <w:shd w:val="clear" w:color="auto" w:fill="D5E6F7"/>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1,355</w:t>
            </w:r>
          </w:p>
        </w:tc>
        <w:tc>
          <w:tcPr>
            <w:tcW w:w="220" w:type="dxa"/>
            <w:vAlign w:val="bottom"/>
            <w:tcBorders>
              <w:bottom w:val="single" w:sz="8" w:color="D5E6F7"/>
            </w:tcBorders>
            <w:shd w:val="clear" w:color="auto" w:fill="D5E6F7"/>
          </w:tcPr>
          <w:p>
            <w:pPr>
              <w:spacing w:after="0"/>
              <w:rPr>
                <w:sz w:val="20"/>
                <w:szCs w:val="20"/>
                <w:color w:val="auto"/>
              </w:rPr>
            </w:pPr>
          </w:p>
        </w:tc>
      </w:tr>
      <w:tr>
        <w:trPr>
          <w:trHeight w:val="366"/>
        </w:trPr>
        <w:tc>
          <w:tcPr>
            <w:tcW w:w="20" w:type="dxa"/>
            <w:vAlign w:val="bottom"/>
          </w:tcPr>
          <w:p>
            <w:pPr>
              <w:spacing w:after="0"/>
              <w:rPr>
                <w:sz w:val="24"/>
                <w:szCs w:val="24"/>
                <w:color w:val="auto"/>
              </w:rPr>
            </w:pPr>
          </w:p>
        </w:tc>
        <w:tc>
          <w:tcPr>
            <w:tcW w:w="6820" w:type="dxa"/>
            <w:vAlign w:val="bottom"/>
            <w:gridSpan w:val="4"/>
          </w:tcPr>
          <w:p>
            <w:pPr>
              <w:spacing w:after="0"/>
              <w:rPr>
                <w:sz w:val="20"/>
                <w:szCs w:val="20"/>
                <w:color w:val="auto"/>
              </w:rPr>
            </w:pPr>
            <w:r>
              <w:rPr>
                <w:rFonts w:ascii="Arial" w:cs="Arial" w:eastAsia="Arial" w:hAnsi="Arial"/>
                <w:sz w:val="18"/>
                <w:szCs w:val="18"/>
                <w:b w:val="1"/>
                <w:bCs w:val="1"/>
                <w:color w:val="auto"/>
              </w:rPr>
              <w:t>EBITDA and Adjusted EBITDA</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20" w:type="dxa"/>
            <w:vAlign w:val="bottom"/>
            <w:shd w:val="clear" w:color="auto" w:fill="D5E6F7"/>
          </w:tcPr>
          <w:p>
            <w:pPr>
              <w:spacing w:after="0"/>
              <w:rPr>
                <w:sz w:val="17"/>
                <w:szCs w:val="17"/>
                <w:color w:val="auto"/>
              </w:rPr>
            </w:pPr>
          </w:p>
        </w:tc>
        <w:tc>
          <w:tcPr>
            <w:tcW w:w="2500" w:type="dxa"/>
            <w:vAlign w:val="bottom"/>
            <w:tcBorders>
              <w:top w:val="single" w:sz="8" w:color="auto"/>
            </w:tcBorders>
            <w:gridSpan w:val="3"/>
            <w:shd w:val="clear" w:color="auto" w:fill="D5E6F7"/>
          </w:tcPr>
          <w:p>
            <w:pPr>
              <w:spacing w:after="0" w:line="202" w:lineRule="exact"/>
              <w:rPr>
                <w:sz w:val="20"/>
                <w:szCs w:val="20"/>
                <w:color w:val="auto"/>
              </w:rPr>
            </w:pPr>
            <w:r>
              <w:rPr>
                <w:rFonts w:ascii="Arial" w:cs="Arial" w:eastAsia="Arial" w:hAnsi="Arial"/>
                <w:sz w:val="18"/>
                <w:szCs w:val="18"/>
                <w:color w:val="auto"/>
              </w:rPr>
              <w:t>Net (loss) income</w:t>
            </w:r>
          </w:p>
        </w:tc>
        <w:tc>
          <w:tcPr>
            <w:tcW w:w="4320" w:type="dxa"/>
            <w:vAlign w:val="bottom"/>
            <w:shd w:val="clear" w:color="auto" w:fill="D5E6F7"/>
          </w:tcPr>
          <w:p>
            <w:pPr>
              <w:spacing w:after="0"/>
              <w:rPr>
                <w:sz w:val="17"/>
                <w:szCs w:val="17"/>
                <w:color w:val="auto"/>
              </w:rPr>
            </w:pPr>
          </w:p>
        </w:tc>
        <w:tc>
          <w:tcPr>
            <w:tcW w:w="420" w:type="dxa"/>
            <w:vAlign w:val="bottom"/>
            <w:shd w:val="clear" w:color="auto" w:fill="D5E6F7"/>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D5E6F7"/>
          </w:tcPr>
          <w:p>
            <w:pPr>
              <w:jc w:val="right"/>
              <w:ind w:right="620"/>
              <w:spacing w:after="0" w:line="202" w:lineRule="exact"/>
              <w:rPr>
                <w:sz w:val="20"/>
                <w:szCs w:val="20"/>
                <w:color w:val="auto"/>
              </w:rPr>
            </w:pPr>
            <w:r>
              <w:rPr>
                <w:rFonts w:ascii="Arial" w:cs="Arial" w:eastAsia="Arial" w:hAnsi="Arial"/>
                <w:sz w:val="18"/>
                <w:szCs w:val="18"/>
                <w:color w:val="auto"/>
              </w:rPr>
              <w:t>(429 )</w:t>
            </w:r>
          </w:p>
        </w:tc>
        <w:tc>
          <w:tcPr>
            <w:tcW w:w="680" w:type="dxa"/>
            <w:vAlign w:val="bottom"/>
            <w:shd w:val="clear" w:color="auto" w:fill="D5E6F7"/>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1,279</w:t>
            </w:r>
          </w:p>
        </w:tc>
        <w:tc>
          <w:tcPr>
            <w:tcW w:w="220" w:type="dxa"/>
            <w:vAlign w:val="bottom"/>
            <w:shd w:val="clear" w:color="auto" w:fill="D5E6F7"/>
          </w:tcPr>
          <w:p>
            <w:pPr>
              <w:spacing w:after="0"/>
              <w:rPr>
                <w:sz w:val="17"/>
                <w:szCs w:val="17"/>
                <w:color w:val="auto"/>
              </w:rPr>
            </w:pPr>
          </w:p>
        </w:tc>
      </w:tr>
      <w:tr>
        <w:trPr>
          <w:trHeight w:val="203"/>
        </w:trPr>
        <w:tc>
          <w:tcPr>
            <w:tcW w:w="684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420" w:type="dxa"/>
            <w:vAlign w:val="bottom"/>
          </w:tcPr>
          <w:p>
            <w:pPr>
              <w:spacing w:after="0"/>
              <w:rPr>
                <w:sz w:val="17"/>
                <w:szCs w:val="17"/>
                <w:color w:val="auto"/>
              </w:rPr>
            </w:pPr>
          </w:p>
        </w:tc>
        <w:tc>
          <w:tcPr>
            <w:tcW w:w="20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(368 )</w:t>
            </w:r>
          </w:p>
        </w:tc>
        <w:tc>
          <w:tcPr>
            <w:tcW w:w="6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220" w:type="dxa"/>
            <w:vAlign w:val="bottom"/>
          </w:tcPr>
          <w:p>
            <w:pPr>
              <w:spacing w:after="0"/>
              <w:rPr>
                <w:sz w:val="17"/>
                <w:szCs w:val="17"/>
                <w:color w:val="auto"/>
              </w:rPr>
            </w:pPr>
          </w:p>
        </w:tc>
      </w:tr>
      <w:tr>
        <w:trPr>
          <w:trHeight w:val="203"/>
        </w:trPr>
        <w:tc>
          <w:tcPr>
            <w:tcW w:w="6840" w:type="dxa"/>
            <w:vAlign w:val="bottom"/>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D5E6F7"/>
          </w:tcPr>
          <w:p>
            <w:pPr>
              <w:spacing w:after="0"/>
              <w:rPr>
                <w:sz w:val="17"/>
                <w:szCs w:val="17"/>
                <w:color w:val="auto"/>
              </w:rPr>
            </w:pPr>
          </w:p>
        </w:tc>
        <w:tc>
          <w:tcPr>
            <w:tcW w:w="13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3,353</w:t>
            </w:r>
          </w:p>
        </w:tc>
        <w:tc>
          <w:tcPr>
            <w:tcW w:w="680" w:type="dxa"/>
            <w:vAlign w:val="bottom"/>
            <w:shd w:val="clear" w:color="auto" w:fill="D5E6F7"/>
          </w:tcPr>
          <w:p>
            <w:pPr>
              <w:spacing w:after="0"/>
              <w:rPr>
                <w:sz w:val="17"/>
                <w:szCs w:val="17"/>
                <w:color w:val="auto"/>
              </w:rPr>
            </w:pPr>
          </w:p>
        </w:tc>
        <w:tc>
          <w:tcPr>
            <w:tcW w:w="680" w:type="dxa"/>
            <w:vAlign w:val="bottom"/>
            <w:shd w:val="clear" w:color="auto" w:fill="D5E6F7"/>
          </w:tcPr>
          <w:p>
            <w:pPr>
              <w:spacing w:after="0"/>
              <w:rPr>
                <w:sz w:val="17"/>
                <w:szCs w:val="17"/>
                <w:color w:val="auto"/>
              </w:rPr>
            </w:pPr>
          </w:p>
        </w:tc>
        <w:tc>
          <w:tcPr>
            <w:tcW w:w="10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188</w:t>
            </w:r>
          </w:p>
        </w:tc>
        <w:tc>
          <w:tcPr>
            <w:tcW w:w="220" w:type="dxa"/>
            <w:vAlign w:val="bottom"/>
            <w:shd w:val="clear" w:color="auto" w:fill="D5E6F7"/>
          </w:tcPr>
          <w:p>
            <w:pPr>
              <w:spacing w:after="0"/>
              <w:rPr>
                <w:sz w:val="17"/>
                <w:szCs w:val="17"/>
                <w:color w:val="auto"/>
              </w:rPr>
            </w:pPr>
          </w:p>
        </w:tc>
      </w:tr>
      <w:tr>
        <w:trPr>
          <w:trHeight w:val="203"/>
        </w:trPr>
        <w:tc>
          <w:tcPr>
            <w:tcW w:w="684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3,978</w:t>
            </w:r>
          </w:p>
        </w:tc>
        <w:tc>
          <w:tcPr>
            <w:tcW w:w="6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1,261</w:t>
            </w:r>
          </w:p>
        </w:tc>
        <w:tc>
          <w:tcPr>
            <w:tcW w:w="220" w:type="dxa"/>
            <w:vAlign w:val="bottom"/>
          </w:tcPr>
          <w:p>
            <w:pPr>
              <w:spacing w:after="0"/>
              <w:rPr>
                <w:sz w:val="17"/>
                <w:szCs w:val="17"/>
                <w:color w:val="auto"/>
              </w:rPr>
            </w:pPr>
          </w:p>
        </w:tc>
      </w:tr>
      <w:tr>
        <w:trPr>
          <w:trHeight w:val="196"/>
        </w:trPr>
        <w:tc>
          <w:tcPr>
            <w:tcW w:w="20" w:type="dxa"/>
            <w:vAlign w:val="bottom"/>
            <w:shd w:val="clear" w:color="auto" w:fill="D5E6F7"/>
          </w:tcPr>
          <w:p>
            <w:pPr>
              <w:spacing w:after="0"/>
              <w:rPr>
                <w:sz w:val="17"/>
                <w:szCs w:val="17"/>
                <w:color w:val="auto"/>
              </w:rPr>
            </w:pPr>
          </w:p>
        </w:tc>
        <w:tc>
          <w:tcPr>
            <w:tcW w:w="6820" w:type="dxa"/>
            <w:vAlign w:val="bottom"/>
            <w:gridSpan w:val="4"/>
            <w:shd w:val="clear" w:color="auto" w:fill="D5E6F7"/>
          </w:tcPr>
          <w:p>
            <w:pPr>
              <w:ind w:left="100"/>
              <w:spacing w:after="0" w:line="196" w:lineRule="exact"/>
              <w:rPr>
                <w:sz w:val="20"/>
                <w:szCs w:val="20"/>
                <w:color w:val="auto"/>
              </w:rPr>
            </w:pPr>
            <w:r>
              <w:rPr>
                <w:rFonts w:ascii="Arial" w:cs="Arial" w:eastAsia="Arial" w:hAnsi="Arial"/>
                <w:sz w:val="18"/>
                <w:szCs w:val="18"/>
                <w:color w:val="auto"/>
              </w:rPr>
              <w:t>EBITDA</w:t>
            </w:r>
          </w:p>
        </w:tc>
        <w:tc>
          <w:tcPr>
            <w:tcW w:w="420" w:type="dxa"/>
            <w:vAlign w:val="bottom"/>
            <w:shd w:val="clear" w:color="auto" w:fill="D5E6F7"/>
          </w:tcPr>
          <w:p>
            <w:pPr>
              <w:spacing w:after="0"/>
              <w:rPr>
                <w:sz w:val="17"/>
                <w:szCs w:val="17"/>
                <w:color w:val="auto"/>
              </w:rPr>
            </w:pPr>
          </w:p>
        </w:tc>
        <w:tc>
          <w:tcPr>
            <w:tcW w:w="13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6,534</w:t>
            </w:r>
          </w:p>
        </w:tc>
        <w:tc>
          <w:tcPr>
            <w:tcW w:w="680" w:type="dxa"/>
            <w:vAlign w:val="bottom"/>
            <w:shd w:val="clear" w:color="auto" w:fill="D5E6F7"/>
          </w:tcPr>
          <w:p>
            <w:pPr>
              <w:spacing w:after="0"/>
              <w:rPr>
                <w:sz w:val="17"/>
                <w:szCs w:val="17"/>
                <w:color w:val="auto"/>
              </w:rPr>
            </w:pPr>
          </w:p>
        </w:tc>
        <w:tc>
          <w:tcPr>
            <w:tcW w:w="680" w:type="dxa"/>
            <w:vAlign w:val="bottom"/>
            <w:shd w:val="clear" w:color="auto" w:fill="D5E6F7"/>
          </w:tcPr>
          <w:p>
            <w:pPr>
              <w:spacing w:after="0"/>
              <w:rPr>
                <w:sz w:val="17"/>
                <w:szCs w:val="17"/>
                <w:color w:val="auto"/>
              </w:rPr>
            </w:pPr>
          </w:p>
        </w:tc>
        <w:tc>
          <w:tcPr>
            <w:tcW w:w="106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3,460</w:t>
            </w:r>
          </w:p>
        </w:tc>
        <w:tc>
          <w:tcPr>
            <w:tcW w:w="220" w:type="dxa"/>
            <w:vAlign w:val="bottom"/>
            <w:shd w:val="clear" w:color="auto" w:fill="D5E6F7"/>
          </w:tcPr>
          <w:p>
            <w:pPr>
              <w:spacing w:after="0"/>
              <w:rPr>
                <w:sz w:val="17"/>
                <w:szCs w:val="17"/>
                <w:color w:val="auto"/>
              </w:rPr>
            </w:pPr>
          </w:p>
        </w:tc>
      </w:tr>
      <w:tr>
        <w:trPr>
          <w:trHeight w:val="203"/>
        </w:trPr>
        <w:tc>
          <w:tcPr>
            <w:tcW w:w="684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220" w:type="dxa"/>
            <w:vAlign w:val="bottom"/>
          </w:tcPr>
          <w:p>
            <w:pPr>
              <w:spacing w:after="0"/>
              <w:rPr>
                <w:sz w:val="17"/>
                <w:szCs w:val="17"/>
                <w:color w:val="auto"/>
              </w:rPr>
            </w:pPr>
          </w:p>
        </w:tc>
      </w:tr>
      <w:tr>
        <w:trPr>
          <w:trHeight w:val="203"/>
        </w:trPr>
        <w:tc>
          <w:tcPr>
            <w:tcW w:w="6840" w:type="dxa"/>
            <w:vAlign w:val="bottom"/>
            <w:gridSpan w:val="5"/>
            <w:shd w:val="clear" w:color="auto" w:fill="D5E6F7"/>
          </w:tcPr>
          <w:p>
            <w:pPr>
              <w:ind w:left="20"/>
              <w:spacing w:after="0" w:line="202" w:lineRule="exact"/>
              <w:rPr>
                <w:sz w:val="20"/>
                <w:szCs w:val="20"/>
                <w:color w:val="auto"/>
              </w:rPr>
            </w:pPr>
            <w:r>
              <w:rPr>
                <w:rFonts w:ascii="Arial" w:cs="Arial" w:eastAsia="Arial" w:hAnsi="Arial"/>
                <w:sz w:val="18"/>
                <w:szCs w:val="18"/>
                <w:color w:val="auto"/>
              </w:rPr>
              <w:t>Merger and other costs</w:t>
            </w:r>
          </w:p>
        </w:tc>
        <w:tc>
          <w:tcPr>
            <w:tcW w:w="420" w:type="dxa"/>
            <w:vAlign w:val="bottom"/>
            <w:shd w:val="clear" w:color="auto" w:fill="D5E6F7"/>
          </w:tcPr>
          <w:p>
            <w:pPr>
              <w:spacing w:after="0"/>
              <w:rPr>
                <w:sz w:val="17"/>
                <w:szCs w:val="17"/>
                <w:color w:val="auto"/>
              </w:rPr>
            </w:pPr>
          </w:p>
        </w:tc>
        <w:tc>
          <w:tcPr>
            <w:tcW w:w="134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213</w:t>
            </w:r>
          </w:p>
        </w:tc>
        <w:tc>
          <w:tcPr>
            <w:tcW w:w="680" w:type="dxa"/>
            <w:vAlign w:val="bottom"/>
            <w:shd w:val="clear" w:color="auto" w:fill="D5E6F7"/>
          </w:tcPr>
          <w:p>
            <w:pPr>
              <w:spacing w:after="0"/>
              <w:rPr>
                <w:sz w:val="17"/>
                <w:szCs w:val="17"/>
                <w:color w:val="auto"/>
              </w:rPr>
            </w:pPr>
          </w:p>
        </w:tc>
        <w:tc>
          <w:tcPr>
            <w:tcW w:w="680" w:type="dxa"/>
            <w:vAlign w:val="bottom"/>
            <w:shd w:val="clear" w:color="auto" w:fill="D5E6F7"/>
          </w:tcPr>
          <w:p>
            <w:pPr>
              <w:spacing w:after="0"/>
              <w:rPr>
                <w:sz w:val="17"/>
                <w:szCs w:val="17"/>
                <w:color w:val="auto"/>
              </w:rPr>
            </w:pPr>
          </w:p>
        </w:tc>
        <w:tc>
          <w:tcPr>
            <w:tcW w:w="1060" w:type="dxa"/>
            <w:vAlign w:val="bottom"/>
            <w:shd w:val="clear" w:color="auto" w:fill="D5E6F7"/>
          </w:tcPr>
          <w:p>
            <w:pPr>
              <w:jc w:val="right"/>
              <w:spacing w:after="0" w:line="202" w:lineRule="exact"/>
              <w:rPr>
                <w:sz w:val="20"/>
                <w:szCs w:val="20"/>
                <w:color w:val="auto"/>
              </w:rPr>
            </w:pPr>
            <w:r>
              <w:rPr>
                <w:rFonts w:ascii="Arial" w:cs="Arial" w:eastAsia="Arial" w:hAnsi="Arial"/>
                <w:sz w:val="18"/>
                <w:szCs w:val="18"/>
                <w:color w:val="auto"/>
              </w:rPr>
              <w:t>105</w:t>
            </w:r>
          </w:p>
        </w:tc>
        <w:tc>
          <w:tcPr>
            <w:tcW w:w="220" w:type="dxa"/>
            <w:vAlign w:val="bottom"/>
            <w:shd w:val="clear" w:color="auto" w:fill="D5E6F7"/>
          </w:tcPr>
          <w:p>
            <w:pPr>
              <w:spacing w:after="0"/>
              <w:rPr>
                <w:sz w:val="17"/>
                <w:szCs w:val="17"/>
                <w:color w:val="auto"/>
              </w:rPr>
            </w:pPr>
          </w:p>
        </w:tc>
      </w:tr>
      <w:tr>
        <w:trPr>
          <w:trHeight w:val="203"/>
        </w:trPr>
        <w:tc>
          <w:tcPr>
            <w:tcW w:w="6840" w:type="dxa"/>
            <w:vAlign w:val="bottom"/>
            <w:tcBorders>
              <w:bottom w:val="single" w:sz="8" w:color="D5E6F7"/>
            </w:tcBorders>
            <w:gridSpan w:val="5"/>
          </w:tcPr>
          <w:p>
            <w:pPr>
              <w:ind w:left="20"/>
              <w:spacing w:after="0" w:line="202" w:lineRule="exact"/>
              <w:rPr>
                <w:sz w:val="20"/>
                <w:szCs w:val="20"/>
                <w:color w:val="auto"/>
              </w:rPr>
            </w:pPr>
            <w:r>
              <w:rPr>
                <w:rFonts w:ascii="Arial" w:cs="Arial" w:eastAsia="Arial" w:hAnsi="Arial"/>
                <w:sz w:val="18"/>
                <w:szCs w:val="18"/>
                <w:color w:val="auto"/>
              </w:rPr>
              <w:t>Expansion costs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2,104</w:t>
            </w:r>
          </w:p>
        </w:tc>
        <w:tc>
          <w:tcPr>
            <w:tcW w:w="680" w:type="dxa"/>
            <w:vAlign w:val="bottom"/>
            <w:tcBorders>
              <w:bottom w:val="single" w:sz="8" w:color="D5E6F7"/>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D5E6F7"/>
            </w:tcBorders>
          </w:tcPr>
          <w:p>
            <w:pPr>
              <w:spacing w:after="0"/>
              <w:rPr>
                <w:sz w:val="17"/>
                <w:szCs w:val="17"/>
                <w:color w:val="auto"/>
              </w:rPr>
            </w:pPr>
          </w:p>
        </w:tc>
      </w:tr>
      <w:tr>
        <w:trPr>
          <w:trHeight w:val="236"/>
        </w:trPr>
        <w:tc>
          <w:tcPr>
            <w:tcW w:w="20" w:type="dxa"/>
            <w:vAlign w:val="bottom"/>
            <w:tcBorders>
              <w:bottom w:val="single" w:sz="8" w:color="D5E6F7"/>
            </w:tcBorders>
            <w:shd w:val="clear" w:color="auto" w:fill="D5E6F7"/>
          </w:tcPr>
          <w:p>
            <w:pPr>
              <w:spacing w:after="0"/>
              <w:rPr>
                <w:sz w:val="20"/>
                <w:szCs w:val="20"/>
                <w:color w:val="auto"/>
              </w:rPr>
            </w:pPr>
          </w:p>
        </w:tc>
        <w:tc>
          <w:tcPr>
            <w:tcW w:w="6820" w:type="dxa"/>
            <w:vAlign w:val="bottom"/>
            <w:tcBorders>
              <w:bottom w:val="single" w:sz="8" w:color="D5E6F7"/>
            </w:tcBorders>
            <w:gridSpan w:val="4"/>
            <w:shd w:val="clear" w:color="auto" w:fill="D5E6F7"/>
          </w:tcPr>
          <w:p>
            <w:pPr>
              <w:ind w:left="120"/>
              <w:spacing w:after="0" w:line="182" w:lineRule="exact"/>
              <w:rPr>
                <w:sz w:val="20"/>
                <w:szCs w:val="20"/>
                <w:color w:val="auto"/>
              </w:rPr>
            </w:pPr>
            <w:r>
              <w:rPr>
                <w:rFonts w:ascii="Arial" w:cs="Arial" w:eastAsia="Arial" w:hAnsi="Arial"/>
                <w:sz w:val="18"/>
                <w:szCs w:val="18"/>
                <w:color w:val="auto"/>
              </w:rPr>
              <w:t>Adjusted EBITDA</w:t>
            </w:r>
          </w:p>
        </w:tc>
        <w:tc>
          <w:tcPr>
            <w:tcW w:w="420" w:type="dxa"/>
            <w:vAlign w:val="bottom"/>
            <w:tcBorders>
              <w:bottom w:val="single" w:sz="8" w:color="auto"/>
            </w:tcBorders>
            <w:shd w:val="clear" w:color="auto" w:fill="D5E6F7"/>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9,213</w:t>
            </w:r>
          </w:p>
        </w:tc>
        <w:tc>
          <w:tcPr>
            <w:tcW w:w="680" w:type="dxa"/>
            <w:vAlign w:val="bottom"/>
            <w:tcBorders>
              <w:bottom w:val="single" w:sz="8" w:color="D5E6F7"/>
            </w:tcBorders>
            <w:shd w:val="clear" w:color="auto" w:fill="D5E6F7"/>
          </w:tcPr>
          <w:p>
            <w:pPr>
              <w:spacing w:after="0"/>
              <w:rPr>
                <w:sz w:val="20"/>
                <w:szCs w:val="20"/>
                <w:color w:val="auto"/>
              </w:rPr>
            </w:pPr>
          </w:p>
        </w:tc>
        <w:tc>
          <w:tcPr>
            <w:tcW w:w="680" w:type="dxa"/>
            <w:vAlign w:val="bottom"/>
            <w:tcBorders>
              <w:bottom w:val="single" w:sz="8" w:color="auto"/>
            </w:tcBorders>
            <w:shd w:val="clear" w:color="auto" w:fill="D5E6F7"/>
          </w:tcPr>
          <w:p>
            <w:pPr>
              <w:jc w:val="right"/>
              <w:ind w:right="4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5E6F7"/>
          </w:tcPr>
          <w:p>
            <w:pPr>
              <w:jc w:val="right"/>
              <w:spacing w:after="0" w:line="182" w:lineRule="exact"/>
              <w:rPr>
                <w:sz w:val="20"/>
                <w:szCs w:val="20"/>
                <w:color w:val="auto"/>
              </w:rPr>
            </w:pPr>
            <w:r>
              <w:rPr>
                <w:rFonts w:ascii="Arial" w:cs="Arial" w:eastAsia="Arial" w:hAnsi="Arial"/>
                <w:sz w:val="18"/>
                <w:szCs w:val="18"/>
                <w:color w:val="auto"/>
              </w:rPr>
              <w:t>4,221</w:t>
            </w:r>
          </w:p>
        </w:tc>
        <w:tc>
          <w:tcPr>
            <w:tcW w:w="220" w:type="dxa"/>
            <w:vAlign w:val="bottom"/>
            <w:tcBorders>
              <w:bottom w:val="single" w:sz="8" w:color="D5E6F7"/>
            </w:tcBorders>
            <w:shd w:val="clear" w:color="auto" w:fill="D5E6F7"/>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-2416810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-2399665</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-2416810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-2399665</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-1482725</wp:posOffset>
            </wp:positionV>
            <wp:extent cx="137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-1464945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-1619885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-1482725</wp:posOffset>
            </wp:positionV>
            <wp:extent cx="137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-1464945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-1619885</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-162560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-162560</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98"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“EBITDA” is defined as earnings before interest, taxes, and depreciation and amortization. “Adjusted EBITDA” is defined as EBITDA adjusted for stock-based compensation and other special items determined by management, including, but not limited to costs associated with the Merger, costs of becoming a public company (which included the costs of corporate reorganization from an limited liability company, public registration of shares and associated costs), business expansion costs, fair value adjustments for certain financial liabilities (including asset retirement obligations), costs associated with debt and equity transactions, and impairment charges as they are not indicative of business operations. Adjusted EBITDA is intended as a supplemental measure of our performance that is neither required by, nor presented in accordance with,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158" w:lineRule="exact"/>
        <w:rPr>
          <w:sz w:val="20"/>
          <w:szCs w:val="20"/>
          <w:color w:val="auto"/>
        </w:rPr>
      </w:pPr>
    </w:p>
    <w:p>
      <w:pPr>
        <w:ind w:right="900"/>
        <w:spacing w:after="0" w:line="244" w:lineRule="auto"/>
        <w:rPr>
          <w:sz w:val="20"/>
          <w:szCs w:val="20"/>
          <w:color w:val="auto"/>
        </w:rPr>
      </w:pPr>
      <w:r>
        <w:rPr>
          <w:rFonts w:ascii="Arial" w:cs="Arial" w:eastAsia="Arial" w:hAnsi="Arial"/>
          <w:sz w:val="18"/>
          <w:szCs w:val="18"/>
          <w:color w:val="auto"/>
        </w:rPr>
        <w:t>Because of these limitations, EBITDA and Adjusted EBITDA should not be considered in isolation or as a substitute for performance measures calculated in accordance with GAAP. We compensate for these limitations by relying primarily on our</w:t>
      </w: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GAAP results and using EBITDA and Adjusted EBITDA on a supplemental basis. You should review the reconciliation of net loss to EBITDA and Adjusted EBITDA above and not rely on any single financial measure to evaluate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On March 31, 2022, we had cash and cash equivalents of $96.5 million. To date, we have primarily relied on debt and equity financing to fund our operations and to meet ongoing working capital needs and to execute on the initial stages of our business plan. During the first quarter of 2022, we obtained approximately $108 million of additional committed financings, of which approximately $81 million was funded during March 2022, through two different agreements described further below.</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may seek to raise capital through alternative sources, such as a public offering, an additional private placement of our equity or debt securities or traditional or non-traditional credit facilities. If we raise additional equity financing, our stockholders may experience significant dilution of their ownership interests, and the per share value of our class A common stock could decline. Furthermore, if we engage in additional debt financing, the debt holders would likely have priority over our stockholders, on order of payment preference.</w:t>
      </w:r>
    </w:p>
    <w:p>
      <w:pPr>
        <w:spacing w:after="0" w:line="17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While we held a relatively small amount of digital assets for an extended period as of March 31, 2022, our current business strategy is to sell digital assets within a short period after earning such assets. We may choose to change this strategy in the future. The average period between receipt of bitcoin and the subsequent conversion to cash is less than one day because at least 95% of the bitcoin mined each day is liquidated the same day it is mined. Our liquidity is subject to volatility in both number of bitcoins mined and the underlying price of bitcoin.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9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summarizes our contractual obligations and other commitments as of March 31, 2022, and the years in which these obligations are due: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Remainder of 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2025-2026</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Thereafter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Debt payments</w:t>
            </w:r>
          </w:p>
        </w:tc>
        <w:tc>
          <w:tcPr>
            <w:tcW w:w="180" w:type="dxa"/>
            <w:vAlign w:val="bottom"/>
            <w:shd w:val="clear" w:color="auto" w:fill="D5E6F7"/>
          </w:tcPr>
          <w:p>
            <w:pPr>
              <w:spacing w:after="0"/>
              <w:rPr>
                <w:sz w:val="17"/>
                <w:szCs w:val="17"/>
                <w:color w:val="auto"/>
              </w:rPr>
            </w:pPr>
          </w:p>
        </w:tc>
        <w:tc>
          <w:tcPr>
            <w:tcW w:w="980" w:type="dxa"/>
            <w:vAlign w:val="bottom"/>
            <w:shd w:val="clear" w:color="auto" w:fill="D5E6F7"/>
          </w:tcPr>
          <w:p>
            <w:pPr>
              <w:jc w:val="right"/>
              <w:ind w:right="776"/>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89"/>
              </w:rPr>
              <w:t>220,627</w:t>
            </w:r>
          </w:p>
        </w:tc>
        <w:tc>
          <w:tcPr>
            <w:tcW w:w="260" w:type="dxa"/>
            <w:vAlign w:val="bottom"/>
            <w:shd w:val="clear" w:color="auto" w:fill="D5E6F7"/>
          </w:tcPr>
          <w:p>
            <w:pPr>
              <w:spacing w:after="0"/>
              <w:rPr>
                <w:sz w:val="17"/>
                <w:szCs w:val="17"/>
                <w:color w:val="auto"/>
              </w:rPr>
            </w:pPr>
          </w:p>
        </w:tc>
        <w:tc>
          <w:tcPr>
            <w:tcW w:w="380" w:type="dxa"/>
            <w:vAlign w:val="bottom"/>
            <w:shd w:val="clear" w:color="auto" w:fill="D5E6F7"/>
          </w:tcPr>
          <w:p>
            <w:pPr>
              <w:jc w:val="right"/>
              <w:ind w:right="199"/>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66,036</w:t>
            </w:r>
          </w:p>
        </w:tc>
        <w:tc>
          <w:tcPr>
            <w:tcW w:w="260" w:type="dxa"/>
            <w:vAlign w:val="bottom"/>
            <w:shd w:val="clear" w:color="auto" w:fill="D5E6F7"/>
          </w:tcPr>
          <w:p>
            <w:pPr>
              <w:spacing w:after="0"/>
              <w:rPr>
                <w:sz w:val="17"/>
                <w:szCs w:val="17"/>
                <w:color w:val="auto"/>
              </w:rPr>
            </w:pPr>
          </w:p>
        </w:tc>
        <w:tc>
          <w:tcPr>
            <w:tcW w:w="200" w:type="dxa"/>
            <w:vAlign w:val="bottom"/>
            <w:shd w:val="clear" w:color="auto" w:fill="D5E6F7"/>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70,117</w:t>
            </w:r>
          </w:p>
        </w:tc>
        <w:tc>
          <w:tcPr>
            <w:tcW w:w="240" w:type="dxa"/>
            <w:vAlign w:val="bottom"/>
            <w:shd w:val="clear" w:color="auto" w:fill="D5E6F7"/>
          </w:tcPr>
          <w:p>
            <w:pPr>
              <w:spacing w:after="0"/>
              <w:rPr>
                <w:sz w:val="17"/>
                <w:szCs w:val="17"/>
                <w:color w:val="auto"/>
              </w:rPr>
            </w:pPr>
          </w:p>
        </w:tc>
        <w:tc>
          <w:tcPr>
            <w:tcW w:w="1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84,474</w:t>
            </w:r>
          </w:p>
        </w:tc>
        <w:tc>
          <w:tcPr>
            <w:tcW w:w="220" w:type="dxa"/>
            <w:vAlign w:val="bottom"/>
            <w:shd w:val="clear" w:color="auto" w:fill="D5E6F7"/>
          </w:tcPr>
          <w:p>
            <w:pPr>
              <w:spacing w:after="0"/>
              <w:rPr>
                <w:sz w:val="17"/>
                <w:szCs w:val="17"/>
                <w:color w:val="auto"/>
              </w:rPr>
            </w:pPr>
          </w:p>
        </w:tc>
        <w:tc>
          <w:tcPr>
            <w:tcW w:w="200" w:type="dxa"/>
            <w:vAlign w:val="bottom"/>
            <w:shd w:val="clear" w:color="auto" w:fill="D5E6F7"/>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Leases</w:t>
            </w:r>
          </w:p>
        </w:tc>
        <w:tc>
          <w:tcPr>
            <w:tcW w:w="1160" w:type="dxa"/>
            <w:vAlign w:val="bottom"/>
            <w:gridSpan w:val="2"/>
          </w:tcPr>
          <w:p>
            <w:pPr>
              <w:jc w:val="right"/>
              <w:ind w:right="776"/>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D5E6F7"/>
          </w:tcPr>
          <w:p>
            <w:pPr>
              <w:ind w:left="20"/>
              <w:spacing w:after="0" w:line="162" w:lineRule="exact"/>
              <w:rPr>
                <w:sz w:val="20"/>
                <w:szCs w:val="20"/>
                <w:color w:val="auto"/>
              </w:rPr>
            </w:pPr>
            <w:r>
              <w:rPr>
                <w:rFonts w:ascii="Arial" w:cs="Arial" w:eastAsia="Arial" w:hAnsi="Arial"/>
                <w:sz w:val="18"/>
                <w:szCs w:val="18"/>
                <w:color w:val="auto"/>
              </w:rPr>
              <w:t>Miner and other purchase</w:t>
            </w:r>
          </w:p>
        </w:tc>
        <w:tc>
          <w:tcPr>
            <w:tcW w:w="1160" w:type="dxa"/>
            <w:vAlign w:val="bottom"/>
            <w:gridSpan w:val="2"/>
            <w:vMerge w:val="restart"/>
            <w:shd w:val="clear" w:color="auto" w:fill="D5E6F7"/>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61,342</w:t>
            </w:r>
          </w:p>
        </w:tc>
        <w:tc>
          <w:tcPr>
            <w:tcW w:w="260" w:type="dxa"/>
            <w:vAlign w:val="bottom"/>
            <w:shd w:val="clear" w:color="auto" w:fill="D5E6F7"/>
          </w:tcPr>
          <w:p>
            <w:pPr>
              <w:spacing w:after="0"/>
              <w:rPr>
                <w:sz w:val="14"/>
                <w:szCs w:val="14"/>
                <w:color w:val="auto"/>
              </w:rPr>
            </w:pPr>
          </w:p>
        </w:tc>
        <w:tc>
          <w:tcPr>
            <w:tcW w:w="380" w:type="dxa"/>
            <w:vAlign w:val="bottom"/>
            <w:shd w:val="clear" w:color="auto" w:fill="D5E6F7"/>
          </w:tcPr>
          <w:p>
            <w:pPr>
              <w:spacing w:after="0"/>
              <w:rPr>
                <w:sz w:val="14"/>
                <w:szCs w:val="14"/>
                <w:color w:val="auto"/>
              </w:rPr>
            </w:pPr>
          </w:p>
        </w:tc>
        <w:tc>
          <w:tcPr>
            <w:tcW w:w="88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61,342</w:t>
            </w:r>
          </w:p>
        </w:tc>
        <w:tc>
          <w:tcPr>
            <w:tcW w:w="260" w:type="dxa"/>
            <w:vAlign w:val="bottom"/>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102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5E6F7"/>
          </w:tcPr>
          <w:p>
            <w:pPr>
              <w:spacing w:after="0"/>
              <w:rPr>
                <w:sz w:val="14"/>
                <w:szCs w:val="14"/>
                <w:color w:val="auto"/>
              </w:rPr>
            </w:pPr>
          </w:p>
        </w:tc>
        <w:tc>
          <w:tcPr>
            <w:tcW w:w="180" w:type="dxa"/>
            <w:vAlign w:val="bottom"/>
            <w:shd w:val="clear" w:color="auto" w:fill="D5E6F7"/>
          </w:tcPr>
          <w:p>
            <w:pPr>
              <w:spacing w:after="0"/>
              <w:rPr>
                <w:sz w:val="14"/>
                <w:szCs w:val="14"/>
                <w:color w:val="auto"/>
              </w:rPr>
            </w:pPr>
          </w:p>
        </w:tc>
        <w:tc>
          <w:tcPr>
            <w:tcW w:w="102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5E6F7"/>
          </w:tcPr>
          <w:p>
            <w:pPr>
              <w:spacing w:after="0"/>
              <w:rPr>
                <w:sz w:val="14"/>
                <w:szCs w:val="14"/>
                <w:color w:val="auto"/>
              </w:rPr>
            </w:pPr>
          </w:p>
        </w:tc>
        <w:tc>
          <w:tcPr>
            <w:tcW w:w="200" w:type="dxa"/>
            <w:vAlign w:val="bottom"/>
            <w:shd w:val="clear" w:color="auto" w:fill="D5E6F7"/>
          </w:tcPr>
          <w:p>
            <w:pPr>
              <w:spacing w:after="0"/>
              <w:rPr>
                <w:sz w:val="14"/>
                <w:szCs w:val="14"/>
                <w:color w:val="auto"/>
              </w:rPr>
            </w:pPr>
          </w:p>
        </w:tc>
        <w:tc>
          <w:tcPr>
            <w:tcW w:w="1040" w:type="dxa"/>
            <w:vAlign w:val="bottom"/>
            <w:vMerge w:val="restart"/>
            <w:shd w:val="clear" w:color="auto" w:fill="D5E6F7"/>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5E6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D5E6F7"/>
          </w:tcPr>
          <w:p>
            <w:pPr>
              <w:ind w:left="120"/>
              <w:spacing w:after="0"/>
              <w:rPr>
                <w:sz w:val="20"/>
                <w:szCs w:val="20"/>
                <w:color w:val="auto"/>
              </w:rPr>
            </w:pPr>
            <w:r>
              <w:rPr>
                <w:rFonts w:ascii="Arial" w:cs="Arial" w:eastAsia="Arial" w:hAnsi="Arial"/>
                <w:sz w:val="18"/>
                <w:szCs w:val="18"/>
                <w:color w:val="auto"/>
              </w:rPr>
              <w:t>commitments</w:t>
            </w:r>
          </w:p>
        </w:tc>
        <w:tc>
          <w:tcPr>
            <w:tcW w:w="1160" w:type="dxa"/>
            <w:vAlign w:val="bottom"/>
            <w:gridSpan w:val="2"/>
            <w:vMerge w:val="continue"/>
            <w:shd w:val="clear" w:color="auto" w:fill="D5E6F7"/>
          </w:tcPr>
          <w:p>
            <w:pPr>
              <w:spacing w:after="0"/>
              <w:rPr>
                <w:sz w:val="18"/>
                <w:szCs w:val="18"/>
                <w:color w:val="auto"/>
              </w:rPr>
            </w:pPr>
          </w:p>
        </w:tc>
        <w:tc>
          <w:tcPr>
            <w:tcW w:w="600" w:type="dxa"/>
            <w:vAlign w:val="bottom"/>
            <w:vMerge w:val="continue"/>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380" w:type="dxa"/>
            <w:vAlign w:val="bottom"/>
            <w:shd w:val="clear" w:color="auto" w:fill="D5E6F7"/>
          </w:tcPr>
          <w:p>
            <w:pPr>
              <w:spacing w:after="0"/>
              <w:rPr>
                <w:sz w:val="18"/>
                <w:szCs w:val="18"/>
                <w:color w:val="auto"/>
              </w:rPr>
            </w:pPr>
          </w:p>
        </w:tc>
        <w:tc>
          <w:tcPr>
            <w:tcW w:w="880" w:type="dxa"/>
            <w:vAlign w:val="bottom"/>
            <w:vMerge w:val="continue"/>
            <w:shd w:val="clear" w:color="auto" w:fill="D5E6F7"/>
          </w:tcPr>
          <w:p>
            <w:pPr>
              <w:spacing w:after="0"/>
              <w:rPr>
                <w:sz w:val="18"/>
                <w:szCs w:val="18"/>
                <w:color w:val="auto"/>
              </w:rPr>
            </w:pPr>
          </w:p>
        </w:tc>
        <w:tc>
          <w:tcPr>
            <w:tcW w:w="26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020" w:type="dxa"/>
            <w:vAlign w:val="bottom"/>
            <w:vMerge w:val="continue"/>
            <w:shd w:val="clear" w:color="auto" w:fill="D5E6F7"/>
          </w:tcPr>
          <w:p>
            <w:pPr>
              <w:spacing w:after="0"/>
              <w:rPr>
                <w:sz w:val="18"/>
                <w:szCs w:val="18"/>
                <w:color w:val="auto"/>
              </w:rPr>
            </w:pPr>
          </w:p>
        </w:tc>
        <w:tc>
          <w:tcPr>
            <w:tcW w:w="240" w:type="dxa"/>
            <w:vAlign w:val="bottom"/>
            <w:shd w:val="clear" w:color="auto" w:fill="D5E6F7"/>
          </w:tcPr>
          <w:p>
            <w:pPr>
              <w:spacing w:after="0"/>
              <w:rPr>
                <w:sz w:val="18"/>
                <w:szCs w:val="18"/>
                <w:color w:val="auto"/>
              </w:rPr>
            </w:pPr>
          </w:p>
        </w:tc>
        <w:tc>
          <w:tcPr>
            <w:tcW w:w="180" w:type="dxa"/>
            <w:vAlign w:val="bottom"/>
            <w:shd w:val="clear" w:color="auto" w:fill="D5E6F7"/>
          </w:tcPr>
          <w:p>
            <w:pPr>
              <w:spacing w:after="0"/>
              <w:rPr>
                <w:sz w:val="18"/>
                <w:szCs w:val="18"/>
                <w:color w:val="auto"/>
              </w:rPr>
            </w:pPr>
          </w:p>
        </w:tc>
        <w:tc>
          <w:tcPr>
            <w:tcW w:w="1020" w:type="dxa"/>
            <w:vAlign w:val="bottom"/>
            <w:vMerge w:val="continue"/>
            <w:shd w:val="clear" w:color="auto" w:fill="D5E6F7"/>
          </w:tcPr>
          <w:p>
            <w:pPr>
              <w:spacing w:after="0"/>
              <w:rPr>
                <w:sz w:val="18"/>
                <w:szCs w:val="18"/>
                <w:color w:val="auto"/>
              </w:rPr>
            </w:pPr>
          </w:p>
        </w:tc>
        <w:tc>
          <w:tcPr>
            <w:tcW w:w="220" w:type="dxa"/>
            <w:vAlign w:val="bottom"/>
            <w:shd w:val="clear" w:color="auto" w:fill="D5E6F7"/>
          </w:tcPr>
          <w:p>
            <w:pPr>
              <w:spacing w:after="0"/>
              <w:rPr>
                <w:sz w:val="18"/>
                <w:szCs w:val="18"/>
                <w:color w:val="auto"/>
              </w:rPr>
            </w:pPr>
          </w:p>
        </w:tc>
        <w:tc>
          <w:tcPr>
            <w:tcW w:w="200" w:type="dxa"/>
            <w:vAlign w:val="bottom"/>
            <w:shd w:val="clear" w:color="auto" w:fill="D5E6F7"/>
          </w:tcPr>
          <w:p>
            <w:pPr>
              <w:spacing w:after="0"/>
              <w:rPr>
                <w:sz w:val="18"/>
                <w:szCs w:val="18"/>
                <w:color w:val="auto"/>
              </w:rPr>
            </w:pPr>
          </w:p>
        </w:tc>
        <w:tc>
          <w:tcPr>
            <w:tcW w:w="1040" w:type="dxa"/>
            <w:vAlign w:val="bottom"/>
            <w:vMerge w:val="continue"/>
            <w:shd w:val="clear" w:color="auto" w:fill="D5E6F7"/>
          </w:tcPr>
          <w:p>
            <w:pPr>
              <w:spacing w:after="0"/>
              <w:rPr>
                <w:sz w:val="18"/>
                <w:szCs w:val="18"/>
                <w:color w:val="auto"/>
              </w:rPr>
            </w:pPr>
          </w:p>
        </w:tc>
        <w:tc>
          <w:tcPr>
            <w:tcW w:w="40" w:type="dxa"/>
            <w:vAlign w:val="bottom"/>
            <w:shd w:val="clear" w:color="auto" w:fill="D5E6F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62" w:lineRule="exact"/>
              <w:rPr>
                <w:sz w:val="20"/>
                <w:szCs w:val="20"/>
                <w:color w:val="auto"/>
              </w:rPr>
            </w:pPr>
            <w:r>
              <w:rPr>
                <w:rFonts w:ascii="Arial" w:cs="Arial" w:eastAsia="Arial" w:hAnsi="Arial"/>
                <w:sz w:val="18"/>
                <w:szCs w:val="18"/>
                <w:color w:val="auto"/>
              </w:rPr>
              <w:t>Environmental and asset</w:t>
            </w:r>
          </w:p>
        </w:tc>
        <w:tc>
          <w:tcPr>
            <w:tcW w:w="1160" w:type="dxa"/>
            <w:vAlign w:val="bottom"/>
            <w:gridSpan w:val="2"/>
            <w:vMerge w:val="restart"/>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11,415</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1,037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4,298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2,142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3,938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20"/>
              <w:spacing w:after="0"/>
              <w:rPr>
                <w:sz w:val="20"/>
                <w:szCs w:val="20"/>
                <w:color w:val="auto"/>
              </w:rPr>
            </w:pPr>
            <w:r>
              <w:rPr>
                <w:rFonts w:ascii="Arial" w:cs="Arial" w:eastAsia="Arial" w:hAnsi="Arial"/>
                <w:sz w:val="18"/>
                <w:szCs w:val="18"/>
                <w:color w:val="auto"/>
              </w:rPr>
              <w:t>retirement obligations</w:t>
            </w:r>
          </w:p>
        </w:tc>
        <w:tc>
          <w:tcPr>
            <w:tcW w:w="11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0" w:type="dxa"/>
            <w:vAlign w:val="bottom"/>
            <w:tcBorders>
              <w:bottom w:val="single" w:sz="8" w:color="D4E5F7"/>
            </w:tcBorders>
            <w:shd w:val="clear" w:color="auto" w:fill="D4E5F7"/>
          </w:tcPr>
          <w:p>
            <w:pPr>
              <w:ind w:left="20"/>
              <w:spacing w:after="0" w:line="202" w:lineRule="exact"/>
              <w:rPr>
                <w:sz w:val="20"/>
                <w:szCs w:val="20"/>
                <w:color w:val="auto"/>
              </w:rPr>
            </w:pPr>
            <w:r>
              <w:rPr>
                <w:rFonts w:ascii="Arial" w:cs="Arial" w:eastAsia="Arial" w:hAnsi="Arial"/>
                <w:sz w:val="18"/>
                <w:szCs w:val="18"/>
                <w:color w:val="auto"/>
              </w:rPr>
              <w:t>Natural Gas Transportation</w:t>
            </w:r>
          </w:p>
        </w:tc>
        <w:tc>
          <w:tcPr>
            <w:tcW w:w="180" w:type="dxa"/>
            <w:vAlign w:val="bottom"/>
            <w:tcBorders>
              <w:bottom w:val="single" w:sz="8" w:color="D4E5F7"/>
            </w:tcBorders>
            <w:shd w:val="clear" w:color="auto" w:fill="D4E5F7"/>
          </w:tcPr>
          <w:p>
            <w:pPr>
              <w:spacing w:after="0"/>
              <w:rPr>
                <w:sz w:val="17"/>
                <w:szCs w:val="17"/>
                <w:color w:val="auto"/>
              </w:rPr>
            </w:pPr>
          </w:p>
        </w:tc>
        <w:tc>
          <w:tcPr>
            <w:tcW w:w="980" w:type="dxa"/>
            <w:vAlign w:val="bottom"/>
            <w:tcBorders>
              <w:bottom w:val="single" w:sz="8" w:color="auto"/>
            </w:tcBorders>
            <w:shd w:val="clear" w:color="auto" w:fill="D4E5F7"/>
          </w:tcPr>
          <w:p>
            <w:pPr>
              <w:jc w:val="right"/>
              <w:ind w:right="776"/>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D4E5F7"/>
          </w:tcPr>
          <w:p>
            <w:pPr>
              <w:jc w:val="right"/>
              <w:spacing w:after="0" w:line="202" w:lineRule="exact"/>
              <w:rPr>
                <w:sz w:val="20"/>
                <w:szCs w:val="20"/>
                <w:color w:val="auto"/>
              </w:rPr>
            </w:pPr>
            <w:r>
              <w:rPr>
                <w:rFonts w:ascii="Arial" w:cs="Arial" w:eastAsia="Arial" w:hAnsi="Arial"/>
                <w:sz w:val="18"/>
                <w:szCs w:val="18"/>
                <w:color w:val="auto"/>
              </w:rPr>
              <w:t>16,116</w:t>
            </w:r>
          </w:p>
        </w:tc>
        <w:tc>
          <w:tcPr>
            <w:tcW w:w="260" w:type="dxa"/>
            <w:vAlign w:val="bottom"/>
            <w:tcBorders>
              <w:bottom w:val="single" w:sz="8" w:color="D4E5F7"/>
            </w:tcBorders>
            <w:shd w:val="clear" w:color="auto" w:fill="D4E5F7"/>
          </w:tcPr>
          <w:p>
            <w:pPr>
              <w:spacing w:after="0"/>
              <w:rPr>
                <w:sz w:val="17"/>
                <w:szCs w:val="17"/>
                <w:color w:val="auto"/>
              </w:rPr>
            </w:pPr>
          </w:p>
        </w:tc>
        <w:tc>
          <w:tcPr>
            <w:tcW w:w="380" w:type="dxa"/>
            <w:vAlign w:val="bottom"/>
            <w:tcBorders>
              <w:bottom w:val="single" w:sz="8" w:color="auto"/>
            </w:tcBorders>
            <w:shd w:val="clear" w:color="auto" w:fill="D4E5F7"/>
          </w:tcPr>
          <w:p>
            <w:pPr>
              <w:spacing w:after="0"/>
              <w:rPr>
                <w:sz w:val="17"/>
                <w:szCs w:val="17"/>
                <w:color w:val="auto"/>
              </w:rPr>
            </w:pPr>
          </w:p>
        </w:tc>
        <w:tc>
          <w:tcPr>
            <w:tcW w:w="880" w:type="dxa"/>
            <w:vAlign w:val="bottom"/>
            <w:tcBorders>
              <w:bottom w:val="single" w:sz="8" w:color="auto"/>
            </w:tcBorders>
            <w:shd w:val="clear" w:color="auto" w:fill="D4E5F7"/>
          </w:tcPr>
          <w:p>
            <w:pPr>
              <w:jc w:val="right"/>
              <w:spacing w:after="0" w:line="202" w:lineRule="exact"/>
              <w:rPr>
                <w:sz w:val="20"/>
                <w:szCs w:val="20"/>
                <w:color w:val="auto"/>
              </w:rPr>
            </w:pPr>
            <w:r>
              <w:rPr>
                <w:rFonts w:ascii="Arial" w:cs="Arial" w:eastAsia="Arial" w:hAnsi="Arial"/>
                <w:sz w:val="18"/>
                <w:szCs w:val="18"/>
                <w:color w:val="auto"/>
              </w:rPr>
              <w:t>1,422</w:t>
            </w:r>
          </w:p>
        </w:tc>
        <w:tc>
          <w:tcPr>
            <w:tcW w:w="260" w:type="dxa"/>
            <w:vAlign w:val="bottom"/>
            <w:tcBorders>
              <w:bottom w:val="single" w:sz="8" w:color="D4E5F7"/>
            </w:tcBorders>
            <w:shd w:val="clear" w:color="auto" w:fill="D4E5F7"/>
          </w:tcPr>
          <w:p>
            <w:pPr>
              <w:spacing w:after="0"/>
              <w:rPr>
                <w:sz w:val="17"/>
                <w:szCs w:val="17"/>
                <w:color w:val="auto"/>
              </w:rPr>
            </w:pPr>
          </w:p>
        </w:tc>
        <w:tc>
          <w:tcPr>
            <w:tcW w:w="200" w:type="dxa"/>
            <w:vAlign w:val="bottom"/>
            <w:tcBorders>
              <w:bottom w:val="single" w:sz="8" w:color="auto"/>
            </w:tcBorders>
            <w:shd w:val="clear" w:color="auto" w:fill="D4E5F7"/>
          </w:tcPr>
          <w:p>
            <w:pPr>
              <w:spacing w:after="0"/>
              <w:rPr>
                <w:sz w:val="17"/>
                <w:szCs w:val="17"/>
                <w:color w:val="auto"/>
              </w:rPr>
            </w:pPr>
          </w:p>
        </w:tc>
        <w:tc>
          <w:tcPr>
            <w:tcW w:w="1020" w:type="dxa"/>
            <w:vAlign w:val="bottom"/>
            <w:tcBorders>
              <w:bottom w:val="single" w:sz="8" w:color="auto"/>
            </w:tcBorders>
            <w:shd w:val="clear" w:color="auto" w:fill="D4E5F7"/>
          </w:tcPr>
          <w:p>
            <w:pPr>
              <w:jc w:val="right"/>
              <w:spacing w:after="0" w:line="202" w:lineRule="exact"/>
              <w:rPr>
                <w:sz w:val="20"/>
                <w:szCs w:val="20"/>
                <w:color w:val="auto"/>
              </w:rPr>
            </w:pPr>
            <w:r>
              <w:rPr>
                <w:rFonts w:ascii="Arial" w:cs="Arial" w:eastAsia="Arial" w:hAnsi="Arial"/>
                <w:sz w:val="18"/>
                <w:szCs w:val="18"/>
                <w:color w:val="auto"/>
              </w:rPr>
              <w:t>3,792</w:t>
            </w:r>
          </w:p>
        </w:tc>
        <w:tc>
          <w:tcPr>
            <w:tcW w:w="240" w:type="dxa"/>
            <w:vAlign w:val="bottom"/>
            <w:tcBorders>
              <w:bottom w:val="single" w:sz="8" w:color="D4E5F7"/>
            </w:tcBorders>
            <w:shd w:val="clear" w:color="auto" w:fill="D4E5F7"/>
          </w:tcPr>
          <w:p>
            <w:pPr>
              <w:spacing w:after="0"/>
              <w:rPr>
                <w:sz w:val="17"/>
                <w:szCs w:val="17"/>
                <w:color w:val="auto"/>
              </w:rPr>
            </w:pPr>
          </w:p>
        </w:tc>
        <w:tc>
          <w:tcPr>
            <w:tcW w:w="180" w:type="dxa"/>
            <w:vAlign w:val="bottom"/>
            <w:tcBorders>
              <w:bottom w:val="single" w:sz="8" w:color="auto"/>
            </w:tcBorders>
            <w:shd w:val="clear" w:color="auto" w:fill="D4E5F7"/>
          </w:tcPr>
          <w:p>
            <w:pPr>
              <w:spacing w:after="0"/>
              <w:rPr>
                <w:sz w:val="17"/>
                <w:szCs w:val="17"/>
                <w:color w:val="auto"/>
              </w:rPr>
            </w:pPr>
          </w:p>
        </w:tc>
        <w:tc>
          <w:tcPr>
            <w:tcW w:w="1020" w:type="dxa"/>
            <w:vAlign w:val="bottom"/>
            <w:tcBorders>
              <w:bottom w:val="single" w:sz="8" w:color="auto"/>
            </w:tcBorders>
            <w:shd w:val="clear" w:color="auto" w:fill="D4E5F7"/>
          </w:tcPr>
          <w:p>
            <w:pPr>
              <w:jc w:val="right"/>
              <w:spacing w:after="0" w:line="202" w:lineRule="exact"/>
              <w:rPr>
                <w:sz w:val="20"/>
                <w:szCs w:val="20"/>
                <w:color w:val="auto"/>
              </w:rPr>
            </w:pPr>
            <w:r>
              <w:rPr>
                <w:rFonts w:ascii="Arial" w:cs="Arial" w:eastAsia="Arial" w:hAnsi="Arial"/>
                <w:sz w:val="18"/>
                <w:szCs w:val="18"/>
                <w:color w:val="auto"/>
              </w:rPr>
              <w:t>3,792</w:t>
            </w:r>
          </w:p>
        </w:tc>
        <w:tc>
          <w:tcPr>
            <w:tcW w:w="220" w:type="dxa"/>
            <w:vAlign w:val="bottom"/>
            <w:tcBorders>
              <w:bottom w:val="single" w:sz="8" w:color="D4E5F7"/>
            </w:tcBorders>
            <w:shd w:val="clear" w:color="auto" w:fill="D4E5F7"/>
          </w:tcPr>
          <w:p>
            <w:pPr>
              <w:spacing w:after="0"/>
              <w:rPr>
                <w:sz w:val="17"/>
                <w:szCs w:val="17"/>
                <w:color w:val="auto"/>
              </w:rPr>
            </w:pPr>
          </w:p>
        </w:tc>
        <w:tc>
          <w:tcPr>
            <w:tcW w:w="200" w:type="dxa"/>
            <w:vAlign w:val="bottom"/>
            <w:tcBorders>
              <w:bottom w:val="single" w:sz="8" w:color="auto"/>
            </w:tcBorders>
            <w:shd w:val="clear" w:color="auto" w:fill="D4E5F7"/>
          </w:tcPr>
          <w:p>
            <w:pPr>
              <w:spacing w:after="0"/>
              <w:rPr>
                <w:sz w:val="17"/>
                <w:szCs w:val="17"/>
                <w:color w:val="auto"/>
              </w:rPr>
            </w:pPr>
          </w:p>
        </w:tc>
        <w:tc>
          <w:tcPr>
            <w:tcW w:w="1040" w:type="dxa"/>
            <w:vAlign w:val="bottom"/>
            <w:tcBorders>
              <w:bottom w:val="single" w:sz="8" w:color="auto"/>
            </w:tcBorders>
            <w:shd w:val="clear" w:color="auto" w:fill="D4E5F7"/>
          </w:tcPr>
          <w:p>
            <w:pPr>
              <w:jc w:val="right"/>
              <w:spacing w:after="0" w:line="202" w:lineRule="exact"/>
              <w:rPr>
                <w:sz w:val="20"/>
                <w:szCs w:val="20"/>
                <w:color w:val="auto"/>
              </w:rPr>
            </w:pPr>
            <w:r>
              <w:rPr>
                <w:rFonts w:ascii="Arial" w:cs="Arial" w:eastAsia="Arial" w:hAnsi="Arial"/>
                <w:sz w:val="18"/>
                <w:szCs w:val="18"/>
                <w:color w:val="auto"/>
              </w:rPr>
              <w:t>7,110</w:t>
            </w:r>
          </w:p>
        </w:tc>
        <w:tc>
          <w:tcPr>
            <w:tcW w:w="40" w:type="dxa"/>
            <w:vAlign w:val="bottom"/>
            <w:tcBorders>
              <w:bottom w:val="single" w:sz="8" w:color="D4E5F7"/>
            </w:tcBorders>
            <w:shd w:val="clear" w:color="auto" w:fill="D4E5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ind w:right="776"/>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w w:val="89"/>
              </w:rPr>
              <w:t>310,108</w:t>
            </w:r>
          </w:p>
        </w:tc>
        <w:tc>
          <w:tcPr>
            <w:tcW w:w="640" w:type="dxa"/>
            <w:vAlign w:val="bottom"/>
            <w:gridSpan w:val="2"/>
          </w:tcPr>
          <w:p>
            <w:pPr>
              <w:jc w:val="right"/>
              <w:ind w:right="199"/>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130,204</w:t>
            </w:r>
          </w:p>
        </w:tc>
        <w:tc>
          <w:tcPr>
            <w:tcW w:w="46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78,448</w:t>
            </w: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90,408</w:t>
            </w:r>
          </w:p>
        </w:tc>
        <w:tc>
          <w:tcPr>
            <w:tcW w:w="42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11,048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-159385</wp:posOffset>
            </wp:positionV>
            <wp:extent cx="431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-159385</wp:posOffset>
            </wp:positionV>
            <wp:extent cx="431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-159385</wp:posOffset>
            </wp:positionV>
            <wp:extent cx="342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-159385</wp:posOffset>
            </wp:positionV>
            <wp:extent cx="3429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3429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231F20"/>
        </w:rPr>
        <w:t>The debt payments included in the table above include the principal, interest and risk premium amounts due. The lease payments include fixed monthly rental payments and exclude any variable payments.</w:t>
      </w:r>
    </w:p>
    <w:p>
      <w:pPr>
        <w:spacing w:after="0" w:line="15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At March 31, 2022, we had $135.3 million of cash on deposit for future miner purchases and have significant future commitments related to these purchases included in the table above. Our operating cash flows are affected by several factors including the price of bitcoin and cost of electricity and natural gas; therefore, we may require additional capital in order to meet the commitments above. Management believes that our existing financial resources, combined with our ability to delay or alter our planned expansion steps, are sufficient to meet our operating and capital requirements for at least 12 months from the date these condensed consolidated financial statements are issued. This is predicated on us achieving our forecast which could be negatively impacted by items outside of our control, in particular, significant decreases in the price of bitcoin, regulatory changes concerning cryptocurrency, increases in energy costs or other macroeconomic conditions (including if further COVID-19 outbreaks require further statewide shutdowns) and the other matters identified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Annual Report on Form 10-K for the year ended December 31, 2021.</w:t>
      </w:r>
    </w:p>
    <w:p>
      <w:pPr>
        <w:spacing w:after="0" w:line="1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net cash flow (in thousands) for the three months ended March 31,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260" w:type="dxa"/>
            <w:vAlign w:val="bottom"/>
          </w:tcPr>
          <w:p>
            <w:pPr>
              <w:spacing w:after="0"/>
              <w:rPr>
                <w:sz w:val="16"/>
                <w:szCs w:val="16"/>
                <w:color w:val="auto"/>
              </w:rPr>
            </w:pPr>
          </w:p>
        </w:tc>
        <w:tc>
          <w:tcPr>
            <w:tcW w:w="2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4240" w:type="dxa"/>
            <w:vAlign w:val="bottom"/>
            <w:vMerge w:val="continue"/>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shd w:val="clear" w:color="auto" w:fill="D5E6F7"/>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D5E6F7"/>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6,330</w:t>
            </w:r>
          </w:p>
        </w:tc>
        <w:tc>
          <w:tcPr>
            <w:tcW w:w="400" w:type="dxa"/>
            <w:vAlign w:val="bottom"/>
            <w:shd w:val="clear" w:color="auto" w:fill="D5E6F7"/>
          </w:tcPr>
          <w:p>
            <w:pPr>
              <w:spacing w:after="0"/>
              <w:rPr>
                <w:sz w:val="17"/>
                <w:szCs w:val="17"/>
                <w:color w:val="auto"/>
              </w:rPr>
            </w:pPr>
          </w:p>
        </w:tc>
        <w:tc>
          <w:tcPr>
            <w:tcW w:w="280" w:type="dxa"/>
            <w:vAlign w:val="bottom"/>
            <w:shd w:val="clear" w:color="auto" w:fill="D5E6F7"/>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D5E6F7"/>
          </w:tcPr>
          <w:p>
            <w:pPr>
              <w:jc w:val="right"/>
              <w:spacing w:after="0" w:line="196" w:lineRule="exact"/>
              <w:rPr>
                <w:sz w:val="20"/>
                <w:szCs w:val="20"/>
                <w:color w:val="auto"/>
              </w:rPr>
            </w:pPr>
            <w:r>
              <w:rPr>
                <w:rFonts w:ascii="Arial" w:cs="Arial" w:eastAsia="Arial" w:hAnsi="Arial"/>
                <w:sz w:val="18"/>
                <w:szCs w:val="18"/>
                <w:color w:val="auto"/>
              </w:rPr>
              <w:t>2,487</w:t>
            </w:r>
          </w:p>
        </w:tc>
        <w:tc>
          <w:tcPr>
            <w:tcW w:w="80" w:type="dxa"/>
            <w:vAlign w:val="bottom"/>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(70,639 )</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(5,667 )</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D5E6F7"/>
          </w:tcPr>
          <w:p>
            <w:pPr>
              <w:spacing w:after="0"/>
              <w:rPr>
                <w:sz w:val="17"/>
                <w:szCs w:val="17"/>
                <w:color w:val="auto"/>
              </w:rPr>
            </w:pPr>
          </w:p>
        </w:tc>
        <w:tc>
          <w:tcPr>
            <w:tcW w:w="9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78,163</w:t>
            </w:r>
          </w:p>
        </w:tc>
        <w:tc>
          <w:tcPr>
            <w:tcW w:w="400" w:type="dxa"/>
            <w:vAlign w:val="bottom"/>
            <w:tcBorders>
              <w:bottom w:val="single" w:sz="8" w:color="D5E6F7"/>
            </w:tcBorders>
            <w:shd w:val="clear" w:color="auto" w:fill="D5E6F7"/>
          </w:tcPr>
          <w:p>
            <w:pPr>
              <w:spacing w:after="0"/>
              <w:rPr>
                <w:sz w:val="17"/>
                <w:szCs w:val="17"/>
                <w:color w:val="auto"/>
              </w:rPr>
            </w:pPr>
          </w:p>
        </w:tc>
        <w:tc>
          <w:tcPr>
            <w:tcW w:w="280" w:type="dxa"/>
            <w:vAlign w:val="bottom"/>
            <w:tcBorders>
              <w:bottom w:val="single" w:sz="8" w:color="auto"/>
            </w:tcBorders>
            <w:shd w:val="clear" w:color="auto" w:fill="D5E6F7"/>
          </w:tcPr>
          <w:p>
            <w:pPr>
              <w:spacing w:after="0"/>
              <w:rPr>
                <w:sz w:val="17"/>
                <w:szCs w:val="17"/>
                <w:color w:val="auto"/>
              </w:rPr>
            </w:pPr>
          </w:p>
        </w:tc>
        <w:tc>
          <w:tcPr>
            <w:tcW w:w="9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37,294</w:t>
            </w:r>
          </w:p>
        </w:tc>
        <w:tc>
          <w:tcPr>
            <w:tcW w:w="80" w:type="dxa"/>
            <w:vAlign w:val="bottom"/>
            <w:tcBorders>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line="196" w:lineRule="exact"/>
              <w:rPr>
                <w:sz w:val="20"/>
                <w:szCs w:val="20"/>
                <w:color w:val="auto"/>
              </w:rPr>
            </w:pPr>
            <w:r>
              <w:rPr>
                <w:rFonts w:ascii="Arial" w:cs="Arial" w:eastAsia="Arial" w:hAnsi="Arial"/>
                <w:sz w:val="18"/>
                <w:szCs w:val="18"/>
                <w:color w:val="auto"/>
              </w:rPr>
              <w:t>Net change in cash and cash equivalents</w:t>
            </w: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13,854</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34,114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Borders>
              <w:bottom w:val="single" w:sz="8" w:color="D5E6F7"/>
            </w:tcBorders>
            <w:shd w:val="clear" w:color="auto" w:fill="D5E6F7"/>
          </w:tcPr>
          <w:p>
            <w:pPr>
              <w:ind w:left="20"/>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auto"/>
            </w:tcBorders>
            <w:shd w:val="clear" w:color="auto" w:fill="D5E6F7"/>
          </w:tcPr>
          <w:p>
            <w:pPr>
              <w:spacing w:after="0"/>
              <w:rPr>
                <w:sz w:val="17"/>
                <w:szCs w:val="17"/>
                <w:color w:val="auto"/>
              </w:rPr>
            </w:pPr>
          </w:p>
        </w:tc>
        <w:tc>
          <w:tcPr>
            <w:tcW w:w="98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82,599</w:t>
            </w:r>
          </w:p>
        </w:tc>
        <w:tc>
          <w:tcPr>
            <w:tcW w:w="400" w:type="dxa"/>
            <w:vAlign w:val="bottom"/>
            <w:tcBorders>
              <w:bottom w:val="single" w:sz="8" w:color="D5E6F7"/>
            </w:tcBorders>
            <w:shd w:val="clear" w:color="auto" w:fill="D5E6F7"/>
          </w:tcPr>
          <w:p>
            <w:pPr>
              <w:spacing w:after="0"/>
              <w:rPr>
                <w:sz w:val="17"/>
                <w:szCs w:val="17"/>
                <w:color w:val="auto"/>
              </w:rPr>
            </w:pPr>
          </w:p>
        </w:tc>
        <w:tc>
          <w:tcPr>
            <w:tcW w:w="280" w:type="dxa"/>
            <w:vAlign w:val="bottom"/>
            <w:tcBorders>
              <w:bottom w:val="single" w:sz="8" w:color="auto"/>
            </w:tcBorders>
            <w:shd w:val="clear" w:color="auto" w:fill="D5E6F7"/>
          </w:tcPr>
          <w:p>
            <w:pPr>
              <w:spacing w:after="0"/>
              <w:rPr>
                <w:sz w:val="17"/>
                <w:szCs w:val="17"/>
                <w:color w:val="auto"/>
              </w:rPr>
            </w:pPr>
          </w:p>
        </w:tc>
        <w:tc>
          <w:tcPr>
            <w:tcW w:w="940" w:type="dxa"/>
            <w:vAlign w:val="bottom"/>
            <w:tcBorders>
              <w:bottom w:val="single" w:sz="8" w:color="auto"/>
            </w:tcBorders>
            <w:shd w:val="clear" w:color="auto" w:fill="D5E6F7"/>
          </w:tcPr>
          <w:p>
            <w:pPr>
              <w:jc w:val="right"/>
              <w:spacing w:after="0" w:line="202" w:lineRule="exact"/>
              <w:rPr>
                <w:sz w:val="20"/>
                <w:szCs w:val="20"/>
                <w:color w:val="auto"/>
              </w:rPr>
            </w:pPr>
            <w:r>
              <w:rPr>
                <w:rFonts w:ascii="Arial" w:cs="Arial" w:eastAsia="Arial" w:hAnsi="Arial"/>
                <w:sz w:val="18"/>
                <w:szCs w:val="18"/>
                <w:color w:val="auto"/>
              </w:rPr>
              <w:t>5,052</w:t>
            </w:r>
          </w:p>
        </w:tc>
        <w:tc>
          <w:tcPr>
            <w:tcW w:w="80" w:type="dxa"/>
            <w:vAlign w:val="bottom"/>
            <w:tcBorders>
              <w:bottom w:val="single" w:sz="8" w:color="D5E6F7"/>
            </w:tcBorders>
            <w:shd w:val="clear" w:color="auto" w:fill="D5E6F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line="182" w:lineRule="exact"/>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96,453</w:t>
            </w:r>
          </w:p>
        </w:tc>
        <w:tc>
          <w:tcPr>
            <w:tcW w:w="4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39,166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-424815</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-424815</wp:posOffset>
            </wp:positionV>
            <wp:extent cx="603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-159385</wp:posOffset>
            </wp:positionV>
            <wp:extent cx="685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-159385</wp:posOffset>
            </wp:positionV>
            <wp:extent cx="6032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Net cash provided by operating activities was $6.3 million for the three months ended March 31, 2022, as compared to $2.5 million for the three months ended March 31, 2021. The increase in the operating cash flow during the first three months of 2022 as compared to 2021 was driven primarily by benefits from working capital as accounts payable and accrued expenses increased more significantly in 2022 than in 2021.</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cash used in investing activities was $70.6 million for the three months ended March 31, 2022, as compared to $5.7 million for the three months ended March 31, 2021. For the three months ended March 31, 2022, purchases of and deposits for property and equipment significantly increased as compared to the prior year due to the expansion of our miner fleet for cryptocurrency mining.</w:t>
      </w:r>
    </w:p>
    <w:p>
      <w:pPr>
        <w:spacing w:after="0" w:line="168"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Net cash provided by financing activities was $78.2 million for the three months ended March 31, 2022, as compared to $37.3 million for the three months ended March 31, 2021. For the three months ended March 31, 2022, the net cash provided by financing activities consisted of $80.4 million of net proceeds from debt and $3.8 million of net proceeds from issuance of common stock, offset by $5.9 million of payments of debt principal and finance lease obligations. For the first three months of 2021, the net cash provided by financing activities consisted of $37.1 million in proceeds from issuance of preferred stock and $1.0 million of proceeds from stock options exercised, partially offset by $0.8 million of principal payments on 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Master Equipment Finance Agreement</w:t>
      </w:r>
    </w:p>
    <w:p>
      <w:pPr>
        <w:spacing w:after="0" w:line="1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231F20"/>
        </w:rPr>
        <w:t>On March 21, 2022, Greenidge, as guarantor, together with its wholly-owned subsidiaries GTX Gen 1 Collateral LLC, GNY Collateral LLC and GSC Collateral LLC (collectively, the “Borrowers”) entered into a Master Equipment Finance Agreement (the “NYDIG Financing Agreement”) with NYDIG ABL LLC (“NYDIG”), as lender, whereby NYDIG agreed to lend to the Borrowers approximately $81 million under loan schedules that were partially funded for approximately $54.0 million in March 2022 and will continue to be funded to finance the acquisition of certain bitcoin miners and related equipment (the “Financed Equipment”). The Borrower’s obligations under the NYDIG Financing Agreement are fully and unconditionally guaranteed by Greenidge. Outstanding borrowings under the NYDIG Financing Agreement are secured by all assets of the Borrowers including without limitation the Financed Equipment and proceeds thereof (including bitcoin). The partially funded loan schedules bear interest at a rate of 13% per annum and have terms of twenty-five months. Certain loan schedules are interest-only for a specified period and otherwise payments on loan schedules include both an interest and principal payment.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Secured Promissory Note</w:t>
      </w:r>
    </w:p>
    <w:p>
      <w:pPr>
        <w:spacing w:after="0" w:line="1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231F20"/>
        </w:rPr>
        <w:t>In addition to the NYDIG Financing Agreement, on March 18, 2022, Greenidge also issued a secured promissory note, as borrower, in favor of B. Riley Commercial Capital, LLC, as noteholder (the “Noteholder”), evidencing a $26.5 million aggregate principal amount loan by the Noteholder to the Company (the “Secured Promissory Note”). The Secured Promissory Note is guaranteed by certain of Greenidge’s wholly-owned subsidiaries: Greenidge South Carolina LLC, GSC RE LLC and 300 Jones Road LLC. The loan outstanding under the Secured Promissory Note bears interest at a rate of 6% per annum and matures on July 20, 2022, subject to up to five 30-day extensions that may be elected by Greenidge provided no Event of Default (as defined therein) has occurred and is continuing and Greenidge pays an Exit Fee (as defined therein) to the Noteholder. The Secured Promissory Note is secured by a first priority mortgage lien on certain real property together with related improvements, fixtures and personal property located at the South Carolina Facility. Greenidge’s obligations under the Secured Promissory Note may be prepaid in whole or in part without penalties or fees.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Refer to Note 7, Debt, to the Condensed Consolidated Financial Statements of this form 10-Q for a further discussion of the Company's debt.</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color w:val="auto"/>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spacing w:after="0" w:line="84" w:lineRule="exact"/>
        <w:rPr>
          <w:sz w:val="20"/>
          <w:szCs w:val="20"/>
          <w:color w:val="auto"/>
        </w:rPr>
      </w:pPr>
    </w:p>
    <w:p>
      <w:pPr>
        <w:ind w:left="840" w:hanging="353"/>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an auditor report on our internal controls over financial reporting pursuant to Section 404(b) of the Sarbanes-Oxley Act;</w:t>
      </w:r>
    </w:p>
    <w:p>
      <w:pPr>
        <w:spacing w:after="0" w:line="184" w:lineRule="exact"/>
        <w:rPr>
          <w:rFonts w:ascii="Arial" w:cs="Arial" w:eastAsia="Arial" w:hAnsi="Arial"/>
          <w:sz w:val="18"/>
          <w:szCs w:val="18"/>
          <w:color w:val="auto"/>
        </w:rPr>
      </w:pPr>
    </w:p>
    <w:p>
      <w:pPr>
        <w:ind w:left="840" w:right="500" w:hanging="353"/>
        <w:spacing w:after="0" w:line="248"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41" w:lineRule="exact"/>
        <w:rPr>
          <w:rFonts w:ascii="Arial" w:cs="Arial" w:eastAsia="Arial" w:hAnsi="Arial"/>
          <w:sz w:val="18"/>
          <w:szCs w:val="18"/>
          <w:color w:val="auto"/>
        </w:rPr>
      </w:pPr>
    </w:p>
    <w:p>
      <w:pPr>
        <w:ind w:left="840" w:right="620" w:hanging="353"/>
        <w:spacing w:after="0" w:line="261"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pay ratio; and</w:t>
      </w:r>
    </w:p>
    <w:p>
      <w:pPr>
        <w:spacing w:after="0" w:line="130" w:lineRule="exact"/>
        <w:rPr>
          <w:rFonts w:ascii="Arial" w:cs="Arial" w:eastAsia="Arial" w:hAnsi="Arial"/>
          <w:sz w:val="18"/>
          <w:szCs w:val="18"/>
          <w:color w:val="auto"/>
        </w:rPr>
      </w:pPr>
    </w:p>
    <w:p>
      <w:pPr>
        <w:ind w:left="840" w:right="780" w:hanging="353"/>
        <w:spacing w:after="0" w:line="261"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57" w:lineRule="exact"/>
        <w:rPr>
          <w:sz w:val="20"/>
          <w:szCs w:val="20"/>
          <w:color w:val="auto"/>
        </w:rPr>
      </w:pPr>
    </w:p>
    <w:p>
      <w:pPr>
        <w:jc w:val="both"/>
        <w:ind w:right="460"/>
        <w:spacing w:after="0" w:line="270" w:lineRule="auto"/>
        <w:rPr>
          <w:sz w:val="20"/>
          <w:szCs w:val="20"/>
          <w:color w:val="auto"/>
        </w:rPr>
      </w:pPr>
      <w:r>
        <w:rPr>
          <w:rFonts w:ascii="Arial" w:cs="Arial" w:eastAsia="Arial" w:hAnsi="Arial"/>
          <w:sz w:val="17"/>
          <w:szCs w:val="17"/>
          <w:color w:val="auto"/>
        </w:rPr>
        <w:t>In other words, an emerging growth company can delay the adoption of certain accounting standards until those standards would otherwise apply to private companies. We have elected to take advantage of the benefits of this extended transition period. Its financial statements may therefore not be comparable to those of companies that comply with such new or revised accounting standards.</w:t>
      </w:r>
    </w:p>
    <w:p>
      <w:pPr>
        <w:spacing w:after="0" w:line="15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will remain an “emerging growth company” for up to five years, or until the earliest of (i) the last day of the first fiscal year in which our total annual gross revenues exceed $1.07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 for smaller reporting companies.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8"/>
          <w:szCs w:val="18"/>
          <w:color w:val="231F20"/>
        </w:rPr>
        <w:t>The Company’s management, including its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the Chief Executive Officer and Chief Financial Officer concluded as of March 31, 2022,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the Company’s management, including its Chief Executive Officer and Chief Financial Officer, as appropriate, to allow timely decisions regarding required disclosure.</w:t>
      </w:r>
    </w:p>
    <w:p>
      <w:pPr>
        <w:spacing w:after="0" w:line="150" w:lineRule="exact"/>
        <w:rPr>
          <w:sz w:val="20"/>
          <w:szCs w:val="20"/>
          <w:color w:val="auto"/>
        </w:rPr>
      </w:pPr>
    </w:p>
    <w:p>
      <w:pPr>
        <w:ind w:right="580"/>
        <w:spacing w:after="0" w:line="258" w:lineRule="auto"/>
        <w:rPr>
          <w:sz w:val="20"/>
          <w:szCs w:val="20"/>
          <w:color w:val="auto"/>
        </w:rPr>
      </w:pPr>
      <w:r>
        <w:rPr>
          <w:rFonts w:ascii="Arial" w:cs="Arial" w:eastAsia="Arial" w:hAnsi="Arial"/>
          <w:sz w:val="17"/>
          <w:szCs w:val="17"/>
          <w:color w:val="231F20"/>
        </w:rPr>
        <w:t>There have not been any changes in the Company’s internal control over financial reporting that occurred during the first quarter of 2022 that have materially affected, or are reasonably likely to materially affect, the Company’s internal control over financial reporting.</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231F20"/>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For information on legal proceedings, refer to Note 13. Commitments and Contingencies—Legal Matters in our unaudited condensed consolidated financial statements included elsewhere in this report.</w:t>
      </w:r>
    </w:p>
    <w:p>
      <w:pPr>
        <w:spacing w:after="0" w:line="16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On December 17, 2020, certain parties filed an Article 78 petition with the Supreme Court of the State of New York, Yates County, that challenged the Town of Torrey’s site plan review for the planned expansion of our cryptocurrency datacenter in the Town of Torrey. We were joined in the petition as a necessary party. The petition asserted two errors by the Town of Torrey in its review of the site plan. In April, 2022, the Supreme Court of the State of New York, Yates County denied the parties’ petition.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Part I, Item 1A "Risk Factors" of our Annual Report on Form 10-K for the year ended December 31, 2021, includes a discussion of our risk factors which are incorporated herein. Through the quarterly period covered by this report, there have been no material changes to the risk factors disclosed in Greenidge's Annual Report on Form 10-K for the year ended December 31,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On September 15, 2021, we entered into a purchase agreement (the “2021 Purchase Agreement”), with B. Riley Principal Capital, LLC (“BRPC”) pursuant to which we had the right to sell to BRPC up to $500 million in shares of class A common stock, subject to certain limitations and the satisfaction of specified conditions in the 2021 Purchase Agreement, from time to time over the 24-month period commencing on October 6, 2021. On April 6, 2022, we and BRPC mutually agreed to terminate the 2021 Purchase Agreement, effective immediately on such date. From January 1, 2022 to April 6, 2022, we issued 415,000 shares of our class A common stock to BRPC under the Purchase Agreement. We intend to use the net proceeds for general corporate purposes, including funding capital expenditures, future acquisitions, investments and working capital and repaying indebtedness.</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April 7, 2022, we entered into a common stock purchase agreement, as amended by Amendment No. 1 to Common Stock Purchase Agreement dated as of April 13, 2022 (as amended, the “2022 Purchase Agreement”) with BRPC, pursuant to which we have the right to sell to BRPC up to $500 million in shares of class A common stock, subject to certain limitations and the satisfaction of specified conditions in the 2022 Purchase Agreement, from time to time over the 24-month period commencing on April 28, 2022. From April 28, 2022 to May 16, 2022, we issued 15,000 shares of our class A common stock to BRPC under the Purchase Agreement. We intend to use the net proceeds, if any, for general corporate purposes, including funding capital expenditures, future acquisitions, investments and working capital and repaying indebtedness.</w:t>
      </w:r>
    </w:p>
    <w:p>
      <w:pPr>
        <w:spacing w:after="0" w:line="364"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The sales of the above securities were deemed to be exempt from registration under the Securities Act in reliance upon Section 4(a)(2) of the Securities Act. The recipients of the securities in each of these transactions represented their intentions and appropriate legends were placed upon the stock certificates issued in these transactions.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on the Exhibit Index are filed or furnished as part of this Quarterly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18"/>
          </w:tcPr>
          <w:p>
            <w:pPr>
              <w:ind w:left="1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2"/>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9220" w:type="dxa"/>
            <w:vAlign w:val="bottom"/>
            <w:tcBorders>
              <w:bottom w:val="single" w:sz="8" w:color="auto"/>
            </w:tcBorders>
            <w:gridSpan w:val="25"/>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9220" w:type="dxa"/>
            <w:vAlign w:val="bottom"/>
            <w:gridSpan w:val="25"/>
          </w:tcPr>
          <w:p>
            <w:pPr>
              <w:spacing w:after="0" w:line="169" w:lineRule="exact"/>
              <w:rPr>
                <w:rFonts w:ascii="Arial" w:cs="Arial" w:eastAsia="Arial" w:hAnsi="Arial"/>
                <w:sz w:val="18"/>
                <w:szCs w:val="18"/>
                <w:color w:val="0000FF"/>
                <w:w w:val="94"/>
              </w:rPr>
            </w:pPr>
            <w:hyperlink r:id="rId212">
              <w:r>
                <w:rPr>
                  <w:rFonts w:ascii="Arial" w:cs="Arial" w:eastAsia="Arial" w:hAnsi="Arial"/>
                  <w:sz w:val="18"/>
                  <w:szCs w:val="18"/>
                  <w:color w:val="0000FF"/>
                  <w:w w:val="94"/>
                </w:rPr>
                <w:t>Secured Promissory Note, dated March 18, 2022, by Greenidge Generation Holdings Inc., as borrower, in favor of B. Riley</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212">
              <w:r>
                <w:rPr>
                  <w:rFonts w:ascii="Arial" w:cs="Arial" w:eastAsia="Arial" w:hAnsi="Arial"/>
                  <w:sz w:val="18"/>
                  <w:szCs w:val="18"/>
                  <w:color w:val="0000FF"/>
                  <w:w w:val="92"/>
                </w:rPr>
                <w:t>Commercial Capital, LLC (incorporated by reference to Exhibit 10.1 to the Company’s Report on Form 8-K filed on March</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3"/>
                <w:szCs w:val="13"/>
                <w:color w:val="auto"/>
              </w:rPr>
            </w:pPr>
          </w:p>
        </w:tc>
        <w:tc>
          <w:tcPr>
            <w:tcW w:w="7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212">
              <w:r>
                <w:rPr>
                  <w:rFonts w:ascii="Arial" w:cs="Arial" w:eastAsia="Arial" w:hAnsi="Arial"/>
                  <w:sz w:val="18"/>
                  <w:szCs w:val="18"/>
                  <w:color w:val="0000FF"/>
                  <w:w w:val="89"/>
                </w:rPr>
                <w:t>24, 2022)</w:t>
              </w:r>
            </w:hyperlink>
          </w:p>
        </w:tc>
        <w:tc>
          <w:tcPr>
            <w:tcW w:w="20" w:type="dxa"/>
            <w:vAlign w:val="bottom"/>
            <w:tcBorders>
              <w:bottom w:val="single" w:sz="8" w:color="0000EE"/>
            </w:tcBorders>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Master</w:t>
              </w:r>
            </w:hyperlink>
          </w:p>
        </w:tc>
        <w:tc>
          <w:tcPr>
            <w:tcW w:w="8500" w:type="dxa"/>
            <w:vAlign w:val="bottom"/>
            <w:gridSpan w:val="23"/>
          </w:tcPr>
          <w:p>
            <w:pPr>
              <w:spacing w:after="0" w:line="182" w:lineRule="exact"/>
              <w:rPr>
                <w:rFonts w:ascii="Arial" w:cs="Arial" w:eastAsia="Arial" w:hAnsi="Arial"/>
                <w:sz w:val="18"/>
                <w:szCs w:val="18"/>
                <w:color w:val="0000FF"/>
                <w:w w:val="97"/>
              </w:rPr>
            </w:pPr>
            <w:hyperlink r:id="rId213">
              <w:r>
                <w:rPr>
                  <w:rFonts w:ascii="Arial" w:cs="Arial" w:eastAsia="Arial" w:hAnsi="Arial"/>
                  <w:sz w:val="18"/>
                  <w:szCs w:val="18"/>
                  <w:color w:val="0000FF"/>
                  <w:w w:val="97"/>
                </w:rPr>
                <w:t>Equipment Finance Agreement, dated as of March 21, 2022, by and among GTX Gen 1 Collateral LLC, GNY</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213">
              <w:r>
                <w:rPr>
                  <w:rFonts w:ascii="Arial" w:cs="Arial" w:eastAsia="Arial" w:hAnsi="Arial"/>
                  <w:sz w:val="18"/>
                  <w:szCs w:val="18"/>
                  <w:color w:val="0000FF"/>
                  <w:w w:val="92"/>
                </w:rPr>
                <w:t>Collateral LLC, GSC Collateral LLC, Greenidge Generation Holdings Inc., each guarantor party thereto, and NYDIG</w:t>
              </w:r>
            </w:hyperlink>
          </w:p>
        </w:tc>
        <w:tc>
          <w:tcPr>
            <w:tcW w:w="420" w:type="dxa"/>
            <w:vAlign w:val="bottom"/>
            <w:tcBorders>
              <w:bottom w:val="single" w:sz="8" w:color="0000FF"/>
            </w:tcBorders>
            <w:gridSpan w:val="7"/>
          </w:tcPr>
          <w:p>
            <w:pPr>
              <w:jc w:val="center"/>
              <w:ind w:right="60"/>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ABL</w:t>
              </w:r>
            </w:hyperlink>
          </w:p>
        </w:tc>
        <w:tc>
          <w:tcPr>
            <w:tcW w:w="2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20" w:type="dxa"/>
            <w:vAlign w:val="bottom"/>
            <w:gridSpan w:val="25"/>
          </w:tcPr>
          <w:p>
            <w:pPr>
              <w:spacing w:after="0" w:line="156" w:lineRule="exact"/>
              <w:rPr>
                <w:rFonts w:ascii="Arial" w:cs="Arial" w:eastAsia="Arial" w:hAnsi="Arial"/>
                <w:sz w:val="18"/>
                <w:szCs w:val="18"/>
                <w:color w:val="0000FF"/>
                <w:w w:val="92"/>
              </w:rPr>
            </w:pPr>
            <w:hyperlink r:id="rId213">
              <w:r>
                <w:rPr>
                  <w:rFonts w:ascii="Arial" w:cs="Arial" w:eastAsia="Arial" w:hAnsi="Arial"/>
                  <w:sz w:val="18"/>
                  <w:szCs w:val="18"/>
                  <w:color w:val="0000FF"/>
                  <w:w w:val="92"/>
                </w:rPr>
                <w:t>LLC, as lender, servicer and collateral agent (incorporated by reference to Exhibit 10.2 to the Company’s Report on Form 8-K</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3"/>
                <w:szCs w:val="13"/>
                <w:color w:val="auto"/>
              </w:rPr>
            </w:pPr>
          </w:p>
        </w:tc>
        <w:tc>
          <w:tcPr>
            <w:tcW w:w="91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filed on March 24,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20" w:type="dxa"/>
            <w:vAlign w:val="bottom"/>
            <w:gridSpan w:val="25"/>
          </w:tcPr>
          <w:p>
            <w:pPr>
              <w:spacing w:after="0" w:line="182" w:lineRule="exact"/>
              <w:rPr>
                <w:rFonts w:ascii="Arial" w:cs="Arial" w:eastAsia="Arial" w:hAnsi="Arial"/>
                <w:sz w:val="18"/>
                <w:szCs w:val="18"/>
                <w:color w:val="0000FF"/>
                <w:w w:val="93"/>
              </w:rPr>
            </w:pPr>
            <w:hyperlink r:id="rId214">
              <w:r>
                <w:rPr>
                  <w:rFonts w:ascii="Arial" w:cs="Arial" w:eastAsia="Arial" w:hAnsi="Arial"/>
                  <w:sz w:val="18"/>
                  <w:szCs w:val="18"/>
                  <w:color w:val="0000FF"/>
                  <w:w w:val="93"/>
                </w:rPr>
                <w:t>Purchase Agreement, dated as of April 7, 2022, between Greenidge Generation Holdings Inc. and B. Riley Principal Capital,</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214">
              <w:r>
                <w:rPr>
                  <w:rFonts w:ascii="Arial" w:cs="Arial" w:eastAsia="Arial" w:hAnsi="Arial"/>
                  <w:sz w:val="18"/>
                  <w:szCs w:val="18"/>
                  <w:color w:val="0000FF"/>
                  <w:w w:val="92"/>
                </w:rPr>
                <w:t>LLC (incorporated by reference to Exhibit 10.1 to the Company’s Report on Form 8-K filed on April 8,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1080" w:type="dxa"/>
            <w:vAlign w:val="bottom"/>
            <w:tcBorders>
              <w:top w:val="single" w:sz="8" w:color="0000FF"/>
            </w:tcBorders>
            <w:gridSpan w:val="10"/>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20" w:type="dxa"/>
            <w:vAlign w:val="bottom"/>
            <w:gridSpan w:val="25"/>
          </w:tcPr>
          <w:p>
            <w:pPr>
              <w:spacing w:after="0" w:line="182" w:lineRule="exact"/>
              <w:rPr>
                <w:rFonts w:ascii="Arial" w:cs="Arial" w:eastAsia="Arial" w:hAnsi="Arial"/>
                <w:sz w:val="18"/>
                <w:szCs w:val="18"/>
                <w:color w:val="0000FF"/>
                <w:w w:val="92"/>
              </w:rPr>
            </w:pPr>
            <w:hyperlink r:id="rId215">
              <w:r>
                <w:rPr>
                  <w:rFonts w:ascii="Arial" w:cs="Arial" w:eastAsia="Arial" w:hAnsi="Arial"/>
                  <w:sz w:val="18"/>
                  <w:szCs w:val="18"/>
                  <w:color w:val="0000FF"/>
                  <w:w w:val="92"/>
                </w:rPr>
                <w:t>Registration Rights Agreement, dated as of April 7, 2022, between Greenidge Generation Holdings Inc. and B. Riley Principal</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3"/>
                <w:szCs w:val="13"/>
                <w:color w:val="auto"/>
              </w:rPr>
            </w:pPr>
          </w:p>
        </w:tc>
        <w:tc>
          <w:tcPr>
            <w:tcW w:w="9180" w:type="dxa"/>
            <w:vAlign w:val="bottom"/>
            <w:tcBorders>
              <w:top w:val="single" w:sz="8" w:color="0000FF"/>
            </w:tcBorders>
            <w:gridSpan w:val="23"/>
          </w:tcPr>
          <w:p>
            <w:pPr>
              <w:spacing w:after="0" w:line="156"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Capital, LLC (incorporated by reference to Exhibit 10.2 to the Company’s Report on Form 8-K filed on April 8,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0"/>
              </w:rPr>
            </w:pPr>
            <w:hyperlink r:id="rId216">
              <w:r>
                <w:rPr>
                  <w:rFonts w:ascii="Arial" w:cs="Arial" w:eastAsia="Arial" w:hAnsi="Arial"/>
                  <w:sz w:val="18"/>
                  <w:szCs w:val="18"/>
                  <w:color w:val="0000FF"/>
                  <w:w w:val="90"/>
                </w:rPr>
                <w:t>Amendment No. 1 to Common Stock Purchase Agreement, dated as of April 13, 2022, between Greenidge Generation</w:t>
              </w:r>
            </w:hyperlink>
          </w:p>
        </w:tc>
        <w:tc>
          <w:tcPr>
            <w:tcW w:w="40" w:type="dxa"/>
            <w:vAlign w:val="bottom"/>
            <w:tcBorders>
              <w:bottom w:val="single" w:sz="8" w:color="0000FF"/>
            </w:tcBorders>
          </w:tcPr>
          <w:p>
            <w:pPr>
              <w:spacing w:after="0"/>
              <w:rPr>
                <w:sz w:val="15"/>
                <w:szCs w:val="15"/>
                <w:color w:val="auto"/>
              </w:rPr>
            </w:pPr>
          </w:p>
        </w:tc>
        <w:tc>
          <w:tcPr>
            <w:tcW w:w="640" w:type="dxa"/>
            <w:vAlign w:val="bottom"/>
            <w:gridSpan w:val="12"/>
            <w:vMerge w:val="restart"/>
          </w:tcPr>
          <w:p>
            <w:pPr>
              <w:jc w:val="center"/>
              <w:ind w:right="460"/>
              <w:spacing w:after="0"/>
              <w:rPr>
                <w:rFonts w:ascii="Arial" w:cs="Arial" w:eastAsia="Arial" w:hAnsi="Arial"/>
                <w:sz w:val="18"/>
                <w:szCs w:val="18"/>
                <w:color w:val="0000FF"/>
                <w:w w:val="89"/>
              </w:rPr>
            </w:pPr>
            <w:hyperlink r:id="rId216">
              <w:r>
                <w:rPr>
                  <w:rFonts w:ascii="Arial" w:cs="Arial" w:eastAsia="Arial" w:hAnsi="Arial"/>
                  <w:sz w:val="18"/>
                  <w:szCs w:val="18"/>
                  <w:color w:val="0000FF"/>
                  <w:w w:val="89"/>
                </w:rPr>
                <w:t>on</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580" w:type="dxa"/>
            <w:vAlign w:val="bottom"/>
            <w:gridSpan w:val="13"/>
          </w:tcPr>
          <w:p>
            <w:pPr>
              <w:spacing w:after="0" w:line="156" w:lineRule="exact"/>
              <w:rPr>
                <w:rFonts w:ascii="Arial" w:cs="Arial" w:eastAsia="Arial" w:hAnsi="Arial"/>
                <w:sz w:val="18"/>
                <w:szCs w:val="18"/>
                <w:color w:val="0000FF"/>
                <w:w w:val="92"/>
              </w:rPr>
            </w:pPr>
            <w:hyperlink r:id="rId216">
              <w:r>
                <w:rPr>
                  <w:rFonts w:ascii="Arial" w:cs="Arial" w:eastAsia="Arial" w:hAnsi="Arial"/>
                  <w:sz w:val="18"/>
                  <w:szCs w:val="18"/>
                  <w:color w:val="0000FF"/>
                  <w:w w:val="92"/>
                </w:rPr>
                <w:t>Holdings Inc. and B. Riley Principal Capital, LLC (incorporated by reference to Exhibit 10.1 to the Company’s Report</w:t>
              </w:r>
            </w:hyperlink>
          </w:p>
        </w:tc>
        <w:tc>
          <w:tcPr>
            <w:tcW w:w="64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4"/>
              </w:rPr>
            </w:pPr>
            <w:hyperlink r:id="rId216">
              <w:r>
                <w:rPr>
                  <w:rFonts w:ascii="Arial" w:cs="Arial" w:eastAsia="Arial" w:hAnsi="Arial"/>
                  <w:sz w:val="18"/>
                  <w:szCs w:val="18"/>
                  <w:color w:val="0000FF"/>
                  <w:w w:val="94"/>
                </w:rPr>
                <w:t>Form 8-K filed on April 14,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632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7"/>
          </w:tcPr>
          <w:p>
            <w:pPr>
              <w:spacing w:after="0" w:line="182" w:lineRule="exact"/>
              <w:rPr>
                <w:rFonts w:ascii="Arial" w:cs="Arial" w:eastAsia="Arial" w:hAnsi="Arial"/>
                <w:sz w:val="18"/>
                <w:szCs w:val="18"/>
                <w:color w:val="0000FF"/>
                <w:w w:val="91"/>
              </w:rPr>
            </w:pPr>
            <w:hyperlink w:anchor="page32">
              <w:r>
                <w:rPr>
                  <w:rFonts w:ascii="Arial" w:cs="Arial" w:eastAsia="Arial" w:hAnsi="Arial"/>
                  <w:sz w:val="18"/>
                  <w:szCs w:val="18"/>
                  <w:color w:val="0000FF"/>
                  <w:w w:val="91"/>
                </w:rPr>
                <w:t>Certification of Principal Executive</w:t>
              </w:r>
            </w:hyperlink>
          </w:p>
        </w:tc>
        <w:tc>
          <w:tcPr>
            <w:tcW w:w="6720" w:type="dxa"/>
            <w:vAlign w:val="bottom"/>
            <w:gridSpan w:val="18"/>
          </w:tcPr>
          <w:p>
            <w:pPr>
              <w:ind w:left="120"/>
              <w:spacing w:after="0" w:line="182" w:lineRule="exact"/>
              <w:rPr>
                <w:rFonts w:ascii="Arial" w:cs="Arial" w:eastAsia="Arial" w:hAnsi="Arial"/>
                <w:sz w:val="18"/>
                <w:szCs w:val="18"/>
                <w:color w:val="0000FF"/>
                <w:w w:val="91"/>
              </w:rPr>
            </w:pPr>
            <w:hyperlink w:anchor="page32">
              <w:r>
                <w:rPr>
                  <w:rFonts w:ascii="Arial" w:cs="Arial" w:eastAsia="Arial" w:hAnsi="Arial"/>
                  <w:sz w:val="18"/>
                  <w:szCs w:val="18"/>
                  <w:color w:val="0000FF"/>
                  <w:w w:val="91"/>
                </w:rPr>
                <w:t>Officer Pursuant to Rules 13a-14(a) and 15d-14(a) of the Securities Exchange Act of 1934,</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3"/>
                <w:szCs w:val="13"/>
                <w:color w:val="auto"/>
              </w:rPr>
            </w:pPr>
          </w:p>
        </w:tc>
        <w:tc>
          <w:tcPr>
            <w:tcW w:w="92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32">
              <w:r>
                <w:rPr>
                  <w:rFonts w:ascii="Arial" w:cs="Arial" w:eastAsia="Arial" w:hAnsi="Arial"/>
                  <w:sz w:val="18"/>
                  <w:szCs w:val="18"/>
                  <w:color w:val="0000FF"/>
                </w:rPr>
                <w:t>as amended, as Adopted Pursuant to Section 302 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0" w:type="dxa"/>
            <w:vAlign w:val="bottom"/>
            <w:tcBorders>
              <w:right w:val="single" w:sz="8" w:color="0000EE"/>
            </w:tcBorders>
            <w:gridSpan w:val="3"/>
            <w:shd w:val="clear" w:color="auto" w:fill="0000FF"/>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20" w:type="dxa"/>
            <w:vAlign w:val="bottom"/>
            <w:gridSpan w:val="25"/>
          </w:tcPr>
          <w:p>
            <w:pPr>
              <w:spacing w:after="0" w:line="182" w:lineRule="exact"/>
              <w:rPr>
                <w:rFonts w:ascii="Arial" w:cs="Arial" w:eastAsia="Arial" w:hAnsi="Arial"/>
                <w:sz w:val="18"/>
                <w:szCs w:val="18"/>
                <w:color w:val="0000FF"/>
                <w:w w:val="92"/>
              </w:rPr>
            </w:pPr>
            <w:hyperlink w:anchor="page33">
              <w:r>
                <w:rPr>
                  <w:rFonts w:ascii="Arial" w:cs="Arial" w:eastAsia="Arial" w:hAnsi="Arial"/>
                  <w:sz w:val="18"/>
                  <w:szCs w:val="18"/>
                  <w:color w:val="0000FF"/>
                  <w:w w:val="92"/>
                </w:rPr>
                <w:t>Certification of Principal Financial Officer Pursuant to Rules 13a-14(a) and 15d-14(a) of the Securities Exchange Act of 1934,</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3"/>
                <w:szCs w:val="13"/>
                <w:color w:val="auto"/>
              </w:rPr>
            </w:pPr>
          </w:p>
        </w:tc>
        <w:tc>
          <w:tcPr>
            <w:tcW w:w="91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33">
              <w:r>
                <w:rPr>
                  <w:rFonts w:ascii="Arial" w:cs="Arial" w:eastAsia="Arial" w:hAnsi="Arial"/>
                  <w:sz w:val="18"/>
                  <w:szCs w:val="18"/>
                  <w:color w:val="0000FF"/>
                </w:rPr>
                <w:t>as amended, as Adopted Pursuant to Section 302 of the Sarbanes-Oxley Act of 2002</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80" w:type="dxa"/>
            <w:vAlign w:val="bottom"/>
            <w:tcBorders>
              <w:top w:val="single" w:sz="8" w:color="0000FF"/>
            </w:tcBorders>
            <w:gridSpan w:val="8"/>
          </w:tcPr>
          <w:p>
            <w:pPr>
              <w:spacing w:after="0" w:line="182" w:lineRule="exact"/>
              <w:rPr>
                <w:rFonts w:ascii="Arial" w:cs="Arial" w:eastAsia="Arial" w:hAnsi="Arial"/>
                <w:sz w:val="18"/>
                <w:szCs w:val="18"/>
                <w:color w:val="0000FF"/>
                <w:w w:val="93"/>
              </w:rPr>
            </w:pPr>
            <w:hyperlink w:anchor="page34">
              <w:r>
                <w:rPr>
                  <w:rFonts w:ascii="Arial" w:cs="Arial" w:eastAsia="Arial" w:hAnsi="Arial"/>
                  <w:sz w:val="18"/>
                  <w:szCs w:val="18"/>
                  <w:color w:val="0000FF"/>
                  <w:w w:val="93"/>
                </w:rPr>
                <w:t>Certification of Principal Executive Officer Pursuant to 18 U.S.C. Section 1350, as</w:t>
              </w:r>
            </w:hyperlink>
          </w:p>
        </w:tc>
        <w:tc>
          <w:tcPr>
            <w:tcW w:w="3140" w:type="dxa"/>
            <w:vAlign w:val="bottom"/>
            <w:gridSpan w:val="17"/>
          </w:tcPr>
          <w:p>
            <w:pPr>
              <w:spacing w:after="0" w:line="182" w:lineRule="exact"/>
              <w:rPr>
                <w:rFonts w:ascii="Arial" w:cs="Arial" w:eastAsia="Arial" w:hAnsi="Arial"/>
                <w:sz w:val="18"/>
                <w:szCs w:val="18"/>
                <w:color w:val="0000FF"/>
                <w:w w:val="99"/>
              </w:rPr>
            </w:pPr>
            <w:hyperlink w:anchor="page34">
              <w:r>
                <w:rPr>
                  <w:rFonts w:ascii="Arial" w:cs="Arial" w:eastAsia="Arial" w:hAnsi="Arial"/>
                  <w:sz w:val="18"/>
                  <w:szCs w:val="18"/>
                  <w:color w:val="0000FF"/>
                  <w:w w:val="99"/>
                </w:rPr>
                <w:t>Adopted Pursuant to Section 906 of the</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34">
              <w:r>
                <w:rPr>
                  <w:rFonts w:ascii="Arial" w:cs="Arial" w:eastAsia="Arial" w:hAnsi="Arial"/>
                  <w:sz w:val="18"/>
                  <w:szCs w:val="18"/>
                  <w:color w:val="0000FF"/>
                  <w:w w:val="90"/>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6820" w:type="dxa"/>
            <w:vAlign w:val="bottom"/>
            <w:tcBorders>
              <w:top w:val="single" w:sz="8" w:color="0000FF"/>
            </w:tcBorders>
            <w:gridSpan w:val="11"/>
          </w:tcPr>
          <w:p>
            <w:pPr>
              <w:spacing w:after="0"/>
              <w:rPr>
                <w:sz w:val="13"/>
                <w:szCs w:val="13"/>
                <w:color w:val="auto"/>
              </w:rPr>
            </w:pPr>
          </w:p>
        </w:tc>
        <w:tc>
          <w:tcPr>
            <w:tcW w:w="3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20" w:type="dxa"/>
            <w:vAlign w:val="bottom"/>
            <w:gridSpan w:val="25"/>
          </w:tcPr>
          <w:p>
            <w:pPr>
              <w:spacing w:after="0" w:line="182" w:lineRule="exact"/>
              <w:rPr>
                <w:rFonts w:ascii="Arial" w:cs="Arial" w:eastAsia="Arial" w:hAnsi="Arial"/>
                <w:sz w:val="18"/>
                <w:szCs w:val="18"/>
                <w:color w:val="0000FF"/>
                <w:w w:val="95"/>
              </w:rPr>
            </w:pPr>
            <w:hyperlink w:anchor="page35">
              <w:r>
                <w:rPr>
                  <w:rFonts w:ascii="Arial" w:cs="Arial" w:eastAsia="Arial" w:hAnsi="Arial"/>
                  <w:sz w:val="18"/>
                  <w:szCs w:val="18"/>
                  <w:color w:val="0000FF"/>
                  <w:w w:val="95"/>
                </w:rPr>
                <w:t>Certification of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35">
              <w:r>
                <w:rPr>
                  <w:rFonts w:ascii="Arial" w:cs="Arial" w:eastAsia="Arial" w:hAnsi="Arial"/>
                  <w:sz w:val="18"/>
                  <w:szCs w:val="18"/>
                  <w:color w:val="0000FF"/>
                  <w:w w:val="90"/>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6780" w:type="dxa"/>
            <w:vAlign w:val="bottom"/>
            <w:tcBorders>
              <w:top w:val="single" w:sz="8" w:color="0000FF"/>
            </w:tcBorders>
            <w:gridSpan w:val="10"/>
          </w:tcPr>
          <w:p>
            <w:pPr>
              <w:spacing w:after="0"/>
              <w:rPr>
                <w:sz w:val="13"/>
                <w:szCs w:val="13"/>
                <w:color w:val="auto"/>
              </w:rPr>
            </w:pPr>
          </w:p>
        </w:tc>
        <w:tc>
          <w:tcPr>
            <w:tcW w:w="3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bl>
    <w:p>
      <w:pPr>
        <w:ind w:left="1260" w:right="580" w:hanging="1239"/>
        <w:spacing w:after="0" w:line="241" w:lineRule="auto"/>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Interactive data files pursuant to Rule 405 of Regulation S-T: (i) the Balance Sheets, (ii) the Statements of Operations, (iii) the Statements of Cash Flows and (iv) the Notes to Unaudited Condensed Interim Consolidated Financial Statements.</w:t>
      </w:r>
    </w:p>
    <w:p>
      <w:pPr>
        <w:spacing w:after="0" w:line="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194" w:lineRule="exact"/>
        <w:rPr>
          <w:sz w:val="20"/>
          <w:szCs w:val="20"/>
          <w:color w:val="auto"/>
        </w:rPr>
      </w:pPr>
    </w:p>
    <w:p>
      <w:pPr>
        <w:ind w:left="480" w:hanging="459"/>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9512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left="480" w:hanging="459"/>
        <w:spacing w:after="0" w:line="235"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or Item 601(b)(2) of Regulation S-K. We hereby undertake to furnish copies of the omitted schedule or exhibit upon request by the Securities and Exchange Commission.</w:t>
      </w: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3280"/>
              <w:spacing w:after="0"/>
              <w:rPr>
                <w:sz w:val="20"/>
                <w:szCs w:val="20"/>
                <w:color w:val="auto"/>
              </w:rPr>
            </w:pPr>
            <w:r>
              <w:rPr>
                <w:rFonts w:ascii="Arial" w:cs="Arial" w:eastAsia="Arial" w:hAnsi="Arial"/>
                <w:sz w:val="18"/>
                <w:szCs w:val="18"/>
                <w:b w:val="1"/>
                <w:bCs w:val="1"/>
                <w:color w:val="auto"/>
              </w:rPr>
              <w:t>Greenidge Generation Holdings Inc.</w:t>
            </w:r>
          </w:p>
        </w:tc>
      </w:tr>
      <w:tr>
        <w:trPr>
          <w:trHeight w:val="351"/>
        </w:trPr>
        <w:tc>
          <w:tcPr>
            <w:tcW w:w="3500" w:type="dxa"/>
            <w:vAlign w:val="bottom"/>
          </w:tcPr>
          <w:p>
            <w:pPr>
              <w:ind w:left="20"/>
              <w:spacing w:after="0"/>
              <w:rPr>
                <w:sz w:val="20"/>
                <w:szCs w:val="20"/>
                <w:color w:val="auto"/>
              </w:rPr>
            </w:pPr>
            <w:r>
              <w:rPr>
                <w:rFonts w:ascii="Arial" w:cs="Arial" w:eastAsia="Arial" w:hAnsi="Arial"/>
                <w:sz w:val="18"/>
                <w:szCs w:val="18"/>
                <w:color w:val="auto"/>
              </w:rPr>
              <w:t>Date: May 16, 2022</w:t>
            </w:r>
          </w:p>
        </w:tc>
        <w:tc>
          <w:tcPr>
            <w:tcW w:w="3600" w:type="dxa"/>
            <w:vAlign w:val="bottom"/>
          </w:tcPr>
          <w:p>
            <w:pPr>
              <w:ind w:left="328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Jeffrey E. Kirt</w:t>
            </w:r>
          </w:p>
        </w:tc>
      </w:tr>
      <w:tr>
        <w:trPr>
          <w:trHeight w:val="151"/>
        </w:trPr>
        <w:tc>
          <w:tcPr>
            <w:tcW w:w="35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41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rPr>
              <w:t>Jeffrey E. Kirt</w:t>
            </w:r>
          </w:p>
        </w:tc>
      </w:tr>
      <w:tr>
        <w:trPr>
          <w:trHeight w:val="234"/>
        </w:trPr>
        <w:tc>
          <w:tcPr>
            <w:tcW w:w="3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351"/>
        </w:trPr>
        <w:tc>
          <w:tcPr>
            <w:tcW w:w="3500" w:type="dxa"/>
            <w:vAlign w:val="bottom"/>
          </w:tcPr>
          <w:p>
            <w:pPr>
              <w:ind w:left="20"/>
              <w:spacing w:after="0"/>
              <w:rPr>
                <w:sz w:val="20"/>
                <w:szCs w:val="20"/>
                <w:color w:val="auto"/>
              </w:rPr>
            </w:pPr>
            <w:r>
              <w:rPr>
                <w:rFonts w:ascii="Arial" w:cs="Arial" w:eastAsia="Arial" w:hAnsi="Arial"/>
                <w:sz w:val="18"/>
                <w:szCs w:val="18"/>
                <w:color w:val="auto"/>
              </w:rPr>
              <w:t>Date: May 16, 2022</w:t>
            </w:r>
          </w:p>
        </w:tc>
        <w:tc>
          <w:tcPr>
            <w:tcW w:w="3600" w:type="dxa"/>
            <w:vAlign w:val="bottom"/>
          </w:tcPr>
          <w:p>
            <w:pPr>
              <w:ind w:left="328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Loughran</w:t>
            </w:r>
          </w:p>
        </w:tc>
      </w:tr>
      <w:tr>
        <w:trPr>
          <w:trHeight w:val="151"/>
        </w:trPr>
        <w:tc>
          <w:tcPr>
            <w:tcW w:w="35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41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7"/>
              </w:rPr>
              <w:t>Robert Loughran</w:t>
            </w:r>
          </w:p>
        </w:tc>
      </w:tr>
      <w:tr>
        <w:trPr>
          <w:trHeight w:val="234"/>
        </w:trPr>
        <w:tc>
          <w:tcPr>
            <w:tcW w:w="3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608"/>
        </w:trPr>
        <w:tc>
          <w:tcPr>
            <w:tcW w:w="3500" w:type="dxa"/>
            <w:vAlign w:val="bottom"/>
          </w:tcPr>
          <w:p>
            <w:pPr>
              <w:spacing w:after="0"/>
              <w:rPr>
                <w:sz w:val="24"/>
                <w:szCs w:val="24"/>
                <w:color w:val="auto"/>
              </w:rPr>
            </w:pPr>
          </w:p>
        </w:tc>
        <w:tc>
          <w:tcPr>
            <w:tcW w:w="3600" w:type="dxa"/>
            <w:vAlign w:val="bottom"/>
          </w:tcPr>
          <w:p>
            <w:pPr>
              <w:jc w:val="right"/>
              <w:ind w:right="1290"/>
              <w:spacing w:after="0"/>
              <w:rPr>
                <w:sz w:val="20"/>
                <w:szCs w:val="20"/>
                <w:color w:val="auto"/>
              </w:rPr>
            </w:pPr>
            <w:r>
              <w:rPr>
                <w:rFonts w:ascii="Arial" w:cs="Arial" w:eastAsia="Arial" w:hAnsi="Arial"/>
                <w:sz w:val="18"/>
                <w:szCs w:val="18"/>
                <w:color w:val="auto"/>
              </w:rPr>
              <w:t>30</w:t>
            </w:r>
          </w:p>
        </w:tc>
        <w:tc>
          <w:tcPr>
            <w:tcW w:w="4140" w:type="dxa"/>
            <w:vAlign w:val="bottom"/>
          </w:tcPr>
          <w:p>
            <w:pPr>
              <w:spacing w:after="0"/>
              <w:rPr>
                <w:sz w:val="24"/>
                <w:szCs w:val="24"/>
                <w:color w:val="auto"/>
              </w:rPr>
            </w:pPr>
          </w:p>
        </w:tc>
      </w:tr>
      <w:tr>
        <w:trPr>
          <w:trHeight w:val="101"/>
        </w:trPr>
        <w:tc>
          <w:tcPr>
            <w:tcW w:w="350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4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Jeffrey E. Kirt, certify that:</w:t>
      </w:r>
    </w:p>
    <w:p>
      <w:pPr>
        <w:spacing w:after="0" w:line="12" w:lineRule="exact"/>
        <w:rPr>
          <w:sz w:val="20"/>
          <w:szCs w:val="20"/>
          <w:color w:val="auto"/>
        </w:rPr>
      </w:pPr>
    </w:p>
    <w:p>
      <w:pPr>
        <w:ind w:left="540" w:right="460" w:hanging="519"/>
        <w:spacing w:after="0" w:line="21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March 31, 2022;</w:t>
      </w:r>
    </w:p>
    <w:p>
      <w:pPr>
        <w:jc w:val="both"/>
        <w:ind w:left="540" w:right="220" w:hanging="519"/>
        <w:spacing w:after="0" w:line="21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540" w:right="180" w:hanging="519"/>
        <w:spacing w:after="0" w:line="232"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220" w:hanging="519"/>
        <w:spacing w:after="0" w:line="21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1080" w:right="360" w:hanging="532"/>
        <w:spacing w:after="0" w:line="213"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080" w:right="440" w:hanging="532"/>
        <w:spacing w:after="0" w:line="246"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160" w:hanging="532"/>
        <w:spacing w:after="0" w:line="213"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540" w:right="200" w:hanging="519"/>
        <w:spacing w:after="0" w:line="246"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80" w:right="680" w:hanging="532"/>
        <w:spacing w:after="0" w:line="246"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right="380" w:hanging="532"/>
        <w:spacing w:after="0" w:line="226"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00"/>
        <w:spacing w:after="0"/>
        <w:tabs>
          <w:tab w:leader="none" w:pos="780" w:val="left"/>
          <w:tab w:leader="none" w:pos="7980" w:val="left"/>
          <w:tab w:leader="none" w:pos="9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12858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6350</wp:posOffset>
            </wp:positionV>
            <wp:extent cx="17570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Jeffrey E. Kirt</w:t>
      </w:r>
    </w:p>
    <w:p>
      <w:pPr>
        <w:jc w:val="center"/>
        <w:ind w:left="82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Robert Loughran, certify that:</w:t>
      </w:r>
    </w:p>
    <w:p>
      <w:pPr>
        <w:spacing w:after="0" w:line="12" w:lineRule="exact"/>
        <w:rPr>
          <w:sz w:val="20"/>
          <w:szCs w:val="20"/>
          <w:color w:val="auto"/>
        </w:rPr>
      </w:pPr>
    </w:p>
    <w:p>
      <w:pPr>
        <w:ind w:left="540" w:right="460" w:hanging="519"/>
        <w:spacing w:after="0" w:line="21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March 31, 2022;</w:t>
      </w:r>
    </w:p>
    <w:p>
      <w:pPr>
        <w:jc w:val="both"/>
        <w:ind w:left="540" w:right="220" w:hanging="519"/>
        <w:spacing w:after="0" w:line="213"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540" w:right="180" w:hanging="519"/>
        <w:spacing w:after="0" w:line="232"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220" w:hanging="519"/>
        <w:spacing w:after="0" w:line="21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1080" w:right="360" w:hanging="532"/>
        <w:spacing w:after="0" w:line="213"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080" w:right="440" w:hanging="532"/>
        <w:spacing w:after="0" w:line="246"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160" w:hanging="532"/>
        <w:spacing w:after="0" w:line="213"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540" w:right="200" w:hanging="519"/>
        <w:spacing w:after="0" w:line="246"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80" w:right="680" w:hanging="532"/>
        <w:spacing w:after="0" w:line="246"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right="380" w:hanging="532"/>
        <w:spacing w:after="0" w:line="226"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00"/>
        <w:spacing w:after="0"/>
        <w:tabs>
          <w:tab w:leader="none" w:pos="780" w:val="left"/>
          <w:tab w:leader="none" w:pos="798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12858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6350</wp:posOffset>
            </wp:positionV>
            <wp:extent cx="17570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Robert Loughran</w:t>
      </w:r>
    </w:p>
    <w:p>
      <w:pPr>
        <w:jc w:val="center"/>
        <w:ind w:left="82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80" w:firstLine="544"/>
        <w:spacing w:after="0"/>
        <w:rPr>
          <w:sz w:val="20"/>
          <w:szCs w:val="20"/>
          <w:color w:val="auto"/>
        </w:rPr>
      </w:pPr>
      <w:r>
        <w:rPr>
          <w:rFonts w:ascii="Arial" w:cs="Arial" w:eastAsia="Arial" w:hAnsi="Arial"/>
          <w:sz w:val="18"/>
          <w:szCs w:val="18"/>
          <w:color w:val="auto"/>
        </w:rPr>
        <w:t>In connection with the Quarterly Report of Greenidge Generation Holdings Inc. (the “Company”) on Form 10-Q for the period ended March 31, 2022, as filed with the Securities and Exchange Commission on the date hereof (the “Report”), I certify, pursuant to 18 U.S.C. § 1350, as adopted pursuant to § 906 of the Sarbanes-Oxley Act of 2002, that, to my knowledge:</w:t>
      </w:r>
    </w:p>
    <w:p>
      <w:pPr>
        <w:ind w:left="1080" w:hanging="532"/>
        <w:spacing w:after="0" w:line="23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ind w:left="1080" w:right="500" w:hanging="532"/>
        <w:spacing w:after="0" w:line="22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9" w:lineRule="exact"/>
        <w:rPr>
          <w:sz w:val="20"/>
          <w:szCs w:val="20"/>
          <w:color w:val="auto"/>
        </w:rPr>
      </w:pPr>
    </w:p>
    <w:p>
      <w:pPr>
        <w:ind w:left="100"/>
        <w:spacing w:after="0"/>
        <w:tabs>
          <w:tab w:leader="none" w:pos="780" w:val="left"/>
          <w:tab w:leader="none" w:pos="7980" w:val="left"/>
          <w:tab w:leader="none" w:pos="9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12858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6350</wp:posOffset>
            </wp:positionV>
            <wp:extent cx="17570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Jeffrey E. Kirt</w:t>
      </w:r>
    </w:p>
    <w:p>
      <w:pPr>
        <w:jc w:val="center"/>
        <w:ind w:left="82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120" w:firstLine="544"/>
        <w:spacing w:after="0"/>
        <w:rPr>
          <w:sz w:val="20"/>
          <w:szCs w:val="20"/>
          <w:color w:val="auto"/>
        </w:rPr>
      </w:pPr>
      <w:r>
        <w:rPr>
          <w:rFonts w:ascii="Arial" w:cs="Arial" w:eastAsia="Arial" w:hAnsi="Arial"/>
          <w:sz w:val="18"/>
          <w:szCs w:val="18"/>
          <w:color w:val="auto"/>
        </w:rPr>
        <w:t>In connection with the Quarterly Report of Greenidge Generation Holdings Inc. (the “Company”) on Form 10-Q for the period ended March 31, 2022 as filed with the Securities and Exchange Commission on the date hereof (the “Report”), I certify, pursuant to 18 U.S.C. § 1350, as adopted pursuant to § 906 of the Sarbanes-Oxley Act of 2002, that, to my knowledge:</w:t>
      </w:r>
    </w:p>
    <w:p>
      <w:pPr>
        <w:ind w:left="1080" w:hanging="532"/>
        <w:spacing w:after="0" w:line="23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ind w:left="1080" w:right="500" w:hanging="532"/>
        <w:spacing w:after="0" w:line="22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100"/>
        <w:spacing w:after="0"/>
        <w:tabs>
          <w:tab w:leader="none" w:pos="780" w:val="left"/>
          <w:tab w:leader="none" w:pos="798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12858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6350</wp:posOffset>
            </wp:positionV>
            <wp:extent cx="17570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1"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Robert Loughran</w:t>
      </w:r>
    </w:p>
    <w:p>
      <w:pPr>
        <w:jc w:val="center"/>
        <w:ind w:left="82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2"/>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0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12" Type="http://schemas.openxmlformats.org/officeDocument/2006/relationships/hyperlink" Target="https://www.sec.gov/Archives/edgar/data/1844971/000119312522084017/d340294dex101.htm" TargetMode="External"/><Relationship Id="rId213" Type="http://schemas.openxmlformats.org/officeDocument/2006/relationships/hyperlink" Target="https://www.sec.gov/Archives/edgar/data/1844971/000119312522084017/d340294dex102.htm" TargetMode="External"/><Relationship Id="rId214" Type="http://schemas.openxmlformats.org/officeDocument/2006/relationships/hyperlink" Target="https://www.sec.gov/Archives/edgar/data/1844971/000119312522099511/d305185dex101.htm" TargetMode="External"/><Relationship Id="rId215" Type="http://schemas.openxmlformats.org/officeDocument/2006/relationships/hyperlink" Target="https://www.sec.gov/Archives/edgar/data/1844971/000119312522099511/d305185dex102.htm" TargetMode="External"/><Relationship Id="rId216" Type="http://schemas.openxmlformats.org/officeDocument/2006/relationships/hyperlink" Target="https://www.sec.gov/Archives/edgar/data/1844971/000119312522105679/d32220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2022-05-16T16:14:35Z</dcterms:created>
  <dcterms:modified xsi:type="dcterms:W3CDTF">2022-05-16T16:14:35Z</dcterms:modified>
</cp:coreProperties>
</file>