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Calibri" w:cs="Calibri" w:eastAsia="Calibri" w:hAnsi="Calibri"/>
          <w:sz w:val="22"/>
          <w:szCs w:val="22"/>
          <w:b w:val="1"/>
          <w:bCs w:val="1"/>
          <w:color w:val="auto"/>
        </w:rPr>
        <w:t>WASHINGTON, D.C. 20549</w:t>
      </w:r>
    </w:p>
    <w:p>
      <w:pPr>
        <w:ind w:left="4220"/>
        <w:spacing w:after="0"/>
        <w:rPr>
          <w:sz w:val="20"/>
          <w:szCs w:val="20"/>
          <w:color w:val="auto"/>
        </w:rPr>
      </w:pPr>
      <w:r>
        <w:rPr>
          <w:rFonts w:ascii="Calibri" w:cs="Calibri" w:eastAsia="Calibri" w:hAnsi="Calibri"/>
          <w:sz w:val="18"/>
          <w:szCs w:val="18"/>
          <w:color w:val="auto"/>
        </w:rPr>
        <w:t>________________________________</w:t>
      </w:r>
    </w:p>
    <w:p>
      <w:pPr>
        <w:spacing w:after="0" w:line="9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FORM 10-Q</w:t>
      </w:r>
    </w:p>
    <w:p>
      <w:pPr>
        <w:spacing w:after="0" w:line="14" w:lineRule="exact"/>
        <w:rPr>
          <w:sz w:val="24"/>
          <w:szCs w:val="24"/>
          <w:color w:val="auto"/>
        </w:rPr>
      </w:pPr>
    </w:p>
    <w:p>
      <w:pPr>
        <w:ind w:left="4220"/>
        <w:spacing w:after="0"/>
        <w:rPr>
          <w:sz w:val="20"/>
          <w:szCs w:val="20"/>
          <w:color w:val="auto"/>
        </w:rPr>
      </w:pPr>
      <w:r>
        <w:rPr>
          <w:rFonts w:ascii="Calibri" w:cs="Calibri" w:eastAsia="Calibri" w:hAnsi="Calibri"/>
          <w:sz w:val="18"/>
          <w:szCs w:val="18"/>
          <w:color w:val="auto"/>
        </w:rPr>
        <w:t>________________________________</w:t>
      </w: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(Mark One)</w:t>
      </w:r>
    </w:p>
    <w:p>
      <w:pPr>
        <w:spacing w:after="0" w:line="11" w:lineRule="exact"/>
        <w:rPr>
          <w:sz w:val="24"/>
          <w:szCs w:val="24"/>
          <w:color w:val="auto"/>
        </w:rPr>
      </w:pPr>
    </w:p>
    <w:p>
      <w:pPr>
        <w:ind w:left="440" w:hanging="432"/>
        <w:spacing w:after="0"/>
        <w:tabs>
          <w:tab w:leader="none" w:pos="440" w:val="left"/>
        </w:tabs>
        <w:numPr>
          <w:ilvl w:val="0"/>
          <w:numId w:val="1"/>
        </w:numPr>
        <w:rPr>
          <w:rFonts w:ascii="Wingdings" w:cs="Wingdings" w:eastAsia="Wingdings" w:hAnsi="Wingdings"/>
          <w:sz w:val="22"/>
          <w:szCs w:val="22"/>
          <w:b w:val="1"/>
          <w:bCs w:val="1"/>
          <w:color w:val="auto"/>
          <w:highlight w:val="black"/>
        </w:rPr>
      </w:pPr>
      <w:r>
        <w:rPr>
          <w:rFonts w:ascii="Calibri" w:cs="Calibri" w:eastAsia="Calibri" w:hAnsi="Calibri"/>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19"/>
        <w:spacing w:after="0"/>
        <w:rPr>
          <w:sz w:val="20"/>
          <w:szCs w:val="20"/>
          <w:color w:val="auto"/>
        </w:rPr>
      </w:pPr>
      <w:r>
        <w:rPr>
          <w:rFonts w:ascii="Calibri" w:cs="Calibri" w:eastAsia="Calibri" w:hAnsi="Calibri"/>
          <w:sz w:val="18"/>
          <w:szCs w:val="18"/>
          <w:b w:val="1"/>
          <w:bCs w:val="1"/>
          <w:color w:val="auto"/>
        </w:rPr>
        <w:t>For the quarterly period ended September 30, 2024</w:t>
      </w:r>
    </w:p>
    <w:p>
      <w:pPr>
        <w:spacing w:after="0" w:line="104" w:lineRule="exact"/>
        <w:rPr>
          <w:sz w:val="24"/>
          <w:szCs w:val="24"/>
          <w:color w:val="auto"/>
        </w:rPr>
      </w:pPr>
    </w:p>
    <w:p>
      <w:pPr>
        <w:jc w:val="center"/>
        <w:ind w:right="-119"/>
        <w:spacing w:after="0"/>
        <w:rPr>
          <w:sz w:val="20"/>
          <w:szCs w:val="20"/>
          <w:color w:val="auto"/>
        </w:rPr>
      </w:pPr>
      <w:r>
        <w:rPr>
          <w:rFonts w:ascii="Calibri" w:cs="Calibri" w:eastAsia="Calibri" w:hAnsi="Calibri"/>
          <w:sz w:val="18"/>
          <w:szCs w:val="18"/>
          <w:b w:val="1"/>
          <w:bCs w:val="1"/>
          <w:color w:val="auto"/>
        </w:rPr>
        <w:t>OR</w:t>
      </w:r>
    </w:p>
    <w:p>
      <w:pPr>
        <w:spacing w:after="0" w:line="119" w:lineRule="exact"/>
        <w:rPr>
          <w:sz w:val="24"/>
          <w:szCs w:val="24"/>
          <w:color w:val="auto"/>
        </w:rPr>
      </w:pPr>
    </w:p>
    <w:p>
      <w:pPr>
        <w:ind w:left="400" w:hanging="392"/>
        <w:spacing w:after="0"/>
        <w:tabs>
          <w:tab w:leader="none" w:pos="400" w:val="left"/>
        </w:tabs>
        <w:numPr>
          <w:ilvl w:val="0"/>
          <w:numId w:val="2"/>
        </w:numPr>
        <w:rPr>
          <w:rFonts w:ascii="Wingdings" w:cs="Wingdings" w:eastAsia="Wingdings" w:hAnsi="Wingdings"/>
          <w:sz w:val="22"/>
          <w:szCs w:val="22"/>
          <w:b w:val="1"/>
          <w:bCs w:val="1"/>
          <w:color w:val="auto"/>
          <w:highlight w:val="black"/>
        </w:rPr>
      </w:pPr>
      <w:r>
        <w:rPr>
          <w:rFonts w:ascii="Calibri" w:cs="Calibri" w:eastAsia="Calibri" w:hAnsi="Calibri"/>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2560"/>
        <w:spacing w:after="0"/>
        <w:rPr>
          <w:sz w:val="20"/>
          <w:szCs w:val="20"/>
          <w:color w:val="auto"/>
        </w:rPr>
      </w:pPr>
      <w:r>
        <w:rPr>
          <w:rFonts w:ascii="Calibri" w:cs="Calibri" w:eastAsia="Calibri" w:hAnsi="Calibri"/>
          <w:sz w:val="18"/>
          <w:szCs w:val="18"/>
          <w:b w:val="1"/>
          <w:bCs w:val="1"/>
          <w:color w:val="auto"/>
        </w:rPr>
        <w:t>For the transiton period from _____________________ to _____________________</w:t>
      </w:r>
    </w:p>
    <w:p>
      <w:pPr>
        <w:spacing w:after="0" w:line="104" w:lineRule="exact"/>
        <w:rPr>
          <w:sz w:val="24"/>
          <w:szCs w:val="24"/>
          <w:color w:val="auto"/>
        </w:rPr>
      </w:pPr>
    </w:p>
    <w:p>
      <w:pPr>
        <w:jc w:val="center"/>
        <w:ind w:right="-119"/>
        <w:spacing w:after="0"/>
        <w:rPr>
          <w:sz w:val="20"/>
          <w:szCs w:val="20"/>
          <w:color w:val="auto"/>
        </w:rPr>
      </w:pPr>
      <w:r>
        <w:rPr>
          <w:rFonts w:ascii="Calibri" w:cs="Calibri" w:eastAsia="Calibri" w:hAnsi="Calibri"/>
          <w:sz w:val="18"/>
          <w:szCs w:val="18"/>
          <w:b w:val="1"/>
          <w:bCs w:val="1"/>
          <w:color w:val="auto"/>
        </w:rPr>
        <w:t>Commission File Number: 001-40808</w:t>
      </w:r>
    </w:p>
    <w:p>
      <w:pPr>
        <w:ind w:left="4220"/>
        <w:spacing w:after="0" w:line="235" w:lineRule="auto"/>
        <w:rPr>
          <w:sz w:val="20"/>
          <w:szCs w:val="20"/>
          <w:color w:val="auto"/>
        </w:rPr>
      </w:pPr>
      <w:r>
        <w:rPr>
          <w:rFonts w:ascii="Calibri" w:cs="Calibri" w:eastAsia="Calibri" w:hAnsi="Calibri"/>
          <w:sz w:val="18"/>
          <w:szCs w:val="18"/>
          <w:color w:val="auto"/>
        </w:rPr>
        <w:t>________________________________</w:t>
      </w:r>
    </w:p>
    <w:p>
      <w:pPr>
        <w:spacing w:after="0" w:line="80" w:lineRule="exact"/>
        <w:rPr>
          <w:sz w:val="24"/>
          <w:szCs w:val="24"/>
          <w:color w:val="auto"/>
        </w:rPr>
      </w:pPr>
    </w:p>
    <w:tbl>
      <w:tblPr>
        <w:tblLayout w:type="fixed"/>
        <w:tblInd w:w="1360" w:type="dxa"/>
        <w:tblCellMar>
          <w:top w:w="0" w:type="dxa"/>
          <w:left w:w="0" w:type="dxa"/>
          <w:bottom w:w="0" w:type="dxa"/>
          <w:right w:w="0" w:type="dxa"/>
        </w:tblCellMar>
      </w:tblPr>
      <w:tr>
        <w:trPr>
          <w:trHeight w:val="525"/>
        </w:trPr>
        <w:tc>
          <w:tcPr>
            <w:tcW w:w="7440" w:type="dxa"/>
            <w:vAlign w:val="bottom"/>
            <w:gridSpan w:val="2"/>
          </w:tcPr>
          <w:p>
            <w:pPr>
              <w:jc w:val="center"/>
              <w:ind w:left="980"/>
              <w:spacing w:after="0"/>
              <w:rPr>
                <w:sz w:val="20"/>
                <w:szCs w:val="20"/>
                <w:color w:val="auto"/>
              </w:rPr>
            </w:pPr>
            <w:r>
              <w:rPr>
                <w:rFonts w:ascii="Calibri" w:cs="Calibri" w:eastAsia="Calibri" w:hAnsi="Calibri"/>
                <w:sz w:val="43"/>
                <w:szCs w:val="43"/>
                <w:b w:val="1"/>
                <w:bCs w:val="1"/>
                <w:color w:val="auto"/>
              </w:rPr>
              <w:t>Greenidge Generaton Holdings Inc.</w:t>
            </w:r>
          </w:p>
        </w:tc>
      </w:tr>
      <w:tr>
        <w:trPr>
          <w:trHeight w:val="246"/>
        </w:trPr>
        <w:tc>
          <w:tcPr>
            <w:tcW w:w="2320" w:type="dxa"/>
            <w:vAlign w:val="bottom"/>
          </w:tcPr>
          <w:p>
            <w:pPr>
              <w:spacing w:after="0"/>
              <w:rPr>
                <w:sz w:val="21"/>
                <w:szCs w:val="21"/>
                <w:color w:val="auto"/>
              </w:rPr>
            </w:pPr>
          </w:p>
        </w:tc>
        <w:tc>
          <w:tcPr>
            <w:tcW w:w="5120" w:type="dxa"/>
            <w:vAlign w:val="bottom"/>
          </w:tcPr>
          <w:p>
            <w:pPr>
              <w:jc w:val="center"/>
              <w:ind w:right="1158"/>
              <w:spacing w:after="0"/>
              <w:rPr>
                <w:sz w:val="20"/>
                <w:szCs w:val="20"/>
                <w:color w:val="auto"/>
              </w:rPr>
            </w:pPr>
            <w:r>
              <w:rPr>
                <w:rFonts w:ascii="Calibri" w:cs="Calibri" w:eastAsia="Calibri" w:hAnsi="Calibri"/>
                <w:sz w:val="18"/>
                <w:szCs w:val="18"/>
                <w:b w:val="1"/>
                <w:bCs w:val="1"/>
                <w:color w:val="auto"/>
                <w:w w:val="97"/>
              </w:rPr>
              <w:t>(Exact Name of Registrant as Specifed in its Charter)</w:t>
            </w:r>
          </w:p>
        </w:tc>
      </w:tr>
      <w:tr>
        <w:trPr>
          <w:trHeight w:val="216"/>
        </w:trPr>
        <w:tc>
          <w:tcPr>
            <w:tcW w:w="2320" w:type="dxa"/>
            <w:vAlign w:val="bottom"/>
          </w:tcPr>
          <w:p>
            <w:pPr>
              <w:spacing w:after="0"/>
              <w:rPr>
                <w:sz w:val="18"/>
                <w:szCs w:val="18"/>
                <w:color w:val="auto"/>
              </w:rPr>
            </w:pPr>
          </w:p>
        </w:tc>
        <w:tc>
          <w:tcPr>
            <w:tcW w:w="5120" w:type="dxa"/>
            <w:vAlign w:val="bottom"/>
          </w:tcPr>
          <w:p>
            <w:pPr>
              <w:jc w:val="center"/>
              <w:ind w:right="1158"/>
              <w:spacing w:after="0" w:line="216" w:lineRule="exact"/>
              <w:rPr>
                <w:sz w:val="20"/>
                <w:szCs w:val="20"/>
                <w:color w:val="auto"/>
              </w:rPr>
            </w:pPr>
            <w:r>
              <w:rPr>
                <w:rFonts w:ascii="Calibri" w:cs="Calibri" w:eastAsia="Calibri" w:hAnsi="Calibri"/>
                <w:sz w:val="18"/>
                <w:szCs w:val="18"/>
                <w:color w:val="auto"/>
                <w:w w:val="97"/>
              </w:rPr>
              <w:t>________________________________</w:t>
            </w:r>
          </w:p>
        </w:tc>
      </w:tr>
      <w:tr>
        <w:trPr>
          <w:trHeight w:val="364"/>
        </w:trPr>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Delaware</w:t>
            </w:r>
          </w:p>
        </w:tc>
        <w:tc>
          <w:tcPr>
            <w:tcW w:w="5120" w:type="dxa"/>
            <w:vAlign w:val="bottom"/>
          </w:tcPr>
          <w:p>
            <w:pPr>
              <w:jc w:val="right"/>
              <w:ind w:right="658"/>
              <w:spacing w:after="0"/>
              <w:rPr>
                <w:sz w:val="20"/>
                <w:szCs w:val="20"/>
                <w:color w:val="auto"/>
              </w:rPr>
            </w:pPr>
            <w:r>
              <w:rPr>
                <w:rFonts w:ascii="Calibri" w:cs="Calibri" w:eastAsia="Calibri" w:hAnsi="Calibri"/>
                <w:sz w:val="18"/>
                <w:szCs w:val="18"/>
                <w:b w:val="1"/>
                <w:bCs w:val="1"/>
                <w:color w:val="auto"/>
              </w:rPr>
              <w:t>86-1746728</w:t>
            </w:r>
          </w:p>
        </w:tc>
      </w:tr>
      <w:tr>
        <w:trPr>
          <w:trHeight w:val="198"/>
        </w:trPr>
        <w:tc>
          <w:tcPr>
            <w:tcW w:w="2320" w:type="dxa"/>
            <w:vAlign w:val="bottom"/>
          </w:tcPr>
          <w:p>
            <w:pPr>
              <w:jc w:val="center"/>
              <w:spacing w:after="0"/>
              <w:rPr>
                <w:sz w:val="20"/>
                <w:szCs w:val="20"/>
                <w:color w:val="auto"/>
              </w:rPr>
            </w:pPr>
            <w:r>
              <w:rPr>
                <w:rFonts w:ascii="Calibri" w:cs="Calibri" w:eastAsia="Calibri" w:hAnsi="Calibri"/>
                <w:sz w:val="14"/>
                <w:szCs w:val="14"/>
                <w:b w:val="1"/>
                <w:bCs w:val="1"/>
                <w:color w:val="auto"/>
              </w:rPr>
              <w:t>(State or other jurisdicton of</w:t>
            </w:r>
          </w:p>
        </w:tc>
        <w:tc>
          <w:tcPr>
            <w:tcW w:w="5120" w:type="dxa"/>
            <w:vAlign w:val="bottom"/>
          </w:tcPr>
          <w:p>
            <w:pPr>
              <w:jc w:val="center"/>
              <w:ind w:left="2678"/>
              <w:spacing w:after="0"/>
              <w:rPr>
                <w:sz w:val="20"/>
                <w:szCs w:val="20"/>
                <w:color w:val="auto"/>
              </w:rPr>
            </w:pPr>
            <w:r>
              <w:rPr>
                <w:rFonts w:ascii="Calibri" w:cs="Calibri" w:eastAsia="Calibri" w:hAnsi="Calibri"/>
                <w:sz w:val="14"/>
                <w:szCs w:val="14"/>
                <w:b w:val="1"/>
                <w:bCs w:val="1"/>
                <w:color w:val="auto"/>
              </w:rPr>
              <w:t>(I.R.S. Employer</w:t>
            </w:r>
          </w:p>
        </w:tc>
      </w:tr>
      <w:tr>
        <w:trPr>
          <w:trHeight w:val="170"/>
        </w:trPr>
        <w:tc>
          <w:tcPr>
            <w:tcW w:w="2320" w:type="dxa"/>
            <w:vAlign w:val="bottom"/>
          </w:tcPr>
          <w:p>
            <w:pPr>
              <w:jc w:val="center"/>
              <w:spacing w:after="0"/>
              <w:rPr>
                <w:sz w:val="20"/>
                <w:szCs w:val="20"/>
                <w:color w:val="auto"/>
              </w:rPr>
            </w:pPr>
            <w:r>
              <w:rPr>
                <w:rFonts w:ascii="Calibri" w:cs="Calibri" w:eastAsia="Calibri" w:hAnsi="Calibri"/>
                <w:sz w:val="14"/>
                <w:szCs w:val="14"/>
                <w:b w:val="1"/>
                <w:bCs w:val="1"/>
                <w:color w:val="auto"/>
              </w:rPr>
              <w:t>incorporaton or organizaton)</w:t>
            </w:r>
          </w:p>
        </w:tc>
        <w:tc>
          <w:tcPr>
            <w:tcW w:w="5120" w:type="dxa"/>
            <w:vAlign w:val="bottom"/>
          </w:tcPr>
          <w:p>
            <w:pPr>
              <w:jc w:val="center"/>
              <w:ind w:left="2678"/>
              <w:spacing w:after="0"/>
              <w:rPr>
                <w:sz w:val="20"/>
                <w:szCs w:val="20"/>
                <w:color w:val="auto"/>
              </w:rPr>
            </w:pPr>
            <w:r>
              <w:rPr>
                <w:rFonts w:ascii="Calibri" w:cs="Calibri" w:eastAsia="Calibri" w:hAnsi="Calibri"/>
                <w:sz w:val="14"/>
                <w:szCs w:val="14"/>
                <w:b w:val="1"/>
                <w:bCs w:val="1"/>
                <w:color w:val="auto"/>
              </w:rPr>
              <w:t>Identfcaton No.)</w:t>
            </w:r>
          </w:p>
        </w:tc>
      </w:tr>
      <w:tr>
        <w:trPr>
          <w:trHeight w:val="348"/>
        </w:trPr>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590 Plant Road,</w:t>
            </w:r>
          </w:p>
        </w:tc>
        <w:tc>
          <w:tcPr>
            <w:tcW w:w="5120" w:type="dxa"/>
            <w:vAlign w:val="bottom"/>
          </w:tcPr>
          <w:p>
            <w:pPr>
              <w:spacing w:after="0"/>
              <w:rPr>
                <w:sz w:val="24"/>
                <w:szCs w:val="24"/>
                <w:color w:val="auto"/>
              </w:rPr>
            </w:pPr>
          </w:p>
        </w:tc>
      </w:tr>
      <w:tr>
        <w:trPr>
          <w:trHeight w:val="243"/>
        </w:trPr>
        <w:tc>
          <w:tcPr>
            <w:tcW w:w="23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Dresden, New York</w:t>
            </w:r>
          </w:p>
        </w:tc>
        <w:tc>
          <w:tcPr>
            <w:tcW w:w="5120" w:type="dxa"/>
            <w:vAlign w:val="bottom"/>
          </w:tcPr>
          <w:p>
            <w:pPr>
              <w:jc w:val="right"/>
              <w:ind w:right="878"/>
              <w:spacing w:after="0"/>
              <w:rPr>
                <w:sz w:val="20"/>
                <w:szCs w:val="20"/>
                <w:color w:val="auto"/>
              </w:rPr>
            </w:pPr>
            <w:r>
              <w:rPr>
                <w:rFonts w:ascii="Calibri" w:cs="Calibri" w:eastAsia="Calibri" w:hAnsi="Calibri"/>
                <w:sz w:val="18"/>
                <w:szCs w:val="18"/>
                <w:b w:val="1"/>
                <w:bCs w:val="1"/>
                <w:color w:val="auto"/>
              </w:rPr>
              <w:t>14441</w:t>
            </w:r>
          </w:p>
        </w:tc>
      </w:tr>
      <w:tr>
        <w:trPr>
          <w:trHeight w:val="193"/>
        </w:trPr>
        <w:tc>
          <w:tcPr>
            <w:tcW w:w="2320" w:type="dxa"/>
            <w:vAlign w:val="bottom"/>
          </w:tcPr>
          <w:p>
            <w:pPr>
              <w:jc w:val="center"/>
              <w:spacing w:after="0"/>
              <w:rPr>
                <w:sz w:val="20"/>
                <w:szCs w:val="20"/>
                <w:color w:val="auto"/>
              </w:rPr>
            </w:pPr>
            <w:r>
              <w:rPr>
                <w:rFonts w:ascii="Calibri" w:cs="Calibri" w:eastAsia="Calibri" w:hAnsi="Calibri"/>
                <w:sz w:val="14"/>
                <w:szCs w:val="14"/>
                <w:b w:val="1"/>
                <w:bCs w:val="1"/>
                <w:color w:val="auto"/>
              </w:rPr>
              <w:t>(Address of principal executve ofces)</w:t>
            </w:r>
          </w:p>
        </w:tc>
        <w:tc>
          <w:tcPr>
            <w:tcW w:w="5120" w:type="dxa"/>
            <w:vAlign w:val="bottom"/>
          </w:tcPr>
          <w:p>
            <w:pPr>
              <w:jc w:val="center"/>
              <w:ind w:left="2678"/>
              <w:spacing w:after="0"/>
              <w:rPr>
                <w:sz w:val="20"/>
                <w:szCs w:val="20"/>
                <w:color w:val="auto"/>
              </w:rPr>
            </w:pPr>
            <w:r>
              <w:rPr>
                <w:rFonts w:ascii="Calibri" w:cs="Calibri" w:eastAsia="Calibri" w:hAnsi="Calibri"/>
                <w:sz w:val="14"/>
                <w:szCs w:val="14"/>
                <w:b w:val="1"/>
                <w:bCs w:val="1"/>
                <w:color w:val="auto"/>
              </w:rPr>
              <w:t>(Zip Code)</w:t>
            </w:r>
          </w:p>
        </w:tc>
      </w:tr>
    </w:tbl>
    <w:p>
      <w:pPr>
        <w:spacing w:after="0" w:line="195" w:lineRule="exact"/>
        <w:rPr>
          <w:sz w:val="24"/>
          <w:szCs w:val="24"/>
          <w:color w:val="auto"/>
        </w:rPr>
      </w:pPr>
    </w:p>
    <w:p>
      <w:pPr>
        <w:ind w:left="3160"/>
        <w:spacing w:after="0"/>
        <w:rPr>
          <w:sz w:val="20"/>
          <w:szCs w:val="20"/>
          <w:color w:val="auto"/>
        </w:rPr>
      </w:pPr>
      <w:r>
        <w:rPr>
          <w:rFonts w:ascii="Calibri" w:cs="Calibri" w:eastAsia="Calibri" w:hAnsi="Calibri"/>
          <w:sz w:val="18"/>
          <w:szCs w:val="18"/>
          <w:b w:val="1"/>
          <w:bCs w:val="1"/>
          <w:color w:val="auto"/>
        </w:rPr>
        <w:t>Registrant’s telephone number, including area code: (315) 536-2359</w:t>
      </w: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Trading symbol(s)</w:t>
            </w:r>
          </w:p>
        </w:tc>
        <w:tc>
          <w:tcPr>
            <w:tcW w:w="40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36"/>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right w:val="single" w:sz="8" w:color="auto"/>
            </w:tcBorders>
          </w:tcPr>
          <w:p>
            <w:pPr>
              <w:spacing w:after="0"/>
              <w:rPr>
                <w:sz w:val="3"/>
                <w:szCs w:val="3"/>
                <w:color w:val="auto"/>
              </w:rPr>
            </w:pPr>
          </w:p>
        </w:tc>
      </w:tr>
      <w:tr>
        <w:trPr>
          <w:trHeight w:val="187"/>
        </w:trPr>
        <w:tc>
          <w:tcPr>
            <w:tcW w:w="4020" w:type="dxa"/>
            <w:vAlign w:val="bottom"/>
            <w:tcBorders>
              <w:left w:val="single" w:sz="8" w:color="auto"/>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Class A Common Stock, $0.0001 par value</w:t>
            </w:r>
          </w:p>
        </w:tc>
        <w:tc>
          <w:tcPr>
            <w:tcW w:w="21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w w:val="98"/>
              </w:rPr>
              <w:t>GREE</w:t>
            </w:r>
          </w:p>
        </w:tc>
        <w:tc>
          <w:tcPr>
            <w:tcW w:w="40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The Nasdaq Global Select Market</w:t>
            </w:r>
          </w:p>
        </w:tc>
      </w:tr>
      <w:tr>
        <w:trPr>
          <w:trHeight w:val="36"/>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right w:val="single" w:sz="8" w:color="auto"/>
            </w:tcBorders>
          </w:tcPr>
          <w:p>
            <w:pPr>
              <w:spacing w:after="0"/>
              <w:rPr>
                <w:sz w:val="3"/>
                <w:szCs w:val="3"/>
                <w:color w:val="auto"/>
              </w:rPr>
            </w:pPr>
          </w:p>
        </w:tc>
      </w:tr>
      <w:tr>
        <w:trPr>
          <w:trHeight w:val="187"/>
        </w:trPr>
        <w:tc>
          <w:tcPr>
            <w:tcW w:w="4020" w:type="dxa"/>
            <w:vAlign w:val="bottom"/>
            <w:tcBorders>
              <w:left w:val="single" w:sz="8" w:color="auto"/>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8.50% Senior Notes due 2026</w:t>
            </w:r>
          </w:p>
        </w:tc>
        <w:tc>
          <w:tcPr>
            <w:tcW w:w="21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GREEL</w:t>
            </w:r>
          </w:p>
        </w:tc>
        <w:tc>
          <w:tcPr>
            <w:tcW w:w="40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The Nasdaq Global Select Market</w:t>
            </w:r>
          </w:p>
        </w:tc>
      </w:tr>
      <w:tr>
        <w:trPr>
          <w:trHeight w:val="36"/>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4"/>
          <w:szCs w:val="24"/>
          <w:color w:val="auto"/>
        </w:rPr>
      </w:pPr>
    </w:p>
    <w:p>
      <w:pPr>
        <w:jc w:val="both"/>
        <w:ind w:right="40" w:firstLine="486"/>
        <w:spacing w:after="0" w:line="247" w:lineRule="auto"/>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Wingdings" w:cs="Wingdings" w:eastAsia="Wingdings" w:hAnsi="Wingdings"/>
          <w:sz w:val="16"/>
          <w:szCs w:val="16"/>
          <w:b w:val="1"/>
          <w:bCs w:val="1"/>
          <w:color w:val="auto"/>
        </w:rPr>
        <w:t>x</w:t>
      </w:r>
      <w:r>
        <w:rPr>
          <w:rFonts w:ascii="Calibri" w:cs="Calibri" w:eastAsia="Calibri" w:hAnsi="Calibri"/>
          <w:sz w:val="16"/>
          <w:szCs w:val="16"/>
          <w:color w:val="auto"/>
        </w:rPr>
        <w:t xml:space="preserve"> No </w:t>
      </w:r>
      <w:r>
        <w:rPr>
          <w:rFonts w:ascii="Wingdings" w:cs="Wingdings" w:eastAsia="Wingdings" w:hAnsi="Wingdings"/>
          <w:sz w:val="16"/>
          <w:szCs w:val="16"/>
          <w:b w:val="1"/>
          <w:bCs w:val="1"/>
          <w:color w:val="auto"/>
        </w:rPr>
        <w:t>o</w:t>
      </w:r>
    </w:p>
    <w:p>
      <w:pPr>
        <w:spacing w:after="0" w:line="99" w:lineRule="exact"/>
        <w:rPr>
          <w:sz w:val="24"/>
          <w:szCs w:val="24"/>
          <w:color w:val="auto"/>
        </w:rPr>
      </w:pPr>
    </w:p>
    <w:p>
      <w:pPr>
        <w:ind w:firstLine="486"/>
        <w:spacing w:after="0" w:line="263" w:lineRule="auto"/>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 232.405 of this chapter) during the preceding 12 months (or for such shorter period that the registrant was required to submit such fles). Yes </w:t>
      </w:r>
      <w:r>
        <w:rPr>
          <w:rFonts w:ascii="Wingdings" w:cs="Wingdings" w:eastAsia="Wingdings" w:hAnsi="Wingdings"/>
          <w:sz w:val="16"/>
          <w:szCs w:val="16"/>
          <w:b w:val="1"/>
          <w:bCs w:val="1"/>
          <w:color w:val="auto"/>
        </w:rPr>
        <w:t>x</w:t>
      </w:r>
      <w:r>
        <w:rPr>
          <w:rFonts w:ascii="Calibri" w:cs="Calibri" w:eastAsia="Calibri" w:hAnsi="Calibri"/>
          <w:sz w:val="16"/>
          <w:szCs w:val="16"/>
          <w:color w:val="auto"/>
        </w:rPr>
        <w:t xml:space="preserve"> No </w:t>
      </w:r>
      <w:r>
        <w:rPr>
          <w:rFonts w:ascii="Wingdings" w:cs="Wingdings" w:eastAsia="Wingdings" w:hAnsi="Wingdings"/>
          <w:sz w:val="16"/>
          <w:szCs w:val="16"/>
          <w:b w:val="1"/>
          <w:bCs w:val="1"/>
          <w:color w:val="auto"/>
        </w:rPr>
        <w:t>o</w:t>
      </w:r>
    </w:p>
    <w:p>
      <w:pPr>
        <w:spacing w:after="0" w:line="85" w:lineRule="exact"/>
        <w:rPr>
          <w:sz w:val="24"/>
          <w:szCs w:val="24"/>
          <w:color w:val="auto"/>
        </w:rPr>
      </w:pPr>
    </w:p>
    <w:p>
      <w:pPr>
        <w:jc w:val="both"/>
        <w:ind w:right="160" w:firstLine="486"/>
        <w:spacing w:after="0" w:line="239"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54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2440" w:type="dxa"/>
            <w:vAlign w:val="bottom"/>
          </w:tcPr>
          <w:p>
            <w:pPr>
              <w:ind w:left="980"/>
              <w:spacing w:after="0"/>
              <w:rPr>
                <w:sz w:val="20"/>
                <w:szCs w:val="20"/>
                <w:color w:val="auto"/>
              </w:rPr>
            </w:pPr>
            <w:r>
              <w:rPr>
                <w:rFonts w:ascii="Wingdings" w:cs="Wingdings" w:eastAsia="Wingdings" w:hAnsi="Wingdings"/>
                <w:sz w:val="18"/>
                <w:szCs w:val="18"/>
                <w:b w:val="1"/>
                <w:bCs w:val="1"/>
                <w:color w:val="auto"/>
              </w:rPr>
              <w:t>o</w:t>
            </w:r>
          </w:p>
        </w:tc>
        <w:tc>
          <w:tcPr>
            <w:tcW w:w="3980" w:type="dxa"/>
            <w:vAlign w:val="bottom"/>
          </w:tcPr>
          <w:p>
            <w:pPr>
              <w:ind w:left="1260"/>
              <w:spacing w:after="0"/>
              <w:rPr>
                <w:sz w:val="20"/>
                <w:szCs w:val="20"/>
                <w:color w:val="auto"/>
              </w:rPr>
            </w:pPr>
            <w:r>
              <w:rPr>
                <w:rFonts w:ascii="Calibri" w:cs="Calibri" w:eastAsia="Calibri" w:hAnsi="Calibri"/>
                <w:sz w:val="18"/>
                <w:szCs w:val="18"/>
                <w:color w:val="auto"/>
              </w:rPr>
              <w:t>Accelerated fler</w:t>
            </w:r>
          </w:p>
        </w:tc>
        <w:tc>
          <w:tcPr>
            <w:tcW w:w="1000" w:type="dxa"/>
            <w:vAlign w:val="bottom"/>
          </w:tcPr>
          <w:p>
            <w:pPr>
              <w:ind w:left="820"/>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254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2440" w:type="dxa"/>
            <w:vAlign w:val="bottom"/>
          </w:tcPr>
          <w:p>
            <w:pPr>
              <w:ind w:left="980"/>
              <w:spacing w:after="0"/>
              <w:rPr>
                <w:sz w:val="20"/>
                <w:szCs w:val="20"/>
                <w:color w:val="auto"/>
              </w:rPr>
            </w:pPr>
            <w:r>
              <w:rPr>
                <w:rFonts w:ascii="Wingdings" w:cs="Wingdings" w:eastAsia="Wingdings" w:hAnsi="Wingdings"/>
                <w:sz w:val="18"/>
                <w:szCs w:val="18"/>
                <w:b w:val="1"/>
                <w:bCs w:val="1"/>
                <w:color w:val="auto"/>
              </w:rPr>
              <w:t>x</w:t>
            </w:r>
          </w:p>
        </w:tc>
        <w:tc>
          <w:tcPr>
            <w:tcW w:w="3980" w:type="dxa"/>
            <w:vAlign w:val="bottom"/>
          </w:tcPr>
          <w:p>
            <w:pPr>
              <w:ind w:left="1260"/>
              <w:spacing w:after="0"/>
              <w:rPr>
                <w:sz w:val="20"/>
                <w:szCs w:val="20"/>
                <w:color w:val="auto"/>
              </w:rPr>
            </w:pPr>
            <w:r>
              <w:rPr>
                <w:rFonts w:ascii="Calibri" w:cs="Calibri" w:eastAsia="Calibri" w:hAnsi="Calibri"/>
                <w:sz w:val="18"/>
                <w:szCs w:val="18"/>
                <w:color w:val="auto"/>
              </w:rPr>
              <w:t>Smaller reportng company</w:t>
            </w:r>
          </w:p>
        </w:tc>
        <w:tc>
          <w:tcPr>
            <w:tcW w:w="1000" w:type="dxa"/>
            <w:vAlign w:val="bottom"/>
          </w:tcPr>
          <w:p>
            <w:pPr>
              <w:ind w:left="800"/>
              <w:spacing w:after="0"/>
              <w:rPr>
                <w:sz w:val="20"/>
                <w:szCs w:val="20"/>
                <w:color w:val="auto"/>
              </w:rPr>
            </w:pPr>
            <w:r>
              <w:rPr>
                <w:rFonts w:ascii="Wingdings" w:cs="Wingdings" w:eastAsia="Wingdings" w:hAnsi="Wingdings"/>
                <w:sz w:val="18"/>
                <w:szCs w:val="18"/>
                <w:b w:val="1"/>
                <w:bCs w:val="1"/>
                <w:color w:val="auto"/>
                <w:w w:val="94"/>
              </w:rPr>
              <w:t>x</w:t>
            </w:r>
          </w:p>
        </w:tc>
      </w:tr>
      <w:tr>
        <w:trPr>
          <w:trHeight w:val="243"/>
        </w:trPr>
        <w:tc>
          <w:tcPr>
            <w:tcW w:w="2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alibri" w:cs="Calibri" w:eastAsia="Calibri" w:hAnsi="Calibri"/>
                <w:sz w:val="18"/>
                <w:szCs w:val="18"/>
                <w:color w:val="auto"/>
              </w:rPr>
              <w:t>Emerging growth company</w:t>
            </w:r>
          </w:p>
        </w:tc>
        <w:tc>
          <w:tcPr>
            <w:tcW w:w="1000" w:type="dxa"/>
            <w:vAlign w:val="bottom"/>
          </w:tcPr>
          <w:p>
            <w:pPr>
              <w:ind w:left="80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15" w:lineRule="exact"/>
        <w:rPr>
          <w:sz w:val="24"/>
          <w:szCs w:val="24"/>
          <w:color w:val="auto"/>
        </w:rPr>
      </w:pPr>
    </w:p>
    <w:p>
      <w:pPr>
        <w:ind w:right="380" w:firstLine="486"/>
        <w:spacing w:after="0" w:line="246" w:lineRule="auto"/>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Wingdings" w:cs="Wingdings" w:eastAsia="Wingdings" w:hAnsi="Wingdings"/>
          <w:sz w:val="16"/>
          <w:szCs w:val="16"/>
          <w:b w:val="1"/>
          <w:bCs w:val="1"/>
          <w:color w:val="auto"/>
        </w:rPr>
        <w:t>o</w:t>
      </w:r>
    </w:p>
    <w:p>
      <w:pPr>
        <w:spacing w:after="0" w:line="124" w:lineRule="exact"/>
        <w:rPr>
          <w:sz w:val="24"/>
          <w:szCs w:val="24"/>
          <w:color w:val="auto"/>
        </w:rPr>
      </w:pPr>
    </w:p>
    <w:p>
      <w:pPr>
        <w:ind w:left="500"/>
        <w:spacing w:after="0"/>
        <w:tabs>
          <w:tab w:leader="none" w:pos="8640" w:val="left"/>
        </w:tabs>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Wingdings" w:cs="Wingdings" w:eastAsia="Wingdings" w:hAnsi="Wingdings"/>
          <w:sz w:val="16"/>
          <w:szCs w:val="16"/>
          <w:b w:val="1"/>
          <w:bCs w:val="1"/>
          <w:color w:val="auto"/>
        </w:rPr>
        <w:t>o</w:t>
      </w:r>
      <w:r>
        <w:rPr>
          <w:rFonts w:ascii="Calibri" w:cs="Calibri" w:eastAsia="Calibri" w:hAnsi="Calibri"/>
          <w:sz w:val="16"/>
          <w:szCs w:val="16"/>
          <w:color w:val="auto"/>
        </w:rPr>
        <w:t xml:space="preserve"> No</w:t>
      </w:r>
      <w:r>
        <w:rPr>
          <w:sz w:val="20"/>
          <w:szCs w:val="20"/>
          <w:color w:val="auto"/>
        </w:rPr>
        <w:tab/>
      </w:r>
      <w:r>
        <w:rPr>
          <w:rFonts w:ascii="Wingdings" w:cs="Wingdings" w:eastAsia="Wingdings" w:hAnsi="Wingdings"/>
          <w:sz w:val="16"/>
          <w:szCs w:val="16"/>
          <w:b w:val="1"/>
          <w:bCs w:val="1"/>
          <w:color w:val="auto"/>
        </w:rPr>
        <w:t>x</w:t>
      </w:r>
    </w:p>
    <w:p>
      <w:pPr>
        <w:spacing w:after="0" w:line="103" w:lineRule="exact"/>
        <w:rPr>
          <w:sz w:val="24"/>
          <w:szCs w:val="24"/>
          <w:color w:val="auto"/>
        </w:rPr>
      </w:pPr>
    </w:p>
    <w:p>
      <w:pPr>
        <w:ind w:right="120" w:firstLine="486"/>
        <w:spacing w:after="0" w:line="235" w:lineRule="auto"/>
        <w:rPr>
          <w:sz w:val="20"/>
          <w:szCs w:val="20"/>
          <w:color w:val="auto"/>
        </w:rPr>
      </w:pPr>
      <w:r>
        <w:rPr>
          <w:rFonts w:ascii="Calibri" w:cs="Calibri" w:eastAsia="Calibri" w:hAnsi="Calibri"/>
          <w:sz w:val="16"/>
          <w:szCs w:val="16"/>
          <w:color w:val="auto"/>
        </w:rPr>
        <w:t>As of November 6, 2024, the registrant had 8,424,415 shares of Class A common stock, $0.0001 par value per share, outstanding and 2,733,394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1" w:name="page2"/>
    <w:bookmarkEnd w:id="1"/>
    <w:p>
      <w:pPr>
        <w:jc w:val="center"/>
        <w:spacing w:after="0"/>
        <w:rPr>
          <w:sz w:val="20"/>
          <w:szCs w:val="20"/>
          <w:color w:val="auto"/>
        </w:rPr>
      </w:pPr>
      <w:r>
        <w:rPr>
          <w:rFonts w:ascii="Calibri" w:cs="Calibri" w:eastAsia="Calibri" w:hAnsi="Calibri"/>
          <w:sz w:val="18"/>
          <w:szCs w:val="18"/>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Page</w:t>
            </w:r>
          </w:p>
        </w:tc>
      </w:tr>
      <w:tr>
        <w:trPr>
          <w:trHeight w:val="209"/>
        </w:trPr>
        <w:tc>
          <w:tcPr>
            <w:tcW w:w="20" w:type="dxa"/>
            <w:vAlign w:val="bottom"/>
          </w:tcPr>
          <w:p>
            <w:pPr>
              <w:spacing w:after="0"/>
              <w:rPr>
                <w:sz w:val="18"/>
                <w:szCs w:val="18"/>
                <w:color w:val="auto"/>
              </w:rPr>
            </w:pPr>
          </w:p>
        </w:tc>
        <w:tc>
          <w:tcPr>
            <w:tcW w:w="1140" w:type="dxa"/>
            <w:vAlign w:val="bottom"/>
            <w:gridSpan w:val="3"/>
          </w:tcPr>
          <w:p>
            <w:pPr>
              <w:spacing w:after="0" w:line="209" w:lineRule="exact"/>
              <w:rPr>
                <w:sz w:val="20"/>
                <w:szCs w:val="20"/>
                <w:color w:val="auto"/>
              </w:rPr>
            </w:pPr>
            <w:r>
              <w:rPr>
                <w:rFonts w:ascii="Calibri" w:cs="Calibri" w:eastAsia="Calibri" w:hAnsi="Calibri"/>
                <w:sz w:val="18"/>
                <w:szCs w:val="18"/>
                <w:b w:val="1"/>
                <w:bCs w:val="1"/>
                <w:color w:val="auto"/>
              </w:rPr>
              <w:t>PART I.</w:t>
            </w:r>
          </w:p>
        </w:tc>
        <w:tc>
          <w:tcPr>
            <w:tcW w:w="7960" w:type="dxa"/>
            <w:vAlign w:val="bottom"/>
            <w:gridSpan w:val="19"/>
          </w:tcPr>
          <w:p>
            <w:pPr>
              <w:spacing w:after="0" w:line="209" w:lineRule="exact"/>
              <w:rPr>
                <w:sz w:val="20"/>
                <w:szCs w:val="20"/>
                <w:color w:val="auto"/>
              </w:rPr>
            </w:pPr>
            <w:r>
              <w:rPr>
                <w:rFonts w:ascii="Calibri" w:cs="Calibri" w:eastAsia="Calibri" w:hAnsi="Calibri"/>
                <w:sz w:val="18"/>
                <w:szCs w:val="18"/>
                <w:b w:val="1"/>
                <w:bCs w:val="1"/>
                <w:color w:val="0563C1"/>
              </w:rPr>
              <w:t>FINANCIAL INFORMATION</w:t>
            </w:r>
          </w:p>
        </w:tc>
        <w:tc>
          <w:tcPr>
            <w:tcW w:w="2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1.</w:t>
            </w:r>
          </w:p>
        </w:tc>
        <w:tc>
          <w:tcPr>
            <w:tcW w:w="1480" w:type="dxa"/>
            <w:vAlign w:val="bottom"/>
            <w:tcBorders>
              <w:top w:val="single" w:sz="8" w:color="0563C1"/>
              <w:bottom w:val="single" w:sz="8" w:color="0563C1"/>
            </w:tcBorders>
            <w:gridSpan w:val="5"/>
          </w:tcPr>
          <w:p>
            <w:pPr>
              <w:spacing w:after="0"/>
              <w:rPr>
                <w:sz w:val="20"/>
                <w:szCs w:val="20"/>
                <w:color w:val="auto"/>
              </w:rPr>
            </w:pPr>
            <w:r>
              <w:rPr>
                <w:rFonts w:ascii="Calibri" w:cs="Calibri" w:eastAsia="Calibri" w:hAnsi="Calibri"/>
                <w:sz w:val="18"/>
                <w:szCs w:val="18"/>
                <w:color w:val="0563C1"/>
                <w:w w:val="95"/>
              </w:rPr>
              <w:t>Financial Statements</w:t>
            </w:r>
          </w:p>
        </w:tc>
        <w:tc>
          <w:tcPr>
            <w:tcW w:w="420" w:type="dxa"/>
            <w:vAlign w:val="bottom"/>
            <w:tcBorders>
              <w:top w:val="single" w:sz="8" w:color="0563C1"/>
            </w:tcBorders>
            <w:gridSpan w:val="4"/>
          </w:tcPr>
          <w:p>
            <w:pPr>
              <w:spacing w:after="0"/>
              <w:rPr>
                <w:sz w:val="19"/>
                <w:szCs w:val="19"/>
                <w:color w:val="auto"/>
              </w:rPr>
            </w:pPr>
          </w:p>
        </w:tc>
        <w:tc>
          <w:tcPr>
            <w:tcW w:w="6060" w:type="dxa"/>
            <w:vAlign w:val="bottom"/>
            <w:gridSpan w:val="10"/>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tcBorders>
              <w:bottom w:val="single" w:sz="8" w:color="0563C1"/>
            </w:tcBorders>
            <w:gridSpan w:val="11"/>
          </w:tcPr>
          <w:p>
            <w:pPr>
              <w:spacing w:after="0"/>
              <w:rPr>
                <w:sz w:val="20"/>
                <w:szCs w:val="20"/>
                <w:color w:val="auto"/>
              </w:rPr>
            </w:pPr>
            <w:r>
              <w:rPr>
                <w:rFonts w:ascii="Calibri" w:cs="Calibri" w:eastAsia="Calibri" w:hAnsi="Calibri"/>
                <w:sz w:val="18"/>
                <w:szCs w:val="18"/>
                <w:color w:val="0563C1"/>
                <w:w w:val="96"/>
              </w:rPr>
              <w:t>Condensed Consolidated Balance Sheets (Unaudited)</w:t>
            </w:r>
          </w:p>
        </w:tc>
        <w:tc>
          <w:tcPr>
            <w:tcW w:w="4180" w:type="dxa"/>
            <w:vAlign w:val="bottom"/>
            <w:gridSpan w:val="8"/>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60" w:type="dxa"/>
            <w:vAlign w:val="bottom"/>
            <w:gridSpan w:val="19"/>
          </w:tcPr>
          <w:p>
            <w:pPr>
              <w:spacing w:after="0"/>
              <w:rPr>
                <w:sz w:val="20"/>
                <w:szCs w:val="20"/>
                <w:color w:val="auto"/>
              </w:rPr>
            </w:pPr>
            <w:r>
              <w:rPr>
                <w:rFonts w:ascii="Calibri" w:cs="Calibri" w:eastAsia="Calibri" w:hAnsi="Calibri"/>
                <w:sz w:val="18"/>
                <w:szCs w:val="18"/>
                <w:color w:val="0563C1"/>
              </w:rPr>
              <w:t>Condensed Consolidated Statements of Operatons and Comprehensive Loss (Unaudited)</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tcBorders>
              <w:top w:val="single" w:sz="8" w:color="0563C1"/>
              <w:bottom w:val="single" w:sz="8" w:color="0563C1"/>
            </w:tcBorders>
            <w:gridSpan w:val="16"/>
          </w:tcPr>
          <w:p>
            <w:pPr>
              <w:spacing w:after="0"/>
              <w:rPr>
                <w:sz w:val="20"/>
                <w:szCs w:val="20"/>
                <w:color w:val="auto"/>
              </w:rPr>
            </w:pPr>
            <w:r>
              <w:rPr>
                <w:rFonts w:ascii="Calibri" w:cs="Calibri" w:eastAsia="Calibri" w:hAnsi="Calibri"/>
                <w:sz w:val="18"/>
                <w:szCs w:val="18"/>
                <w:color w:val="0563C1"/>
                <w:w w:val="97"/>
              </w:rPr>
              <w:t>Condensed Consolidated Statements of Stockholders’ Defcit (Unaudited)</w:t>
            </w:r>
          </w:p>
        </w:tc>
        <w:tc>
          <w:tcPr>
            <w:tcW w:w="1120" w:type="dxa"/>
            <w:vAlign w:val="bottom"/>
            <w:tcBorders>
              <w:top w:val="single" w:sz="8" w:color="0563C1"/>
            </w:tcBorders>
            <w:gridSpan w:val="2"/>
          </w:tcPr>
          <w:p>
            <w:pPr>
              <w:spacing w:after="0"/>
              <w:rPr>
                <w:sz w:val="19"/>
                <w:szCs w:val="19"/>
                <w:color w:val="auto"/>
              </w:rPr>
            </w:pPr>
          </w:p>
        </w:tc>
        <w:tc>
          <w:tcPr>
            <w:tcW w:w="16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6</w:t>
            </w: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60" w:type="dxa"/>
            <w:vAlign w:val="bottom"/>
            <w:gridSpan w:val="19"/>
          </w:tcPr>
          <w:p>
            <w:pPr>
              <w:spacing w:after="0"/>
              <w:rPr>
                <w:sz w:val="20"/>
                <w:szCs w:val="20"/>
                <w:color w:val="auto"/>
              </w:rPr>
            </w:pPr>
            <w:r>
              <w:rPr>
                <w:rFonts w:ascii="Calibri" w:cs="Calibri" w:eastAsia="Calibri" w:hAnsi="Calibri"/>
                <w:sz w:val="18"/>
                <w:szCs w:val="18"/>
                <w:color w:val="0563C1"/>
              </w:rPr>
              <w:t>Condensed Consolidated Statements of Cash Flows (Unaudited)</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9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bottom w:val="single" w:sz="8" w:color="0563C1"/>
            </w:tcBorders>
            <w:gridSpan w:val="15"/>
          </w:tcPr>
          <w:p>
            <w:pPr>
              <w:spacing w:after="0"/>
              <w:rPr>
                <w:sz w:val="20"/>
                <w:szCs w:val="20"/>
                <w:color w:val="auto"/>
              </w:rPr>
            </w:pPr>
            <w:r>
              <w:rPr>
                <w:rFonts w:ascii="Calibri" w:cs="Calibri" w:eastAsia="Calibri" w:hAnsi="Calibri"/>
                <w:sz w:val="18"/>
                <w:szCs w:val="18"/>
                <w:color w:val="0563C1"/>
                <w:w w:val="96"/>
              </w:rPr>
              <w:t>Notes to Condensed Consolidated Financial Statements (Unaudited)</w:t>
            </w:r>
          </w:p>
        </w:tc>
        <w:tc>
          <w:tcPr>
            <w:tcW w:w="3120" w:type="dxa"/>
            <w:vAlign w:val="bottom"/>
            <w:gridSpan w:val="4"/>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2.</w:t>
            </w:r>
          </w:p>
        </w:tc>
        <w:tc>
          <w:tcPr>
            <w:tcW w:w="7960" w:type="dxa"/>
            <w:vAlign w:val="bottom"/>
            <w:gridSpan w:val="19"/>
          </w:tcPr>
          <w:p>
            <w:pPr>
              <w:spacing w:after="0"/>
              <w:rPr>
                <w:sz w:val="20"/>
                <w:szCs w:val="20"/>
                <w:color w:val="auto"/>
              </w:rPr>
            </w:pPr>
            <w:r>
              <w:rPr>
                <w:rFonts w:ascii="Calibri" w:cs="Calibri" w:eastAsia="Calibri" w:hAnsi="Calibri"/>
                <w:sz w:val="18"/>
                <w:szCs w:val="18"/>
                <w:color w:val="0563C1"/>
              </w:rPr>
              <w:t>Management’s Discussion and Analysis of Financial Conditon and Results of Operatons</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3.</w:t>
            </w:r>
          </w:p>
        </w:tc>
        <w:tc>
          <w:tcPr>
            <w:tcW w:w="6220" w:type="dxa"/>
            <w:vAlign w:val="bottom"/>
            <w:tcBorders>
              <w:top w:val="single" w:sz="8" w:color="0563C1"/>
            </w:tcBorders>
            <w:gridSpan w:val="17"/>
          </w:tcPr>
          <w:p>
            <w:pPr>
              <w:spacing w:after="0"/>
              <w:rPr>
                <w:sz w:val="20"/>
                <w:szCs w:val="20"/>
                <w:color w:val="auto"/>
              </w:rPr>
            </w:pPr>
            <w:r>
              <w:rPr>
                <w:rFonts w:ascii="Calibri" w:cs="Calibri" w:eastAsia="Calibri" w:hAnsi="Calibri"/>
                <w:sz w:val="18"/>
                <w:szCs w:val="18"/>
                <w:color w:val="0563C1"/>
              </w:rPr>
              <w:t>Quanttatve and Qualitatve Disclosures About Market Risk</w:t>
            </w:r>
          </w:p>
        </w:tc>
        <w:tc>
          <w:tcPr>
            <w:tcW w:w="1740" w:type="dxa"/>
            <w:vAlign w:val="bottom"/>
            <w:gridSpan w:val="2"/>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4.</w:t>
            </w:r>
          </w:p>
        </w:tc>
        <w:tc>
          <w:tcPr>
            <w:tcW w:w="4200" w:type="dxa"/>
            <w:vAlign w:val="bottom"/>
            <w:tcBorders>
              <w:top w:val="single" w:sz="8" w:color="0563C1"/>
            </w:tcBorders>
            <w:gridSpan w:val="12"/>
          </w:tcPr>
          <w:p>
            <w:pPr>
              <w:spacing w:after="0"/>
              <w:rPr>
                <w:sz w:val="20"/>
                <w:szCs w:val="20"/>
                <w:color w:val="auto"/>
              </w:rPr>
            </w:pPr>
            <w:r>
              <w:rPr>
                <w:rFonts w:ascii="Calibri" w:cs="Calibri" w:eastAsia="Calibri" w:hAnsi="Calibri"/>
                <w:sz w:val="18"/>
                <w:szCs w:val="18"/>
                <w:color w:val="0563C1"/>
              </w:rPr>
              <w:t>Controls and Procedures</w:t>
            </w:r>
          </w:p>
        </w:tc>
        <w:tc>
          <w:tcPr>
            <w:tcW w:w="3760" w:type="dxa"/>
            <w:vAlign w:val="bottom"/>
            <w:gridSpan w:val="7"/>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b w:val="1"/>
                <w:bCs w:val="1"/>
                <w:color w:val="auto"/>
              </w:rPr>
              <w:t>PART II.</w:t>
            </w:r>
          </w:p>
        </w:tc>
        <w:tc>
          <w:tcPr>
            <w:tcW w:w="1740" w:type="dxa"/>
            <w:vAlign w:val="bottom"/>
            <w:tcBorders>
              <w:top w:val="single" w:sz="8" w:color="0563C1"/>
            </w:tcBorders>
            <w:gridSpan w:val="8"/>
          </w:tcPr>
          <w:p>
            <w:pPr>
              <w:spacing w:after="0"/>
              <w:rPr>
                <w:sz w:val="20"/>
                <w:szCs w:val="20"/>
                <w:color w:val="auto"/>
              </w:rPr>
            </w:pPr>
            <w:r>
              <w:rPr>
                <w:rFonts w:ascii="Calibri" w:cs="Calibri" w:eastAsia="Calibri" w:hAnsi="Calibri"/>
                <w:sz w:val="18"/>
                <w:szCs w:val="18"/>
                <w:b w:val="1"/>
                <w:bCs w:val="1"/>
                <w:color w:val="0563C1"/>
              </w:rPr>
              <w:t>OTHER INFORMATION</w:t>
            </w:r>
          </w:p>
        </w:tc>
        <w:tc>
          <w:tcPr>
            <w:tcW w:w="6220" w:type="dxa"/>
            <w:vAlign w:val="bottom"/>
            <w:gridSpan w:val="11"/>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1.</w:t>
            </w:r>
          </w:p>
        </w:tc>
        <w:tc>
          <w:tcPr>
            <w:tcW w:w="1280" w:type="dxa"/>
            <w:vAlign w:val="bottom"/>
            <w:tcBorders>
              <w:top w:val="single" w:sz="8" w:color="0563C1"/>
              <w:bottom w:val="single" w:sz="8" w:color="0563C1"/>
            </w:tcBorders>
            <w:gridSpan w:val="3"/>
          </w:tcPr>
          <w:p>
            <w:pPr>
              <w:spacing w:after="0"/>
              <w:rPr>
                <w:sz w:val="20"/>
                <w:szCs w:val="20"/>
                <w:color w:val="auto"/>
              </w:rPr>
            </w:pPr>
            <w:r>
              <w:rPr>
                <w:rFonts w:ascii="Calibri" w:cs="Calibri" w:eastAsia="Calibri" w:hAnsi="Calibri"/>
                <w:sz w:val="18"/>
                <w:szCs w:val="18"/>
                <w:color w:val="0563C1"/>
                <w:w w:val="96"/>
              </w:rPr>
              <w:t>Legal Proceedings</w:t>
            </w:r>
          </w:p>
        </w:tc>
        <w:tc>
          <w:tcPr>
            <w:tcW w:w="320" w:type="dxa"/>
            <w:vAlign w:val="bottom"/>
            <w:tcBorders>
              <w:top w:val="single" w:sz="8" w:color="0563C1"/>
            </w:tcBorders>
            <w:gridSpan w:val="3"/>
          </w:tcPr>
          <w:p>
            <w:pPr>
              <w:spacing w:after="0"/>
              <w:rPr>
                <w:sz w:val="19"/>
                <w:szCs w:val="19"/>
                <w:color w:val="auto"/>
              </w:rPr>
            </w:pPr>
          </w:p>
        </w:tc>
        <w:tc>
          <w:tcPr>
            <w:tcW w:w="6360" w:type="dxa"/>
            <w:vAlign w:val="bottom"/>
            <w:gridSpan w:val="13"/>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50</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1A.</w:t>
            </w:r>
          </w:p>
        </w:tc>
        <w:tc>
          <w:tcPr>
            <w:tcW w:w="840" w:type="dxa"/>
            <w:vAlign w:val="bottom"/>
            <w:tcBorders>
              <w:bottom w:val="single" w:sz="8" w:color="0563C1"/>
            </w:tcBorders>
            <w:gridSpan w:val="2"/>
          </w:tcPr>
          <w:p>
            <w:pPr>
              <w:spacing w:after="0"/>
              <w:rPr>
                <w:sz w:val="20"/>
                <w:szCs w:val="20"/>
                <w:color w:val="auto"/>
              </w:rPr>
            </w:pPr>
            <w:r>
              <w:rPr>
                <w:rFonts w:ascii="Calibri" w:cs="Calibri" w:eastAsia="Calibri" w:hAnsi="Calibri"/>
                <w:sz w:val="18"/>
                <w:szCs w:val="18"/>
                <w:color w:val="0563C1"/>
                <w:w w:val="94"/>
              </w:rPr>
              <w:t>Risk Factors</w:t>
            </w:r>
          </w:p>
        </w:tc>
        <w:tc>
          <w:tcPr>
            <w:tcW w:w="7120" w:type="dxa"/>
            <w:vAlign w:val="bottom"/>
            <w:gridSpan w:val="17"/>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50</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2.</w:t>
            </w:r>
          </w:p>
        </w:tc>
        <w:tc>
          <w:tcPr>
            <w:tcW w:w="4220" w:type="dxa"/>
            <w:vAlign w:val="bottom"/>
            <w:tcBorders>
              <w:bottom w:val="single" w:sz="8" w:color="0563C1"/>
            </w:tcBorders>
            <w:gridSpan w:val="13"/>
          </w:tcPr>
          <w:p>
            <w:pPr>
              <w:spacing w:after="0"/>
              <w:rPr>
                <w:sz w:val="20"/>
                <w:szCs w:val="20"/>
                <w:color w:val="auto"/>
              </w:rPr>
            </w:pPr>
            <w:r>
              <w:rPr>
                <w:rFonts w:ascii="Calibri" w:cs="Calibri" w:eastAsia="Calibri" w:hAnsi="Calibri"/>
                <w:sz w:val="18"/>
                <w:szCs w:val="18"/>
                <w:color w:val="0563C1"/>
                <w:w w:val="97"/>
              </w:rPr>
              <w:t>Unregistered Sales of Equity Securites and Use of Proceeds</w:t>
            </w:r>
          </w:p>
        </w:tc>
        <w:tc>
          <w:tcPr>
            <w:tcW w:w="3740" w:type="dxa"/>
            <w:vAlign w:val="bottom"/>
            <w:gridSpan w:val="6"/>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3.</w:t>
            </w:r>
          </w:p>
        </w:tc>
        <w:tc>
          <w:tcPr>
            <w:tcW w:w="7960" w:type="dxa"/>
            <w:vAlign w:val="bottom"/>
            <w:gridSpan w:val="19"/>
          </w:tcPr>
          <w:p>
            <w:pPr>
              <w:spacing w:after="0"/>
              <w:rPr>
                <w:sz w:val="20"/>
                <w:szCs w:val="20"/>
                <w:color w:val="auto"/>
              </w:rPr>
            </w:pPr>
            <w:r>
              <w:rPr>
                <w:rFonts w:ascii="Calibri" w:cs="Calibri" w:eastAsia="Calibri" w:hAnsi="Calibri"/>
                <w:sz w:val="18"/>
                <w:szCs w:val="18"/>
                <w:color w:val="0563C1"/>
              </w:rPr>
              <w:t>Defaults Upon Senior Securites</w:t>
            </w:r>
          </w:p>
        </w:tc>
        <w:tc>
          <w:tcPr>
            <w:tcW w:w="2120" w:type="dxa"/>
            <w:vAlign w:val="bottom"/>
          </w:tcPr>
          <w:p>
            <w:pPr>
              <w:jc w:val="right"/>
              <w:spacing w:after="0"/>
              <w:rPr>
                <w:sz w:val="20"/>
                <w:szCs w:val="20"/>
                <w:color w:val="auto"/>
              </w:rPr>
            </w:pPr>
            <w:r>
              <w:rPr>
                <w:rFonts w:ascii="Calibri" w:cs="Calibri" w:eastAsia="Calibri" w:hAnsi="Calibri"/>
                <w:sz w:val="18"/>
                <w:szCs w:val="18"/>
                <w:color w:val="auto"/>
              </w:rPr>
              <w:t>53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4.</w:t>
            </w:r>
          </w:p>
        </w:tc>
        <w:tc>
          <w:tcPr>
            <w:tcW w:w="2240" w:type="dxa"/>
            <w:vAlign w:val="bottom"/>
            <w:tcBorders>
              <w:top w:val="single" w:sz="8" w:color="0563C1"/>
            </w:tcBorders>
            <w:gridSpan w:val="10"/>
          </w:tcPr>
          <w:p>
            <w:pPr>
              <w:spacing w:after="0"/>
              <w:rPr>
                <w:sz w:val="20"/>
                <w:szCs w:val="20"/>
                <w:color w:val="auto"/>
              </w:rPr>
            </w:pPr>
            <w:r>
              <w:rPr>
                <w:rFonts w:ascii="Calibri" w:cs="Calibri" w:eastAsia="Calibri" w:hAnsi="Calibri"/>
                <w:sz w:val="18"/>
                <w:szCs w:val="18"/>
                <w:color w:val="0563C1"/>
              </w:rPr>
              <w:t>Mine Safety Disclosures</w:t>
            </w:r>
          </w:p>
        </w:tc>
        <w:tc>
          <w:tcPr>
            <w:tcW w:w="5720" w:type="dxa"/>
            <w:vAlign w:val="bottom"/>
            <w:gridSpan w:val="9"/>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5.</w:t>
            </w:r>
          </w:p>
        </w:tc>
        <w:tc>
          <w:tcPr>
            <w:tcW w:w="1680" w:type="dxa"/>
            <w:vAlign w:val="bottom"/>
            <w:tcBorders>
              <w:top w:val="single" w:sz="8" w:color="0563C1"/>
            </w:tcBorders>
            <w:gridSpan w:val="7"/>
          </w:tcPr>
          <w:p>
            <w:pPr>
              <w:spacing w:after="0"/>
              <w:rPr>
                <w:sz w:val="20"/>
                <w:szCs w:val="20"/>
                <w:color w:val="auto"/>
              </w:rPr>
            </w:pPr>
            <w:r>
              <w:rPr>
                <w:rFonts w:ascii="Calibri" w:cs="Calibri" w:eastAsia="Calibri" w:hAnsi="Calibri"/>
                <w:sz w:val="18"/>
                <w:szCs w:val="18"/>
                <w:color w:val="0563C1"/>
              </w:rPr>
              <w:t>Other Informaton</w:t>
            </w:r>
          </w:p>
        </w:tc>
        <w:tc>
          <w:tcPr>
            <w:tcW w:w="6280" w:type="dxa"/>
            <w:vAlign w:val="bottom"/>
            <w:gridSpan w:val="12"/>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563C1"/>
            </w:tcBorders>
            <w:gridSpan w:val="4"/>
          </w:tcPr>
          <w:p>
            <w:pPr>
              <w:spacing w:after="0"/>
              <w:rPr>
                <w:sz w:val="20"/>
                <w:szCs w:val="20"/>
                <w:color w:val="auto"/>
              </w:rPr>
            </w:pPr>
            <w:r>
              <w:rPr>
                <w:rFonts w:ascii="Calibri" w:cs="Calibri" w:eastAsia="Calibri" w:hAnsi="Calibri"/>
                <w:sz w:val="18"/>
                <w:szCs w:val="18"/>
                <w:color w:val="0563C1"/>
              </w:rPr>
              <w:t>Exhibits</w:t>
            </w:r>
          </w:p>
        </w:tc>
        <w:tc>
          <w:tcPr>
            <w:tcW w:w="6660" w:type="dxa"/>
            <w:vAlign w:val="bottom"/>
            <w:gridSpan w:val="15"/>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54</w:t>
            </w:r>
          </w:p>
        </w:tc>
      </w:tr>
      <w:tr>
        <w:trPr>
          <w:trHeight w:val="237"/>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Calibri" w:cs="Calibri" w:eastAsia="Calibri" w:hAnsi="Calibri"/>
                <w:sz w:val="18"/>
                <w:szCs w:val="18"/>
                <w:color w:val="0563C1"/>
              </w:rPr>
              <w:t>Exhibit Index</w:t>
            </w:r>
          </w:p>
        </w:tc>
        <w:tc>
          <w:tcPr>
            <w:tcW w:w="560" w:type="dxa"/>
            <w:vAlign w:val="bottom"/>
            <w:tcBorders>
              <w:top w:val="single" w:sz="8" w:color="0563C1"/>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54</w:t>
            </w:r>
          </w:p>
        </w:tc>
      </w:tr>
      <w:tr>
        <w:trPr>
          <w:trHeight w:val="223"/>
        </w:trPr>
        <w:tc>
          <w:tcPr>
            <w:tcW w:w="20" w:type="dxa"/>
            <w:vAlign w:val="bottom"/>
          </w:tcPr>
          <w:p>
            <w:pPr>
              <w:spacing w:after="0"/>
              <w:rPr>
                <w:sz w:val="19"/>
                <w:szCs w:val="19"/>
                <w:color w:val="auto"/>
              </w:rPr>
            </w:pPr>
          </w:p>
        </w:tc>
        <w:tc>
          <w:tcPr>
            <w:tcW w:w="920" w:type="dxa"/>
            <w:vAlign w:val="bottom"/>
            <w:tcBorders>
              <w:top w:val="single" w:sz="8" w:color="0563C1"/>
            </w:tcBorders>
            <w:gridSpan w:val="2"/>
          </w:tcPr>
          <w:p>
            <w:pPr>
              <w:spacing w:after="0"/>
              <w:rPr>
                <w:sz w:val="20"/>
                <w:szCs w:val="20"/>
                <w:color w:val="auto"/>
              </w:rPr>
            </w:pPr>
            <w:r>
              <w:rPr>
                <w:rFonts w:ascii="Calibri" w:cs="Calibri" w:eastAsia="Calibri" w:hAnsi="Calibri"/>
                <w:sz w:val="18"/>
                <w:szCs w:val="18"/>
                <w:color w:val="0563C1"/>
              </w:rPr>
              <w:t>Signatures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Calibri" w:cs="Calibri" w:eastAsia="Calibri" w:hAnsi="Calibri"/>
                <w:sz w:val="18"/>
                <w:szCs w:val="18"/>
                <w:color w:val="auto"/>
              </w:rPr>
              <w:t>55</w:t>
            </w:r>
          </w:p>
        </w:tc>
      </w:tr>
      <w:tr>
        <w:trPr>
          <w:trHeight w:val="952"/>
        </w:trPr>
        <w:tc>
          <w:tcPr>
            <w:tcW w:w="20" w:type="dxa"/>
            <w:vAlign w:val="bottom"/>
          </w:tcPr>
          <w:p>
            <w:pPr>
              <w:spacing w:after="0"/>
              <w:rPr>
                <w:sz w:val="24"/>
                <w:szCs w:val="24"/>
                <w:color w:val="auto"/>
              </w:rPr>
            </w:pPr>
          </w:p>
        </w:tc>
        <w:tc>
          <w:tcPr>
            <w:tcW w:w="74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w w:val="88"/>
              </w:rPr>
              <w:t>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2E74B5"/>
        </w:rPr>
        <w:t>CAUTIONARY STATEMENT REGARDING FORWARD-LOOKING STATEMENTS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Quarterly Report on Form 10-Q includes certain statements that may consttute “forward-looking statements” within the meaning of Secton 27A of the Securites Act of 1933, as amended (the “Securites Act”) and Secton 21E of the Securites Exchange Act of 1934, as amended (the “Exchange Act”). All statements other than statements of historical fact are forward-looking statements for purposes of federal and state securites laws. These forward-looking statements involve uncertaintes that could signifcantly afect our fnancial or operatng results. These forward-looking statements may be identfed by terms such as “antcipate,” “believe,” “contnue,” “foresee,” “expect,” “intend,” “plan,” “may,” “will,” “would” “could” and “should” and the negatve of these terms or other similar expressions. Forward-looking statements are based on current beliefs and assumptons that are subject to risks and uncertaintes and are not guarantees of future performance. Forward-looking statements in this document include, among other things, statements regarding our business plan, business strategy and operatons in the future. In additon, all statements that address operatng performance and future performance, events or developments that are expected or antcipated to occur in the future, including statements relatng to creatng value for stockholders, are forward-looking statements.</w:t>
      </w:r>
    </w:p>
    <w:p>
      <w:pPr>
        <w:spacing w:after="0" w:line="22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Forward-looking statements are subject to a number of risks, uncertaintes and assumptons. Maters and factors that could cause actual results to difer materially from those expressed or implied in such forward-looking statements include but are not limited to the maters and factors described in Part I, Item 1A. “</w:t>
      </w:r>
      <w:r>
        <w:rPr>
          <w:rFonts w:ascii="Calibri" w:cs="Calibri" w:eastAsia="Calibri" w:hAnsi="Calibri"/>
          <w:sz w:val="18"/>
          <w:szCs w:val="18"/>
          <w:i w:val="1"/>
          <w:iCs w:val="1"/>
          <w:color w:val="auto"/>
        </w:rPr>
        <w:t>Risk Factors</w:t>
      </w:r>
      <w:r>
        <w:rPr>
          <w:rFonts w:ascii="Calibri" w:cs="Calibri" w:eastAsia="Calibri" w:hAnsi="Calibri"/>
          <w:sz w:val="18"/>
          <w:szCs w:val="18"/>
          <w:color w:val="auto"/>
        </w:rPr>
        <w:t>” of the most recent Form 10-K of Greenidge Generaton Holdings Inc. (“Greenidge,” the “Company,” “we,” “us,” or “our”) fled with the Securites and Exchange Commission ("SEC") and in this Quarterly Report on Form 10-Q, as well as those described from tme to tme in our future reports fled with the SEC, which should be reviewed carefully. Please consider Greenidge's forward-looking statements in light of those risks.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Greenidge Generaton Holdings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September 30, 2024</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Calibri" w:cs="Calibri" w:eastAsia="Calibri" w:hAnsi="Calibri"/>
                <w:sz w:val="14"/>
                <w:szCs w:val="14"/>
                <w:b w:val="1"/>
                <w:bCs w:val="1"/>
                <w:color w:val="auto"/>
              </w:rPr>
              <w:t>December 31, 2023</w:t>
            </w:r>
          </w:p>
        </w:tc>
      </w:tr>
      <w:tr>
        <w:trPr>
          <w:trHeight w:val="47"/>
        </w:trPr>
        <w:tc>
          <w:tcPr>
            <w:tcW w:w="79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09"/>
        </w:trPr>
        <w:tc>
          <w:tcPr>
            <w:tcW w:w="79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2"/>
        </w:trPr>
        <w:tc>
          <w:tcPr>
            <w:tcW w:w="79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796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Cash and cash equivalents, including restricted cash</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13,312</w:t>
            </w:r>
          </w:p>
        </w:tc>
      </w:tr>
      <w:tr>
        <w:trPr>
          <w:trHeight w:val="222"/>
        </w:trPr>
        <w:tc>
          <w:tcPr>
            <w:tcW w:w="7960" w:type="dxa"/>
            <w:vAlign w:val="bottom"/>
          </w:tcPr>
          <w:p>
            <w:pPr>
              <w:ind w:left="240"/>
              <w:spacing w:after="0" w:line="215" w:lineRule="exact"/>
              <w:rPr>
                <w:sz w:val="20"/>
                <w:szCs w:val="20"/>
                <w:color w:val="auto"/>
              </w:rPr>
            </w:pPr>
            <w:r>
              <w:rPr>
                <w:rFonts w:ascii="Calibri" w:cs="Calibri" w:eastAsia="Calibri" w:hAnsi="Calibri"/>
                <w:sz w:val="18"/>
                <w:szCs w:val="18"/>
                <w:color w:val="auto"/>
              </w:rPr>
              <w:t>Digital assets</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3,845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347</w:t>
            </w:r>
          </w:p>
        </w:tc>
      </w:tr>
      <w:tr>
        <w:trPr>
          <w:trHeight w:val="237"/>
        </w:trPr>
        <w:tc>
          <w:tcPr>
            <w:tcW w:w="796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Accounts receivable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358</w:t>
            </w:r>
          </w:p>
        </w:tc>
      </w:tr>
      <w:tr>
        <w:trPr>
          <w:trHeight w:val="222"/>
        </w:trPr>
        <w:tc>
          <w:tcPr>
            <w:tcW w:w="7960" w:type="dxa"/>
            <w:vAlign w:val="bottom"/>
          </w:tcPr>
          <w:p>
            <w:pPr>
              <w:ind w:left="240"/>
              <w:spacing w:after="0" w:line="215" w:lineRule="exact"/>
              <w:rPr>
                <w:sz w:val="20"/>
                <w:szCs w:val="20"/>
                <w:color w:val="auto"/>
              </w:rPr>
            </w:pPr>
            <w:r>
              <w:rPr>
                <w:rFonts w:ascii="Calibri" w:cs="Calibri" w:eastAsia="Calibri" w:hAnsi="Calibri"/>
                <w:sz w:val="18"/>
                <w:szCs w:val="18"/>
                <w:color w:val="auto"/>
              </w:rPr>
              <w:t>Prepaid expenses and current other assets</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3,864</w:t>
            </w:r>
          </w:p>
        </w:tc>
      </w:tr>
      <w:tr>
        <w:trPr>
          <w:trHeight w:val="237"/>
        </w:trPr>
        <w:tc>
          <w:tcPr>
            <w:tcW w:w="796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Emissions and carbon ofset credits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5,694</w:t>
            </w:r>
          </w:p>
        </w:tc>
      </w:tr>
      <w:tr>
        <w:trPr>
          <w:trHeight w:val="223"/>
        </w:trPr>
        <w:tc>
          <w:tcPr>
            <w:tcW w:w="796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Income tax receivable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857</w:t>
            </w:r>
          </w:p>
        </w:tc>
      </w:tr>
      <w:tr>
        <w:trPr>
          <w:trHeight w:val="229"/>
        </w:trPr>
        <w:tc>
          <w:tcPr>
            <w:tcW w:w="7960" w:type="dxa"/>
            <w:vAlign w:val="bottom"/>
            <w:shd w:val="clear" w:color="auto" w:fill="CCEEFF"/>
          </w:tcPr>
          <w:p>
            <w:pPr>
              <w:ind w:left="440"/>
              <w:spacing w:after="0" w:line="206" w:lineRule="exact"/>
              <w:rPr>
                <w:sz w:val="20"/>
                <w:szCs w:val="20"/>
                <w:color w:val="auto"/>
              </w:rPr>
            </w:pPr>
            <w:r>
              <w:rPr>
                <w:rFonts w:ascii="Calibri" w:cs="Calibri" w:eastAsia="Calibri" w:hAnsi="Calibri"/>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24,432</w:t>
            </w:r>
          </w:p>
        </w:tc>
      </w:tr>
      <w:tr>
        <w:trPr>
          <w:trHeight w:val="222"/>
        </w:trPr>
        <w:tc>
          <w:tcPr>
            <w:tcW w:w="79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Property and equipment,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30,396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45,095</w:t>
            </w:r>
          </w:p>
        </w:tc>
      </w:tr>
      <w:tr>
        <w:trPr>
          <w:trHeight w:val="222"/>
        </w:trPr>
        <w:tc>
          <w:tcPr>
            <w:tcW w:w="7960" w:type="dxa"/>
            <w:vAlign w:val="bottom"/>
          </w:tcPr>
          <w:p>
            <w:pPr>
              <w:ind w:left="180"/>
              <w:spacing w:after="0" w:line="215" w:lineRule="exact"/>
              <w:rPr>
                <w:sz w:val="20"/>
                <w:szCs w:val="20"/>
                <w:color w:val="auto"/>
              </w:rPr>
            </w:pPr>
            <w:r>
              <w:rPr>
                <w:rFonts w:ascii="Calibri" w:cs="Calibri" w:eastAsia="Calibri" w:hAnsi="Calibri"/>
                <w:sz w:val="18"/>
                <w:szCs w:val="18"/>
                <w:color w:val="auto"/>
              </w:rPr>
              <w:t>Other long-term assets</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1,477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1,652</w:t>
            </w:r>
          </w:p>
        </w:tc>
      </w:tr>
      <w:tr>
        <w:trPr>
          <w:trHeight w:val="230"/>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Long-term assets held for sale</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7,184</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7960" w:type="dxa"/>
            <w:vAlign w:val="bottom"/>
          </w:tcPr>
          <w:p>
            <w:pPr>
              <w:ind w:left="440"/>
              <w:spacing w:after="0"/>
              <w:rPr>
                <w:sz w:val="20"/>
                <w:szCs w:val="20"/>
                <w:color w:val="auto"/>
              </w:rPr>
            </w:pPr>
            <w:r>
              <w:rPr>
                <w:rFonts w:ascii="Calibri" w:cs="Calibri" w:eastAsia="Calibri" w:hAnsi="Calibri"/>
                <w:sz w:val="18"/>
                <w:szCs w:val="18"/>
                <w:color w:val="auto"/>
              </w:rPr>
              <w:t>Total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59,880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71,179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2"/>
        </w:trPr>
        <w:tc>
          <w:tcPr>
            <w:tcW w:w="79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Accounts payable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3,495</w:t>
            </w:r>
          </w:p>
        </w:tc>
      </w:tr>
      <w:tr>
        <w:trPr>
          <w:trHeight w:val="222"/>
        </w:trPr>
        <w:tc>
          <w:tcPr>
            <w:tcW w:w="7960" w:type="dxa"/>
            <w:vAlign w:val="bottom"/>
          </w:tcPr>
          <w:p>
            <w:pPr>
              <w:ind w:left="180"/>
              <w:spacing w:after="0" w:line="215" w:lineRule="exact"/>
              <w:rPr>
                <w:sz w:val="20"/>
                <w:szCs w:val="20"/>
                <w:color w:val="auto"/>
              </w:rPr>
            </w:pPr>
            <w:r>
              <w:rPr>
                <w:rFonts w:ascii="Calibri" w:cs="Calibri" w:eastAsia="Calibri" w:hAnsi="Calibri"/>
                <w:sz w:val="18"/>
                <w:szCs w:val="18"/>
                <w:color w:val="auto"/>
              </w:rPr>
              <w:t>Accrued emissions expense</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10,520</w:t>
            </w: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Accrued expenses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6,116</w:t>
            </w:r>
          </w:p>
        </w:tc>
      </w:tr>
      <w:tr>
        <w:trPr>
          <w:trHeight w:val="222"/>
        </w:trPr>
        <w:tc>
          <w:tcPr>
            <w:tcW w:w="7960" w:type="dxa"/>
            <w:vAlign w:val="bottom"/>
          </w:tcPr>
          <w:p>
            <w:pPr>
              <w:ind w:left="180"/>
              <w:spacing w:after="0" w:line="215" w:lineRule="exact"/>
              <w:rPr>
                <w:sz w:val="20"/>
                <w:szCs w:val="20"/>
                <w:color w:val="auto"/>
              </w:rPr>
            </w:pPr>
            <w:r>
              <w:rPr>
                <w:rFonts w:ascii="Calibri" w:cs="Calibri" w:eastAsia="Calibri" w:hAnsi="Calibri"/>
                <w:sz w:val="18"/>
                <w:szCs w:val="18"/>
                <w:color w:val="auto"/>
              </w:rPr>
              <w:t>Short-term environmental liability</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1,613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363</w:t>
            </w: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Contract liability</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7960" w:type="dxa"/>
            <w:vAlign w:val="bottom"/>
            <w:tcBorders>
              <w:bottom w:val="single" w:sz="8" w:color="CCEEFF"/>
            </w:tcBorders>
          </w:tcPr>
          <w:p>
            <w:pPr>
              <w:ind w:left="180"/>
              <w:spacing w:after="0" w:line="215" w:lineRule="exact"/>
              <w:rPr>
                <w:sz w:val="20"/>
                <w:szCs w:val="20"/>
                <w:color w:val="auto"/>
              </w:rPr>
            </w:pPr>
            <w:r>
              <w:rPr>
                <w:rFonts w:ascii="Calibri" w:cs="Calibri" w:eastAsia="Calibri" w:hAnsi="Calibri"/>
                <w:sz w:val="18"/>
                <w:szCs w:val="18"/>
                <w:color w:val="auto"/>
              </w:rPr>
              <w:t>Current liabilites held for sale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483</w:t>
            </w:r>
          </w:p>
        </w:tc>
      </w:tr>
      <w:tr>
        <w:trPr>
          <w:trHeight w:val="229"/>
        </w:trPr>
        <w:tc>
          <w:tcPr>
            <w:tcW w:w="7960" w:type="dxa"/>
            <w:vAlign w:val="bottom"/>
            <w:shd w:val="clear" w:color="auto" w:fill="CCEEFF"/>
          </w:tcPr>
          <w:p>
            <w:pPr>
              <w:ind w:left="440"/>
              <w:spacing w:after="0" w:line="206" w:lineRule="exact"/>
              <w:rPr>
                <w:sz w:val="20"/>
                <w:szCs w:val="20"/>
                <w:color w:val="auto"/>
              </w:rPr>
            </w:pPr>
            <w:r>
              <w:rPr>
                <w:rFonts w:ascii="Calibri" w:cs="Calibri" w:eastAsia="Calibri" w:hAnsi="Calibri"/>
                <w:sz w:val="18"/>
                <w:szCs w:val="18"/>
                <w:color w:val="auto"/>
              </w:rPr>
              <w:t>Total current liabilites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20,977</w:t>
            </w:r>
          </w:p>
        </w:tc>
      </w:tr>
      <w:tr>
        <w:trPr>
          <w:trHeight w:val="222"/>
        </w:trPr>
        <w:tc>
          <w:tcPr>
            <w:tcW w:w="79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Long-term debt, net of deferred fnancing fees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69,535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68,710</w:t>
            </w:r>
          </w:p>
        </w:tc>
      </w:tr>
      <w:tr>
        <w:trPr>
          <w:trHeight w:val="222"/>
        </w:trPr>
        <w:tc>
          <w:tcPr>
            <w:tcW w:w="7960" w:type="dxa"/>
            <w:vAlign w:val="bottom"/>
          </w:tcPr>
          <w:p>
            <w:pPr>
              <w:ind w:left="180"/>
              <w:spacing w:after="0" w:line="215" w:lineRule="exact"/>
              <w:rPr>
                <w:sz w:val="20"/>
                <w:szCs w:val="20"/>
                <w:color w:val="auto"/>
              </w:rPr>
            </w:pPr>
            <w:r>
              <w:rPr>
                <w:rFonts w:ascii="Calibri" w:cs="Calibri" w:eastAsia="Calibri" w:hAnsi="Calibri"/>
                <w:sz w:val="18"/>
                <w:szCs w:val="18"/>
                <w:color w:val="auto"/>
              </w:rPr>
              <w:t>Environmental liabilites</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28,616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29,866</w:t>
            </w: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Other long-term liabilites</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2,777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2,650</w:t>
            </w:r>
          </w:p>
        </w:tc>
      </w:tr>
      <w:tr>
        <w:trPr>
          <w:trHeight w:val="217"/>
        </w:trPr>
        <w:tc>
          <w:tcPr>
            <w:tcW w:w="7960" w:type="dxa"/>
            <w:vAlign w:val="bottom"/>
            <w:tcBorders>
              <w:bottom w:val="single" w:sz="8" w:color="CCEEFF"/>
            </w:tcBorders>
          </w:tcPr>
          <w:p>
            <w:pPr>
              <w:ind w:left="440"/>
              <w:spacing w:after="0" w:line="199" w:lineRule="exact"/>
              <w:rPr>
                <w:sz w:val="20"/>
                <w:szCs w:val="20"/>
                <w:color w:val="auto"/>
              </w:rPr>
            </w:pPr>
            <w:r>
              <w:rPr>
                <w:rFonts w:ascii="Calibri" w:cs="Calibri" w:eastAsia="Calibri" w:hAnsi="Calibri"/>
                <w:sz w:val="18"/>
                <w:szCs w:val="18"/>
                <w:color w:val="auto"/>
              </w:rPr>
              <w:t>Total liabilites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117,929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122,203</w:t>
            </w:r>
          </w:p>
        </w:tc>
      </w:tr>
      <w:tr>
        <w:trPr>
          <w:trHeight w:val="210"/>
        </w:trPr>
        <w:tc>
          <w:tcPr>
            <w:tcW w:w="7960" w:type="dxa"/>
            <w:vAlign w:val="bottom"/>
            <w:tcBorders>
              <w:bottom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22"/>
        </w:trPr>
        <w:tc>
          <w:tcPr>
            <w:tcW w:w="796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DEFICIT: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Preferred stock, par value $0.0001, 20,000,000 shares authorized, none outstanding</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180"/>
        </w:trPr>
        <w:tc>
          <w:tcPr>
            <w:tcW w:w="7960" w:type="dxa"/>
            <w:vAlign w:val="bottom"/>
          </w:tcPr>
          <w:p>
            <w:pPr>
              <w:ind w:left="140"/>
              <w:spacing w:after="0" w:line="180" w:lineRule="exact"/>
              <w:rPr>
                <w:sz w:val="20"/>
                <w:szCs w:val="20"/>
                <w:color w:val="auto"/>
              </w:rPr>
            </w:pPr>
            <w:r>
              <w:rPr>
                <w:rFonts w:ascii="Calibri" w:cs="Calibri" w:eastAsia="Calibri" w:hAnsi="Calibri"/>
                <w:sz w:val="18"/>
                <w:szCs w:val="18"/>
                <w:color w:val="auto"/>
                <w:w w:val="99"/>
              </w:rPr>
              <w:t>Common stock, par value $0.0001, 500,000,000 shares authorized, 10,671,337 and 9,131,252 shares issued</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5"/>
        </w:trPr>
        <w:tc>
          <w:tcPr>
            <w:tcW w:w="7960" w:type="dxa"/>
            <w:vAlign w:val="bottom"/>
          </w:tcPr>
          <w:p>
            <w:pPr>
              <w:ind w:left="140"/>
              <w:spacing w:after="0" w:line="215" w:lineRule="exact"/>
              <w:rPr>
                <w:sz w:val="20"/>
                <w:szCs w:val="20"/>
                <w:color w:val="auto"/>
              </w:rPr>
            </w:pPr>
            <w:r>
              <w:rPr>
                <w:rFonts w:ascii="Calibri" w:cs="Calibri" w:eastAsia="Calibri" w:hAnsi="Calibri"/>
                <w:sz w:val="18"/>
                <w:szCs w:val="18"/>
                <w:color w:val="auto"/>
              </w:rPr>
              <w:t>and outstanding as of September 30, 2024 and December 31, 2023, respectvely</w:t>
            </w:r>
          </w:p>
        </w:tc>
        <w:tc>
          <w:tcPr>
            <w:tcW w:w="16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6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Additonal paid-in capital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328,129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319,992</w:t>
            </w:r>
          </w:p>
        </w:tc>
      </w:tr>
      <w:tr>
        <w:trPr>
          <w:trHeight w:val="222"/>
        </w:trPr>
        <w:tc>
          <w:tcPr>
            <w:tcW w:w="7960" w:type="dxa"/>
            <w:vAlign w:val="bottom"/>
          </w:tcPr>
          <w:p>
            <w:pPr>
              <w:ind w:left="180"/>
              <w:spacing w:after="0" w:line="215" w:lineRule="exact"/>
              <w:rPr>
                <w:sz w:val="20"/>
                <w:szCs w:val="20"/>
                <w:color w:val="auto"/>
              </w:rPr>
            </w:pPr>
            <w:r>
              <w:rPr>
                <w:rFonts w:ascii="Calibri" w:cs="Calibri" w:eastAsia="Calibri" w:hAnsi="Calibri"/>
                <w:sz w:val="18"/>
                <w:szCs w:val="18"/>
                <w:color w:val="auto"/>
              </w:rPr>
              <w:t>Cumulatve translaton adjustment</w:t>
            </w:r>
          </w:p>
        </w:tc>
        <w:tc>
          <w:tcPr>
            <w:tcW w:w="16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(345)</w:t>
            </w:r>
          </w:p>
        </w:tc>
      </w:tr>
      <w:tr>
        <w:trPr>
          <w:trHeight w:val="237"/>
        </w:trPr>
        <w:tc>
          <w:tcPr>
            <w:tcW w:w="79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Common stock subscripton receivable</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(698)</w:t>
            </w:r>
          </w:p>
        </w:tc>
      </w:tr>
      <w:tr>
        <w:trPr>
          <w:trHeight w:val="223"/>
        </w:trPr>
        <w:tc>
          <w:tcPr>
            <w:tcW w:w="7960" w:type="dxa"/>
            <w:vAlign w:val="bottom"/>
            <w:tcBorders>
              <w:bottom w:val="single" w:sz="8" w:color="CCEEFF"/>
            </w:tcBorders>
          </w:tcPr>
          <w:p>
            <w:pPr>
              <w:ind w:left="180"/>
              <w:spacing w:after="0" w:line="215" w:lineRule="exact"/>
              <w:rPr>
                <w:sz w:val="20"/>
                <w:szCs w:val="20"/>
                <w:color w:val="auto"/>
              </w:rPr>
            </w:pPr>
            <w:r>
              <w:rPr>
                <w:rFonts w:ascii="Calibri" w:cs="Calibri" w:eastAsia="Calibri" w:hAnsi="Calibri"/>
                <w:sz w:val="18"/>
                <w:szCs w:val="18"/>
                <w:color w:val="auto"/>
              </w:rPr>
              <w:t>Accumulated defcit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(385,831)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(369,974)</w:t>
            </w:r>
          </w:p>
        </w:tc>
      </w:tr>
      <w:tr>
        <w:trPr>
          <w:trHeight w:val="223"/>
        </w:trPr>
        <w:tc>
          <w:tcPr>
            <w:tcW w:w="7960" w:type="dxa"/>
            <w:vAlign w:val="bottom"/>
            <w:shd w:val="clear" w:color="auto" w:fill="CCEEFF"/>
          </w:tcPr>
          <w:p>
            <w:pPr>
              <w:ind w:left="440"/>
              <w:spacing w:after="0" w:line="206" w:lineRule="exact"/>
              <w:rPr>
                <w:sz w:val="20"/>
                <w:szCs w:val="20"/>
                <w:color w:val="auto"/>
              </w:rPr>
            </w:pPr>
            <w:r>
              <w:rPr>
                <w:rFonts w:ascii="Calibri" w:cs="Calibri" w:eastAsia="Calibri" w:hAnsi="Calibri"/>
                <w:sz w:val="18"/>
                <w:szCs w:val="18"/>
                <w:color w:val="auto"/>
              </w:rPr>
              <w:t>Total stockholders' defcit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(58,049)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(51,024)</w:t>
            </w:r>
          </w:p>
        </w:tc>
      </w:tr>
      <w:tr>
        <w:trPr>
          <w:trHeight w:val="230"/>
        </w:trPr>
        <w:tc>
          <w:tcPr>
            <w:tcW w:w="7960" w:type="dxa"/>
            <w:vAlign w:val="bottom"/>
          </w:tcPr>
          <w:p>
            <w:pPr>
              <w:ind w:left="440"/>
              <w:spacing w:after="0"/>
              <w:rPr>
                <w:sz w:val="20"/>
                <w:szCs w:val="20"/>
                <w:color w:val="auto"/>
              </w:rPr>
            </w:pPr>
            <w:r>
              <w:rPr>
                <w:rFonts w:ascii="Calibri" w:cs="Calibri" w:eastAsia="Calibri" w:hAnsi="Calibri"/>
                <w:sz w:val="18"/>
                <w:szCs w:val="18"/>
                <w:color w:val="auto"/>
              </w:rPr>
              <w:t>Total liabilites and stockholders' defcit</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59,880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71,179</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ind w:left="4360"/>
        <w:spacing w:after="0"/>
        <w:rPr>
          <w:sz w:val="20"/>
          <w:szCs w:val="20"/>
          <w:color w:val="auto"/>
        </w:rPr>
      </w:pPr>
      <w:r>
        <w:rPr>
          <w:rFonts w:ascii="Calibri" w:cs="Calibri" w:eastAsia="Calibri" w:hAnsi="Calibri"/>
          <w:sz w:val="22"/>
          <w:szCs w:val="22"/>
          <w:b w:val="1"/>
          <w:bCs w:val="1"/>
          <w:color w:val="auto"/>
        </w:rPr>
        <w:t>Greenidge Generaton Holdings Inc.</w:t>
      </w:r>
    </w:p>
    <w:p>
      <w:pPr>
        <w:jc w:val="center"/>
        <w:spacing w:after="0"/>
        <w:rPr>
          <w:sz w:val="20"/>
          <w:szCs w:val="20"/>
          <w:color w:val="auto"/>
        </w:rPr>
      </w:pPr>
      <w:r>
        <w:rPr>
          <w:rFonts w:ascii="Calibri" w:cs="Calibri" w:eastAsia="Calibri" w:hAnsi="Calibri"/>
          <w:sz w:val="18"/>
          <w:szCs w:val="18"/>
          <w:b w:val="1"/>
          <w:bCs w:val="1"/>
          <w:color w:val="auto"/>
        </w:rPr>
        <w:t>CONDENSED CONSOLIDATED STATEMENTS OF OPERATIONS AND COMPREHENSIVE LOSS (UNAUDITED)</w:t>
      </w:r>
    </w:p>
    <w:p>
      <w:pPr>
        <w:jc w:val="center"/>
        <w:spacing w:after="0" w:line="235" w:lineRule="auto"/>
        <w:rPr>
          <w:sz w:val="20"/>
          <w:szCs w:val="20"/>
          <w:color w:val="auto"/>
        </w:rPr>
      </w:pPr>
      <w:r>
        <w:rPr>
          <w:rFonts w:ascii="Calibri" w:cs="Calibri" w:eastAsia="Calibri" w:hAnsi="Calibri"/>
          <w:sz w:val="18"/>
          <w:szCs w:val="18"/>
          <w:b w:val="1"/>
          <w:bCs w:val="1"/>
          <w:color w:val="auto"/>
        </w:rPr>
        <w:t>(in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140" w:type="dxa"/>
            <w:vAlign w:val="bottom"/>
            <w:gridSpan w:val="6"/>
          </w:tcPr>
          <w:p>
            <w:pPr>
              <w:ind w:left="440"/>
              <w:spacing w:after="0"/>
              <w:rPr>
                <w:sz w:val="20"/>
                <w:szCs w:val="20"/>
                <w:color w:val="auto"/>
              </w:rPr>
            </w:pPr>
            <w:r>
              <w:rPr>
                <w:rFonts w:ascii="Calibri" w:cs="Calibri" w:eastAsia="Calibri" w:hAnsi="Calibri"/>
                <w:sz w:val="14"/>
                <w:szCs w:val="14"/>
                <w:b w:val="1"/>
                <w:bCs w:val="1"/>
                <w:color w:val="auto"/>
              </w:rPr>
              <w:t>Three Months Ended September 30,</w:t>
            </w:r>
          </w:p>
        </w:tc>
        <w:tc>
          <w:tcPr>
            <w:tcW w:w="300" w:type="dxa"/>
            <w:vAlign w:val="bottom"/>
          </w:tcPr>
          <w:p>
            <w:pPr>
              <w:spacing w:after="0"/>
              <w:rPr>
                <w:sz w:val="14"/>
                <w:szCs w:val="14"/>
                <w:color w:val="auto"/>
              </w:rPr>
            </w:pPr>
          </w:p>
        </w:tc>
        <w:tc>
          <w:tcPr>
            <w:tcW w:w="2760" w:type="dxa"/>
            <w:vAlign w:val="bottom"/>
            <w:gridSpan w:val="4"/>
          </w:tcPr>
          <w:p>
            <w:pPr>
              <w:jc w:val="right"/>
              <w:ind w:right="391"/>
              <w:spacing w:after="0"/>
              <w:rPr>
                <w:sz w:val="20"/>
                <w:szCs w:val="20"/>
                <w:color w:val="auto"/>
              </w:rPr>
            </w:pPr>
            <w:r>
              <w:rPr>
                <w:rFonts w:ascii="Calibri" w:cs="Calibri" w:eastAsia="Calibri" w:hAnsi="Calibri"/>
                <w:sz w:val="14"/>
                <w:szCs w:val="14"/>
                <w:b w:val="1"/>
                <w:bCs w:val="1"/>
                <w:color w:val="auto"/>
              </w:rPr>
              <w:t>Nine Months Ended September 30,</w:t>
            </w:r>
          </w:p>
        </w:tc>
      </w:tr>
      <w:tr>
        <w:trPr>
          <w:trHeight w:val="203"/>
        </w:trPr>
        <w:tc>
          <w:tcPr>
            <w:tcW w:w="5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5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9"/>
        </w:trPr>
        <w:tc>
          <w:tcPr>
            <w:tcW w:w="50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Datacenter hostng</w:t>
            </w:r>
          </w:p>
        </w:tc>
        <w:tc>
          <w:tcPr>
            <w:tcW w:w="900" w:type="dxa"/>
            <w:vAlign w:val="bottom"/>
          </w:tcPr>
          <w:p>
            <w:pPr>
              <w:jc w:val="right"/>
              <w:ind w:right="697"/>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6,490</w:t>
            </w:r>
          </w:p>
        </w:tc>
        <w:tc>
          <w:tcPr>
            <w:tcW w:w="8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12,136</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22,247</w:t>
            </w:r>
          </w:p>
        </w:tc>
        <w:tc>
          <w:tcPr>
            <w:tcW w:w="100" w:type="dxa"/>
            <w:vAlign w:val="bottom"/>
          </w:tcPr>
          <w:p>
            <w:pPr>
              <w:spacing w:after="0"/>
              <w:rPr>
                <w:sz w:val="19"/>
                <w:szCs w:val="19"/>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28,740</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Cryptocurrency mining</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3,267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17,033</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Power and capacity</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2,594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4,973</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EPCM consultng services</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6"/>
        </w:trPr>
        <w:tc>
          <w:tcPr>
            <w:tcW w:w="504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revenue</w:t>
            </w: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9"/>
              </w:rPr>
              <w:t>12,351</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20,879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44,741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50,746</w:t>
            </w:r>
          </w:p>
        </w:tc>
      </w:tr>
      <w:tr>
        <w:trPr>
          <w:trHeight w:val="216"/>
        </w:trPr>
        <w:tc>
          <w:tcPr>
            <w:tcW w:w="50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OPERATING COSTS AND EXPENSES: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Cost of revenue - datacenter hostng (exclusive of depreciaton)</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4,941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20,830</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w w:val="99"/>
              </w:rPr>
              <w:t>Cost of revenue - cryptocurrency mining (exclusive of depreciaton)</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2,599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9,504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10,639</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Cost of revenue - power and capacity (exclusive of depreciaton)</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4,762</w:t>
            </w:r>
          </w:p>
        </w:tc>
      </w:tr>
      <w:tr>
        <w:trPr>
          <w:trHeight w:val="187"/>
        </w:trPr>
        <w:tc>
          <w:tcPr>
            <w:tcW w:w="5040" w:type="dxa"/>
            <w:vAlign w:val="bottom"/>
            <w:shd w:val="clear" w:color="auto" w:fill="CCEEFF"/>
          </w:tcPr>
          <w:p>
            <w:pPr>
              <w:ind w:left="180"/>
              <w:spacing w:after="0" w:line="187" w:lineRule="exact"/>
              <w:rPr>
                <w:sz w:val="20"/>
                <w:szCs w:val="20"/>
                <w:color w:val="auto"/>
              </w:rPr>
            </w:pPr>
            <w:r>
              <w:rPr>
                <w:rFonts w:ascii="Calibri" w:cs="Calibri" w:eastAsia="Calibri" w:hAnsi="Calibri"/>
                <w:sz w:val="18"/>
                <w:szCs w:val="18"/>
                <w:color w:val="auto"/>
              </w:rPr>
              <w:t>Cost of revenue - EPCM consultng services (exclusive of</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8"/>
        </w:trPr>
        <w:tc>
          <w:tcPr>
            <w:tcW w:w="504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depreciaton)</w:t>
            </w:r>
          </w:p>
        </w:tc>
        <w:tc>
          <w:tcPr>
            <w:tcW w:w="9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3,730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13,394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22,724</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Depreciaton</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3,390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10,368</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Impairment of long-lived assets</w:t>
            </w:r>
          </w:p>
        </w:tc>
        <w:tc>
          <w:tcPr>
            <w:tcW w:w="900" w:type="dxa"/>
            <w:vAlign w:val="bottom"/>
          </w:tcPr>
          <w:p>
            <w:pPr>
              <w:spacing w:after="0"/>
              <w:rPr>
                <w:sz w:val="19"/>
                <w:szCs w:val="19"/>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Gain on digital assets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Loss (gain) on sale of assets</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(1,752)</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Remeasurement of environmental liability</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r>
      <w:tr>
        <w:trPr>
          <w:trHeight w:val="217"/>
        </w:trPr>
        <w:tc>
          <w:tcPr>
            <w:tcW w:w="504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operatng costs and expenses</w:t>
            </w: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9"/>
              </w:rPr>
              <w:t>16,961</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31,000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54,867</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73,171</w:t>
            </w:r>
          </w:p>
        </w:tc>
      </w:tr>
      <w:tr>
        <w:trPr>
          <w:trHeight w:val="230"/>
        </w:trPr>
        <w:tc>
          <w:tcPr>
            <w:tcW w:w="50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loss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(22,425)</w:t>
            </w:r>
          </w:p>
        </w:tc>
      </w:tr>
      <w:tr>
        <w:trPr>
          <w:trHeight w:val="222"/>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 NET:</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Interest expense, net</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(1,832)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(9,725)</w:t>
            </w:r>
          </w:p>
        </w:tc>
      </w:tr>
      <w:tr>
        <w:trPr>
          <w:trHeight w:val="222"/>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Change in fair value of warrant asset</w:t>
            </w:r>
          </w:p>
        </w:tc>
        <w:tc>
          <w:tcPr>
            <w:tcW w:w="900" w:type="dxa"/>
            <w:vAlign w:val="bottom"/>
          </w:tcPr>
          <w:p>
            <w:pPr>
              <w:spacing w:after="0"/>
              <w:rPr>
                <w:sz w:val="19"/>
                <w:szCs w:val="19"/>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50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Gain on sale of digital assets</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398</w:t>
            </w:r>
          </w:p>
        </w:tc>
      </w:tr>
      <w:tr>
        <w:trPr>
          <w:trHeight w:val="223"/>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Other expense, net</w:t>
            </w:r>
          </w:p>
        </w:tc>
        <w:tc>
          <w:tcPr>
            <w:tcW w:w="900" w:type="dxa"/>
            <w:vAlign w:val="bottom"/>
          </w:tcPr>
          <w:p>
            <w:pPr>
              <w:spacing w:after="0"/>
              <w:rPr>
                <w:sz w:val="19"/>
                <w:szCs w:val="19"/>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r>
      <w:tr>
        <w:trPr>
          <w:trHeight w:val="230"/>
        </w:trPr>
        <w:tc>
          <w:tcPr>
            <w:tcW w:w="504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other expense, net</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(9,331)</w:t>
            </w:r>
          </w:p>
        </w:tc>
      </w:tr>
      <w:tr>
        <w:trPr>
          <w:trHeight w:val="216"/>
        </w:trPr>
        <w:tc>
          <w:tcPr>
            <w:tcW w:w="5040" w:type="dxa"/>
            <w:vAlign w:val="bottom"/>
          </w:tcPr>
          <w:p>
            <w:pPr>
              <w:ind w:left="20"/>
              <w:spacing w:after="0" w:line="199" w:lineRule="exact"/>
              <w:rPr>
                <w:sz w:val="20"/>
                <w:szCs w:val="20"/>
                <w:color w:val="auto"/>
              </w:rPr>
            </w:pPr>
            <w:r>
              <w:rPr>
                <w:rFonts w:ascii="Calibri" w:cs="Calibri" w:eastAsia="Calibri" w:hAnsi="Calibri"/>
                <w:sz w:val="18"/>
                <w:szCs w:val="18"/>
                <w:color w:val="auto"/>
              </w:rPr>
              <w:t>Loss from contnuing operatons before income taxes</w:t>
            </w:r>
          </w:p>
        </w:tc>
        <w:tc>
          <w:tcPr>
            <w:tcW w:w="90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(6,442)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(31,756)</w:t>
            </w:r>
          </w:p>
        </w:tc>
      </w:tr>
      <w:tr>
        <w:trPr>
          <w:trHeight w:val="237"/>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Beneft from income taxes</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(118)</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(118)</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6"/>
        </w:trPr>
        <w:tc>
          <w:tcPr>
            <w:tcW w:w="5040" w:type="dxa"/>
            <w:vAlign w:val="bottom"/>
          </w:tcPr>
          <w:p>
            <w:pPr>
              <w:ind w:left="20"/>
              <w:spacing w:after="0" w:line="199" w:lineRule="exact"/>
              <w:rPr>
                <w:sz w:val="20"/>
                <w:szCs w:val="20"/>
                <w:color w:val="auto"/>
              </w:rPr>
            </w:pPr>
            <w:r>
              <w:rPr>
                <w:rFonts w:ascii="Calibri" w:cs="Calibri" w:eastAsia="Calibri" w:hAnsi="Calibri"/>
                <w:sz w:val="18"/>
                <w:szCs w:val="18"/>
                <w:color w:val="auto"/>
              </w:rPr>
              <w:t>Net loss from contnuing operatons</w:t>
            </w:r>
          </w:p>
        </w:tc>
        <w:tc>
          <w:tcPr>
            <w:tcW w:w="90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(6,324)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(31,756)</w:t>
            </w:r>
          </w:p>
        </w:tc>
      </w:tr>
      <w:tr>
        <w:trPr>
          <w:trHeight w:val="230"/>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from discontnued operatons, net of tax</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(1,078)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(696)</w:t>
            </w:r>
          </w:p>
        </w:tc>
      </w:tr>
      <w:tr>
        <w:trPr>
          <w:trHeight w:val="230"/>
        </w:trPr>
        <w:tc>
          <w:tcPr>
            <w:tcW w:w="504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900" w:type="dxa"/>
            <w:vAlign w:val="bottom"/>
            <w:tcBorders>
              <w:bottom w:val="single" w:sz="8" w:color="auto"/>
            </w:tcBorders>
          </w:tcPr>
          <w:p>
            <w:pPr>
              <w:jc w:val="right"/>
              <w:ind w:right="697"/>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(6,367)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(15,879)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(32,452)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2"/>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Comprehensive Loss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Loss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(14,239)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(15,879)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(32,452)</w:t>
            </w:r>
          </w:p>
        </w:tc>
      </w:tr>
      <w:tr>
        <w:trPr>
          <w:trHeight w:val="223"/>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900" w:type="dxa"/>
            <w:vAlign w:val="bottom"/>
          </w:tcPr>
          <w:p>
            <w:pPr>
              <w:spacing w:after="0"/>
              <w:rPr>
                <w:sz w:val="19"/>
                <w:szCs w:val="19"/>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5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Comprehensive loss</w:t>
            </w:r>
          </w:p>
        </w:tc>
        <w:tc>
          <w:tcPr>
            <w:tcW w:w="900" w:type="dxa"/>
            <w:vAlign w:val="bottom"/>
            <w:tcBorders>
              <w:top w:val="single" w:sz="8" w:color="auto"/>
              <w:bottom w:val="single" w:sz="8" w:color="auto"/>
            </w:tcBorders>
            <w:shd w:val="clear" w:color="auto" w:fill="CCEEFF"/>
          </w:tcPr>
          <w:p>
            <w:pPr>
              <w:jc w:val="right"/>
              <w:ind w:right="697"/>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(6,367)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(32,437)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Net (loss) income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5060" w:type="dxa"/>
            <w:vAlign w:val="bottom"/>
          </w:tcPr>
          <w:p>
            <w:pPr>
              <w:ind w:left="240"/>
              <w:spacing w:after="0"/>
              <w:rPr>
                <w:sz w:val="20"/>
                <w:szCs w:val="20"/>
                <w:color w:val="auto"/>
              </w:rPr>
            </w:pPr>
            <w:r>
              <w:rPr>
                <w:rFonts w:ascii="Calibri" w:cs="Calibri" w:eastAsia="Calibri" w:hAnsi="Calibri"/>
                <w:sz w:val="18"/>
                <w:szCs w:val="18"/>
                <w:color w:val="auto"/>
              </w:rPr>
              <w:t>Net loss per share from contnuing operatons, basic and diluted</w:t>
            </w:r>
          </w:p>
        </w:tc>
        <w:tc>
          <w:tcPr>
            <w:tcW w:w="500" w:type="dxa"/>
            <w:vAlign w:val="bottom"/>
          </w:tcPr>
          <w:p>
            <w:pPr>
              <w:jc w:val="right"/>
              <w:ind w:right="310"/>
              <w:spacing w:after="0"/>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(0.60)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Calibri" w:cs="Calibri" w:eastAsia="Calibri" w:hAnsi="Calibri"/>
                <w:sz w:val="18"/>
                <w:szCs w:val="18"/>
                <w:color w:val="auto"/>
              </w:rPr>
              <w:t>$</w:t>
            </w:r>
          </w:p>
        </w:tc>
        <w:tc>
          <w:tcPr>
            <w:tcW w:w="920" w:type="dxa"/>
            <w:vAlign w:val="bottom"/>
          </w:tcPr>
          <w:p>
            <w:pPr>
              <w:ind w:left="480"/>
              <w:spacing w:after="0"/>
              <w:rPr>
                <w:sz w:val="20"/>
                <w:szCs w:val="20"/>
                <w:color w:val="auto"/>
              </w:rPr>
            </w:pPr>
            <w:r>
              <w:rPr>
                <w:rFonts w:ascii="Calibri" w:cs="Calibri" w:eastAsia="Calibri" w:hAnsi="Calibri"/>
                <w:sz w:val="18"/>
                <w:szCs w:val="18"/>
                <w:color w:val="auto"/>
                <w:w w:val="97"/>
              </w:rPr>
              <w:t>(1.81)</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(1.58)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(5.01)</w:t>
            </w:r>
          </w:p>
        </w:tc>
      </w:tr>
      <w:tr>
        <w:trPr>
          <w:trHeight w:val="23"/>
        </w:trPr>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060" w:type="dxa"/>
            <w:vAlign w:val="bottom"/>
            <w:shd w:val="clear" w:color="auto" w:fill="CCEEFF"/>
          </w:tcPr>
          <w:p>
            <w:pPr>
              <w:ind w:left="240"/>
              <w:spacing w:after="0" w:line="215" w:lineRule="exact"/>
              <w:rPr>
                <w:sz w:val="20"/>
                <w:szCs w:val="20"/>
                <w:color w:val="auto"/>
              </w:rPr>
            </w:pPr>
            <w:r>
              <w:rPr>
                <w:rFonts w:ascii="Calibri" w:cs="Calibri" w:eastAsia="Calibri" w:hAnsi="Calibri"/>
                <w:sz w:val="18"/>
                <w:szCs w:val="18"/>
                <w:color w:val="auto"/>
              </w:rPr>
              <w:t>Loss per share from discontnued operatons, basic and diluted</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line="215" w:lineRule="exact"/>
              <w:rPr>
                <w:sz w:val="20"/>
                <w:szCs w:val="20"/>
                <w:color w:val="auto"/>
              </w:rPr>
            </w:pPr>
            <w:r>
              <w:rPr>
                <w:rFonts w:ascii="Calibri" w:cs="Calibri" w:eastAsia="Calibri" w:hAnsi="Calibri"/>
                <w:sz w:val="18"/>
                <w:szCs w:val="18"/>
                <w:color w:val="auto"/>
                <w:w w:val="97"/>
              </w:rPr>
              <w:t>(0.15)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(0.11)</w:t>
            </w:r>
          </w:p>
        </w:tc>
      </w:tr>
      <w:tr>
        <w:trPr>
          <w:trHeight w:val="196"/>
        </w:trPr>
        <w:tc>
          <w:tcPr>
            <w:tcW w:w="5060" w:type="dxa"/>
            <w:vAlign w:val="bottom"/>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(0.60)</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bottom w:val="single" w:sz="8" w:color="auto"/>
            </w:tcBorders>
          </w:tcPr>
          <w:p>
            <w:pPr>
              <w:ind w:left="480"/>
              <w:spacing w:after="0" w:line="196" w:lineRule="exact"/>
              <w:rPr>
                <w:sz w:val="20"/>
                <w:szCs w:val="20"/>
                <w:color w:val="auto"/>
              </w:rPr>
            </w:pPr>
            <w:r>
              <w:rPr>
                <w:rFonts w:ascii="Calibri" w:cs="Calibri" w:eastAsia="Calibri" w:hAnsi="Calibri"/>
                <w:sz w:val="18"/>
                <w:szCs w:val="18"/>
                <w:color w:val="auto"/>
                <w:w w:val="97"/>
              </w:rPr>
              <w:t>(1.96)</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(1.58)</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(5.12)</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506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shares outstanding, basic and diluted</w:t>
            </w:r>
          </w:p>
        </w:tc>
        <w:tc>
          <w:tcPr>
            <w:tcW w:w="50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10,652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ind w:left="440"/>
              <w:spacing w:after="0" w:line="215" w:lineRule="exact"/>
              <w:rPr>
                <w:sz w:val="20"/>
                <w:szCs w:val="20"/>
                <w:color w:val="auto"/>
              </w:rPr>
            </w:pPr>
            <w:r>
              <w:rPr>
                <w:rFonts w:ascii="Calibri" w:cs="Calibri" w:eastAsia="Calibri" w:hAnsi="Calibri"/>
                <w:sz w:val="18"/>
                <w:szCs w:val="18"/>
                <w:color w:val="auto"/>
              </w:rPr>
              <w:t>7,262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10,040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6,341</w:t>
            </w:r>
          </w:p>
        </w:tc>
      </w:tr>
    </w:tbl>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 w:name="page7"/>
    <w:bookmarkEnd w:id="6"/>
    <w:p>
      <w:pPr>
        <w:jc w:val="center"/>
        <w:ind w:right="-519"/>
        <w:spacing w:after="0"/>
        <w:rPr>
          <w:sz w:val="20"/>
          <w:szCs w:val="20"/>
          <w:color w:val="auto"/>
        </w:rPr>
      </w:pPr>
      <w:r>
        <w:rPr>
          <w:rFonts w:ascii="Calibri" w:cs="Calibri" w:eastAsia="Calibri" w:hAnsi="Calibri"/>
          <w:sz w:val="22"/>
          <w:szCs w:val="22"/>
          <w:b w:val="1"/>
          <w:bCs w:val="1"/>
          <w:color w:val="auto"/>
        </w:rPr>
        <w:t>Greenidge Generaton Holdings Inc.</w:t>
      </w:r>
    </w:p>
    <w:p>
      <w:pPr>
        <w:jc w:val="center"/>
        <w:ind w:right="-519"/>
        <w:spacing w:after="0"/>
        <w:rPr>
          <w:sz w:val="20"/>
          <w:szCs w:val="20"/>
          <w:color w:val="auto"/>
        </w:rPr>
      </w:pPr>
      <w:r>
        <w:rPr>
          <w:rFonts w:ascii="Calibri" w:cs="Calibri" w:eastAsia="Calibri" w:hAnsi="Calibri"/>
          <w:sz w:val="18"/>
          <w:szCs w:val="18"/>
          <w:b w:val="1"/>
          <w:bCs w:val="1"/>
          <w:color w:val="auto"/>
        </w:rPr>
        <w:t>CONDENSED CONSOLIDATED STATEMENTS OF STOCKHOLDERS’ DEFICIT (UNAUDITED)</w:t>
      </w:r>
    </w:p>
    <w:p>
      <w:pPr>
        <w:jc w:val="center"/>
        <w:ind w:right="-519"/>
        <w:spacing w:after="0" w:line="235" w:lineRule="auto"/>
        <w:rPr>
          <w:sz w:val="20"/>
          <w:szCs w:val="20"/>
          <w:color w:val="auto"/>
        </w:rPr>
      </w:pPr>
      <w:r>
        <w:rPr>
          <w:rFonts w:ascii="Calibri" w:cs="Calibri" w:eastAsia="Calibri" w:hAnsi="Calibri"/>
          <w:sz w:val="18"/>
          <w:szCs w:val="18"/>
          <w:b w:val="1"/>
          <w:bCs w:val="1"/>
          <w:color w:val="auto"/>
        </w:rPr>
        <w:t>(in thousands, except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40" w:type="dxa"/>
            <w:vAlign w:val="bottom"/>
          </w:tcPr>
          <w:p>
            <w:pPr>
              <w:spacing w:after="0"/>
              <w:rPr>
                <w:sz w:val="13"/>
                <w:szCs w:val="13"/>
                <w:color w:val="auto"/>
              </w:rPr>
            </w:pPr>
          </w:p>
        </w:tc>
        <w:tc>
          <w:tcPr>
            <w:tcW w:w="1860" w:type="dxa"/>
            <w:vAlign w:val="bottom"/>
            <w:gridSpan w:val="5"/>
            <w:vMerge w:val="restart"/>
          </w:tcPr>
          <w:p>
            <w:pPr>
              <w:ind w:left="500"/>
              <w:spacing w:after="0"/>
              <w:rPr>
                <w:sz w:val="20"/>
                <w:szCs w:val="20"/>
                <w:color w:val="auto"/>
              </w:rPr>
            </w:pPr>
            <w:r>
              <w:rPr>
                <w:rFonts w:ascii="Calibri" w:cs="Calibri" w:eastAsia="Calibri" w:hAnsi="Calibri"/>
                <w:sz w:val="13"/>
                <w:szCs w:val="13"/>
                <w:b w:val="1"/>
                <w:bCs w:val="1"/>
                <w:color w:val="auto"/>
              </w:rPr>
              <w:t>Common Stock</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Additonal</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Calibri" w:cs="Calibri" w:eastAsia="Calibri" w:hAnsi="Calibri"/>
                <w:sz w:val="13"/>
                <w:szCs w:val="13"/>
                <w:b w:val="1"/>
                <w:bCs w:val="1"/>
                <w:color w:val="auto"/>
                <w:w w:val="99"/>
              </w:rPr>
              <w:t>Subscripton</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Calibri" w:cs="Calibri" w:eastAsia="Calibri" w:hAnsi="Calibri"/>
                <w:sz w:val="13"/>
                <w:szCs w:val="13"/>
                <w:b w:val="1"/>
                <w:bCs w:val="1"/>
                <w:color w:val="auto"/>
              </w:rPr>
              <w:t>Cumulatve</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Calibri" w:cs="Calibri" w:eastAsia="Calibri" w:hAnsi="Calibri"/>
                <w:sz w:val="13"/>
                <w:szCs w:val="13"/>
                <w:b w:val="1"/>
                <w:bCs w:val="1"/>
                <w:color w:val="auto"/>
                <w:w w:val="95"/>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1860" w:type="dxa"/>
            <w:vAlign w:val="bottom"/>
            <w:gridSpan w:val="5"/>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60"/>
              <w:spacing w:after="0" w:line="108" w:lineRule="exact"/>
              <w:rPr>
                <w:sz w:val="20"/>
                <w:szCs w:val="20"/>
                <w:color w:val="auto"/>
              </w:rPr>
            </w:pPr>
            <w:r>
              <w:rPr>
                <w:rFonts w:ascii="Calibri" w:cs="Calibri" w:eastAsia="Calibri" w:hAnsi="Calibri"/>
                <w:sz w:val="10"/>
                <w:szCs w:val="10"/>
                <w:b w:val="1"/>
                <w:bCs w:val="1"/>
                <w:color w:val="auto"/>
              </w:rPr>
              <w:t>Paid - In</w:t>
            </w: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ind w:left="20"/>
              <w:spacing w:after="0" w:line="108" w:lineRule="exact"/>
              <w:rPr>
                <w:sz w:val="20"/>
                <w:szCs w:val="20"/>
                <w:color w:val="auto"/>
              </w:rPr>
            </w:pPr>
            <w:r>
              <w:rPr>
                <w:rFonts w:ascii="Calibri" w:cs="Calibri" w:eastAsia="Calibri" w:hAnsi="Calibri"/>
                <w:sz w:val="10"/>
                <w:szCs w:val="10"/>
                <w:b w:val="1"/>
                <w:bCs w:val="1"/>
                <w:color w:val="auto"/>
              </w:rPr>
              <w:t>Translaton</w:t>
            </w: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40" w:type="dxa"/>
            <w:vAlign w:val="bottom"/>
          </w:tcPr>
          <w:p>
            <w:pPr>
              <w:spacing w:after="0"/>
              <w:rPr>
                <w:sz w:val="12"/>
                <w:szCs w:val="12"/>
                <w:color w:val="auto"/>
              </w:rPr>
            </w:pPr>
          </w:p>
        </w:tc>
        <w:tc>
          <w:tcPr>
            <w:tcW w:w="1140" w:type="dxa"/>
            <w:vAlign w:val="bottom"/>
            <w:gridSpan w:val="2"/>
          </w:tcPr>
          <w:p>
            <w:pPr>
              <w:ind w:left="36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Calibri" w:cs="Calibri" w:eastAsia="Calibri" w:hAnsi="Calibri"/>
                <w:sz w:val="13"/>
                <w:szCs w:val="13"/>
                <w:b w:val="1"/>
                <w:bCs w:val="1"/>
                <w:color w:val="auto"/>
              </w:rPr>
              <w:t>Amount</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5"/>
              </w:rPr>
              <w:t>Capital</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5"/>
              </w:rPr>
              <w:t>Receivable</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rPr>
              <w:t>Adjustment</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rPr>
              <w:t>Defcit</w:t>
            </w:r>
          </w:p>
        </w:tc>
        <w:tc>
          <w:tcPr>
            <w:tcW w:w="240" w:type="dxa"/>
            <w:vAlign w:val="bottom"/>
          </w:tcPr>
          <w:p>
            <w:pPr>
              <w:spacing w:after="0"/>
              <w:rPr>
                <w:sz w:val="12"/>
                <w:szCs w:val="12"/>
                <w:color w:val="auto"/>
              </w:rPr>
            </w:pPr>
          </w:p>
        </w:tc>
        <w:tc>
          <w:tcPr>
            <w:tcW w:w="800" w:type="dxa"/>
            <w:vAlign w:val="bottom"/>
          </w:tcPr>
          <w:p>
            <w:pPr>
              <w:jc w:val="right"/>
              <w:ind w:right="328"/>
              <w:spacing w:after="0" w:line="149"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Balance at January 1, 2024</w:t>
            </w:r>
          </w:p>
        </w:tc>
        <w:tc>
          <w:tcPr>
            <w:tcW w:w="10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9,131,252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5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319,992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(698)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CCEEFF"/>
            </w:tcBorders>
            <w:shd w:val="clear" w:color="auto" w:fill="CCEEFF"/>
          </w:tcPr>
          <w:p>
            <w:pPr>
              <w:ind w:left="420"/>
              <w:spacing w:after="0" w:line="164" w:lineRule="exact"/>
              <w:rPr>
                <w:sz w:val="20"/>
                <w:szCs w:val="20"/>
                <w:color w:val="auto"/>
              </w:rPr>
            </w:pPr>
            <w:r>
              <w:rPr>
                <w:rFonts w:ascii="Calibri" w:cs="Calibri" w:eastAsia="Calibri" w:hAnsi="Calibri"/>
                <w:sz w:val="14"/>
                <w:szCs w:val="14"/>
                <w:color w:val="auto"/>
              </w:rPr>
              <w:t>(345)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(369,974)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(51,024)</w:t>
            </w:r>
          </w:p>
        </w:tc>
        <w:tc>
          <w:tcPr>
            <w:tcW w:w="0" w:type="dxa"/>
            <w:vAlign w:val="bottom"/>
          </w:tcPr>
          <w:p>
            <w:pPr>
              <w:spacing w:after="0"/>
              <w:rPr>
                <w:sz w:val="1"/>
                <w:szCs w:val="1"/>
                <w:color w:val="auto"/>
              </w:rPr>
            </w:pPr>
          </w:p>
        </w:tc>
      </w:tr>
      <w:tr>
        <w:trPr>
          <w:trHeight w:val="134"/>
        </w:trPr>
        <w:tc>
          <w:tcPr>
            <w:tcW w:w="3440" w:type="dxa"/>
            <w:vAlign w:val="bottom"/>
          </w:tcPr>
          <w:p>
            <w:pPr>
              <w:ind w:left="20"/>
              <w:spacing w:after="0" w:line="134" w:lineRule="exact"/>
              <w:rPr>
                <w:sz w:val="20"/>
                <w:szCs w:val="20"/>
                <w:color w:val="auto"/>
              </w:rPr>
            </w:pPr>
            <w:r>
              <w:rPr>
                <w:rFonts w:ascii="Calibri" w:cs="Calibri" w:eastAsia="Calibri" w:hAnsi="Calibri"/>
                <w:sz w:val="14"/>
                <w:szCs w:val="14"/>
                <w:color w:val="auto"/>
              </w:rPr>
              <w:t>Cumulatve-efect adjustment due to the adopton of ASU</w:t>
            </w:r>
          </w:p>
        </w:tc>
        <w:tc>
          <w:tcPr>
            <w:tcW w:w="114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22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2023-08</w:t>
            </w: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1,070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1,070</w:t>
            </w:r>
          </w:p>
        </w:tc>
        <w:tc>
          <w:tcPr>
            <w:tcW w:w="0" w:type="dxa"/>
            <w:vAlign w:val="bottom"/>
          </w:tcPr>
          <w:p>
            <w:pPr>
              <w:spacing w:after="0"/>
              <w:rPr>
                <w:sz w:val="1"/>
                <w:szCs w:val="1"/>
                <w:color w:val="auto"/>
              </w:rPr>
            </w:pPr>
          </w:p>
        </w:tc>
      </w:tr>
      <w:tr>
        <w:trPr>
          <w:trHeight w:val="134"/>
        </w:trPr>
        <w:tc>
          <w:tcPr>
            <w:tcW w:w="3440" w:type="dxa"/>
            <w:vAlign w:val="bottom"/>
          </w:tcPr>
          <w:p>
            <w:pPr>
              <w:ind w:left="20"/>
              <w:spacing w:after="0" w:line="134" w:lineRule="exact"/>
              <w:rPr>
                <w:sz w:val="20"/>
                <w:szCs w:val="20"/>
                <w:color w:val="auto"/>
              </w:rPr>
            </w:pPr>
            <w:r>
              <w:rPr>
                <w:rFonts w:ascii="Calibri" w:cs="Calibri" w:eastAsia="Calibri" w:hAnsi="Calibri"/>
                <w:sz w:val="14"/>
                <w:szCs w:val="14"/>
                <w:color w:val="auto"/>
              </w:rPr>
              <w:t>Issuance of shares in connecton with Securites Purchase</w:t>
            </w:r>
          </w:p>
        </w:tc>
        <w:tc>
          <w:tcPr>
            <w:tcW w:w="1060" w:type="dxa"/>
            <w:vAlign w:val="bottom"/>
            <w:vMerge w:val="restart"/>
          </w:tcPr>
          <w:p>
            <w:pPr>
              <w:jc w:val="right"/>
              <w:spacing w:after="0"/>
              <w:rPr>
                <w:sz w:val="20"/>
                <w:szCs w:val="20"/>
                <w:color w:val="auto"/>
              </w:rPr>
            </w:pPr>
            <w:r>
              <w:rPr>
                <w:rFonts w:ascii="Calibri" w:cs="Calibri" w:eastAsia="Calibri" w:hAnsi="Calibri"/>
                <w:sz w:val="14"/>
                <w:szCs w:val="14"/>
                <w:color w:val="auto"/>
              </w:rPr>
              <w:t>450,300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4"/>
                <w:szCs w:val="14"/>
                <w:color w:val="auto"/>
              </w:rPr>
              <w:t>1,133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4"/>
                <w:szCs w:val="14"/>
                <w:color w:val="auto"/>
              </w:rPr>
              <w:t>1,133</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Agreement</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Issuance of shares, net of issuance 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45,269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698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1,038</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Calibri" w:cs="Calibri" w:eastAsia="Calibri" w:hAnsi="Calibri"/>
                <w:sz w:val="14"/>
                <w:szCs w:val="14"/>
                <w:color w:val="auto"/>
              </w:rPr>
              <w:t>Restricted shares award issuance</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159,357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CCEEFF"/>
          </w:tcPr>
          <w:p>
            <w:pPr>
              <w:ind w:left="20"/>
              <w:spacing w:after="0" w:line="134" w:lineRule="exact"/>
              <w:rPr>
                <w:sz w:val="20"/>
                <w:szCs w:val="20"/>
                <w:color w:val="auto"/>
              </w:rPr>
            </w:pPr>
            <w:r>
              <w:rPr>
                <w:rFonts w:ascii="Calibri" w:cs="Calibri" w:eastAsia="Calibri" w:hAnsi="Calibri"/>
                <w:sz w:val="14"/>
                <w:szCs w:val="14"/>
                <w:color w:val="auto"/>
              </w:rPr>
              <w:t>Issuance of warrants in connecton with Securites</w:t>
            </w:r>
          </w:p>
        </w:tc>
        <w:tc>
          <w:tcPr>
            <w:tcW w:w="114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4,866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4,866</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 Agreement</w:t>
            </w: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Foreign currency translaton adjustment</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760" w:type="dxa"/>
            <w:vAlign w:val="bottom"/>
          </w:tcPr>
          <w:p>
            <w:pPr>
              <w:ind w:left="560"/>
              <w:spacing w:after="0"/>
              <w:rPr>
                <w:sz w:val="20"/>
                <w:szCs w:val="20"/>
                <w:color w:val="auto"/>
              </w:rPr>
            </w:pPr>
            <w:r>
              <w:rPr>
                <w:rFonts w:ascii="Calibri" w:cs="Calibri" w:eastAsia="Calibri" w:hAnsi="Calibri"/>
                <w:sz w:val="14"/>
                <w:szCs w:val="14"/>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(3,944)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(3,944)</w:t>
            </w:r>
          </w:p>
        </w:tc>
        <w:tc>
          <w:tcPr>
            <w:tcW w:w="0" w:type="dxa"/>
            <w:vAlign w:val="bottom"/>
          </w:tcPr>
          <w:p>
            <w:pPr>
              <w:spacing w:after="0"/>
              <w:rPr>
                <w:sz w:val="1"/>
                <w:szCs w:val="1"/>
                <w:color w:val="auto"/>
              </w:rPr>
            </w:pPr>
          </w:p>
        </w:tc>
      </w:tr>
      <w:tr>
        <w:trPr>
          <w:trHeight w:val="163"/>
        </w:trPr>
        <w:tc>
          <w:tcPr>
            <w:tcW w:w="3440" w:type="dxa"/>
            <w:vAlign w:val="bottom"/>
          </w:tcPr>
          <w:p>
            <w:pPr>
              <w:ind w:left="20"/>
              <w:spacing w:after="0" w:line="150" w:lineRule="exact"/>
              <w:rPr>
                <w:sz w:val="20"/>
                <w:szCs w:val="20"/>
                <w:color w:val="auto"/>
              </w:rPr>
            </w:pPr>
            <w:r>
              <w:rPr>
                <w:rFonts w:ascii="Calibri" w:cs="Calibri" w:eastAsia="Calibri" w:hAnsi="Calibri"/>
                <w:sz w:val="14"/>
                <w:szCs w:val="14"/>
                <w:b w:val="1"/>
                <w:bCs w:val="1"/>
                <w:color w:val="auto"/>
              </w:rPr>
              <w:t>Balance at March 31, 2024</w:t>
            </w:r>
          </w:p>
        </w:tc>
        <w:tc>
          <w:tcPr>
            <w:tcW w:w="10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9,786,178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327,401</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420"/>
              <w:spacing w:after="0" w:line="164" w:lineRule="exact"/>
              <w:rPr>
                <w:sz w:val="20"/>
                <w:szCs w:val="20"/>
                <w:color w:val="auto"/>
              </w:rPr>
            </w:pPr>
            <w:r>
              <w:rPr>
                <w:rFonts w:ascii="Calibri" w:cs="Calibri" w:eastAsia="Calibri" w:hAnsi="Calibri"/>
                <w:sz w:val="14"/>
                <w:szCs w:val="14"/>
                <w:color w:val="auto"/>
              </w:rPr>
              <w:t>(348)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(373,896)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(46,842)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311</w:t>
            </w:r>
          </w:p>
        </w:tc>
        <w:tc>
          <w:tcPr>
            <w:tcW w:w="0" w:type="dxa"/>
            <w:vAlign w:val="bottom"/>
          </w:tcPr>
          <w:p>
            <w:pPr>
              <w:spacing w:after="0"/>
              <w:rPr>
                <w:sz w:val="1"/>
                <w:szCs w:val="1"/>
                <w:color w:val="auto"/>
              </w:rPr>
            </w:pPr>
          </w:p>
        </w:tc>
      </w:tr>
      <w:tr>
        <w:trPr>
          <w:trHeight w:val="134"/>
        </w:trPr>
        <w:tc>
          <w:tcPr>
            <w:tcW w:w="3440" w:type="dxa"/>
            <w:vAlign w:val="bottom"/>
          </w:tcPr>
          <w:p>
            <w:pPr>
              <w:ind w:left="20"/>
              <w:spacing w:after="0" w:line="134" w:lineRule="exact"/>
              <w:rPr>
                <w:sz w:val="20"/>
                <w:szCs w:val="20"/>
                <w:color w:val="auto"/>
              </w:rPr>
            </w:pPr>
            <w:r>
              <w:rPr>
                <w:rFonts w:ascii="Calibri" w:cs="Calibri" w:eastAsia="Calibri" w:hAnsi="Calibri"/>
                <w:sz w:val="14"/>
                <w:szCs w:val="14"/>
                <w:color w:val="auto"/>
              </w:rPr>
              <w:t>Common stock issuance upon exercise of prefunded</w:t>
            </w:r>
          </w:p>
        </w:tc>
        <w:tc>
          <w:tcPr>
            <w:tcW w:w="1060" w:type="dxa"/>
            <w:vAlign w:val="bottom"/>
            <w:vMerge w:val="restart"/>
          </w:tcPr>
          <w:p>
            <w:pPr>
              <w:jc w:val="right"/>
              <w:spacing w:after="0"/>
              <w:rPr>
                <w:sz w:val="20"/>
                <w:szCs w:val="20"/>
                <w:color w:val="auto"/>
              </w:rPr>
            </w:pPr>
            <w:r>
              <w:rPr>
                <w:rFonts w:ascii="Calibri" w:cs="Calibri" w:eastAsia="Calibri" w:hAnsi="Calibri"/>
                <w:sz w:val="14"/>
                <w:szCs w:val="14"/>
                <w:color w:val="auto"/>
              </w:rPr>
              <w:t>810,205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warrant</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Restricted shares award issuance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27,604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(5,568)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(5,568)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Balance at June 30, 2024</w:t>
            </w:r>
          </w:p>
        </w:tc>
        <w:tc>
          <w:tcPr>
            <w:tcW w:w="10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10,623,987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327,712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20"/>
              <w:spacing w:after="0" w:line="164" w:lineRule="exact"/>
              <w:rPr>
                <w:sz w:val="20"/>
                <w:szCs w:val="20"/>
                <w:color w:val="auto"/>
              </w:rPr>
            </w:pPr>
            <w:r>
              <w:rPr>
                <w:rFonts w:ascii="Calibri" w:cs="Calibri" w:eastAsia="Calibri" w:hAnsi="Calibri"/>
                <w:sz w:val="14"/>
                <w:szCs w:val="14"/>
                <w:color w:val="auto"/>
              </w:rPr>
              <w:t>(348)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(379,464)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(52,099)</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417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417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Restricted shares award issuance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47,350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(6,367)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(6,367)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Balance at September 30,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10,671,337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328,129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w:t>
            </w:r>
          </w:p>
        </w:tc>
        <w:tc>
          <w:tcPr>
            <w:tcW w:w="760" w:type="dxa"/>
            <w:vAlign w:val="bottom"/>
            <w:tcBorders>
              <w:bottom w:val="single" w:sz="8" w:color="auto"/>
            </w:tcBorders>
            <w:shd w:val="clear" w:color="auto" w:fill="CCEEFF"/>
          </w:tcPr>
          <w:p>
            <w:pPr>
              <w:ind w:left="420"/>
              <w:spacing w:after="0"/>
              <w:rPr>
                <w:sz w:val="20"/>
                <w:szCs w:val="20"/>
                <w:color w:val="auto"/>
              </w:rPr>
            </w:pPr>
            <w:r>
              <w:rPr>
                <w:rFonts w:ascii="Calibri" w:cs="Calibri" w:eastAsia="Calibri" w:hAnsi="Calibri"/>
                <w:sz w:val="14"/>
                <w:szCs w:val="14"/>
                <w:b w:val="1"/>
                <w:bCs w:val="1"/>
                <w:color w:val="auto"/>
              </w:rPr>
              <w:t>(348)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(385,831)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(58,049)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964" w:right="8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346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auto"/>
              </w:rPr>
              <w:t>Balance at January 1, 2023</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4,625,278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Calibri" w:cs="Calibri" w:eastAsia="Calibri" w:hAnsi="Calibri"/>
                <w:sz w:val="14"/>
                <w:szCs w:val="14"/>
                <w:color w:val="auto"/>
                <w:w w:val="83"/>
              </w:rPr>
              <w:t>$</w:t>
            </w:r>
          </w:p>
        </w:tc>
        <w:tc>
          <w:tcPr>
            <w:tcW w:w="4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Calibri" w:cs="Calibri" w:eastAsia="Calibri" w:hAnsi="Calibri"/>
                <w:sz w:val="14"/>
                <w:szCs w:val="14"/>
                <w:color w:val="auto"/>
                <w:w w:val="83"/>
              </w:rPr>
              <w:t>$</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293,774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Calibri" w:cs="Calibri" w:eastAsia="Calibri" w:hAnsi="Calibri"/>
                <w:sz w:val="14"/>
                <w:szCs w:val="14"/>
                <w:color w:val="auto"/>
                <w:w w:val="83"/>
              </w:rPr>
              <w:t>$</w:t>
            </w:r>
          </w:p>
        </w:tc>
        <w:tc>
          <w:tcPr>
            <w:tcW w:w="640" w:type="dxa"/>
            <w:vAlign w:val="bottom"/>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Calibri" w:cs="Calibri" w:eastAsia="Calibri" w:hAnsi="Calibri"/>
                <w:sz w:val="14"/>
                <w:szCs w:val="14"/>
                <w:color w:val="auto"/>
              </w:rPr>
              <w:t>$</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(357)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Calibri" w:cs="Calibri" w:eastAsia="Calibri" w:hAnsi="Calibri"/>
                <w:sz w:val="14"/>
                <w:szCs w:val="14"/>
                <w:color w:val="auto"/>
                <w:w w:val="83"/>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(340,464)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Calibri" w:cs="Calibri" w:eastAsia="Calibri" w:hAnsi="Calibri"/>
                <w:sz w:val="14"/>
                <w:szCs w:val="14"/>
                <w:color w:val="auto"/>
                <w:w w:val="83"/>
              </w:rPr>
              <w:t>$</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(47,047)</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481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481</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Issuance of shares, net of issuance 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1,211,926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8,095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8,096</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Restricted shares award issuance, net of withholdings</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9,275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Proceeds from stock optons 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133,333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1,000</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Foreign currency translaton adjustment</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17</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(8,171)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(8,171)</w:t>
            </w:r>
          </w:p>
        </w:tc>
      </w:tr>
      <w:tr>
        <w:trPr>
          <w:trHeight w:val="163"/>
        </w:trPr>
        <w:tc>
          <w:tcPr>
            <w:tcW w:w="3460" w:type="dxa"/>
            <w:vAlign w:val="bottom"/>
          </w:tcPr>
          <w:p>
            <w:pPr>
              <w:ind w:left="20"/>
              <w:spacing w:after="0" w:line="150" w:lineRule="exact"/>
              <w:rPr>
                <w:sz w:val="20"/>
                <w:szCs w:val="20"/>
                <w:color w:val="auto"/>
              </w:rPr>
            </w:pPr>
            <w:r>
              <w:rPr>
                <w:rFonts w:ascii="Calibri" w:cs="Calibri" w:eastAsia="Calibri" w:hAnsi="Calibri"/>
                <w:sz w:val="14"/>
                <w:szCs w:val="14"/>
                <w:b w:val="1"/>
                <w:bCs w:val="1"/>
                <w:color w:val="auto"/>
              </w:rPr>
              <w:t>Balance at March 31, 2023</w:t>
            </w:r>
          </w:p>
        </w:tc>
        <w:tc>
          <w:tcPr>
            <w:tcW w:w="10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5,979,812</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303,350</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38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(340)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(348,635)</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(45,624)</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568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568</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Issuance of shares, net of issuance costs</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1,253,434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3,320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3,320</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Restricted shares award issuance, net of withholdings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3,368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Foreign currency translaton adjustment</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10</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(10,042)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(10,042)</w:t>
            </w:r>
          </w:p>
        </w:tc>
      </w:tr>
      <w:tr>
        <w:trPr>
          <w:trHeight w:val="163"/>
        </w:trPr>
        <w:tc>
          <w:tcPr>
            <w:tcW w:w="3460" w:type="dxa"/>
            <w:vAlign w:val="bottom"/>
          </w:tcPr>
          <w:p>
            <w:pPr>
              <w:ind w:left="20"/>
              <w:spacing w:after="0" w:line="150" w:lineRule="exact"/>
              <w:rPr>
                <w:sz w:val="20"/>
                <w:szCs w:val="20"/>
                <w:color w:val="auto"/>
              </w:rPr>
            </w:pPr>
            <w:r>
              <w:rPr>
                <w:rFonts w:ascii="Calibri" w:cs="Calibri" w:eastAsia="Calibri" w:hAnsi="Calibri"/>
                <w:sz w:val="14"/>
                <w:szCs w:val="14"/>
                <w:b w:val="1"/>
                <w:bCs w:val="1"/>
                <w:color w:val="auto"/>
              </w:rPr>
              <w:t>Balance at June 30, 2023</w:t>
            </w:r>
          </w:p>
        </w:tc>
        <w:tc>
          <w:tcPr>
            <w:tcW w:w="10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7,236,614</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307,238</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38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(330)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(358,677)</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(51,768)</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482</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Issuance of shares, net of issuance costs</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73,825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310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310</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Restricted shares award issuance, net of withholdings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3460" w:type="dxa"/>
            <w:vAlign w:val="bottom"/>
          </w:tcPr>
          <w:p>
            <w:pPr>
              <w:ind w:left="20"/>
              <w:spacing w:after="0"/>
              <w:rPr>
                <w:sz w:val="20"/>
                <w:szCs w:val="20"/>
                <w:color w:val="auto"/>
              </w:rPr>
            </w:pPr>
            <w:r>
              <w:rPr>
                <w:rFonts w:ascii="Calibri" w:cs="Calibri" w:eastAsia="Calibri" w:hAnsi="Calibri"/>
                <w:sz w:val="14"/>
                <w:szCs w:val="14"/>
                <w:color w:val="auto"/>
              </w:rPr>
              <w:t>Foreign currency translaton adjustment</w:t>
            </w:r>
          </w:p>
        </w:tc>
        <w:tc>
          <w:tcPr>
            <w:tcW w:w="11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(12)</w:t>
            </w:r>
          </w:p>
        </w:tc>
      </w:tr>
      <w:tr>
        <w:trPr>
          <w:trHeight w:val="33"/>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loss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(14,239)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(14,239)</w:t>
            </w:r>
          </w:p>
        </w:tc>
      </w:tr>
      <w:tr>
        <w:trPr>
          <w:trHeight w:val="190"/>
        </w:trPr>
        <w:tc>
          <w:tcPr>
            <w:tcW w:w="3460" w:type="dxa"/>
            <w:vAlign w:val="bottom"/>
          </w:tcPr>
          <w:p>
            <w:pPr>
              <w:ind w:left="20"/>
              <w:spacing w:after="0"/>
              <w:rPr>
                <w:sz w:val="20"/>
                <w:szCs w:val="20"/>
                <w:color w:val="auto"/>
              </w:rPr>
            </w:pPr>
            <w:r>
              <w:rPr>
                <w:rFonts w:ascii="Calibri" w:cs="Calibri" w:eastAsia="Calibri" w:hAnsi="Calibri"/>
                <w:sz w:val="14"/>
                <w:szCs w:val="14"/>
                <w:b w:val="1"/>
                <w:bCs w:val="1"/>
                <w:color w:val="auto"/>
              </w:rPr>
              <w:t>Balance at September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7,310,481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Calibri" w:cs="Calibri" w:eastAsia="Calibri" w:hAnsi="Calibri"/>
                <w:sz w:val="14"/>
                <w:szCs w:val="14"/>
                <w:b w:val="1"/>
                <w:bCs w:val="1"/>
                <w:color w:val="auto"/>
                <w:w w:val="8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308,030</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(342)</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(372,916)</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(65,227)</w:t>
            </w:r>
          </w:p>
        </w:tc>
      </w:tr>
      <w:tr>
        <w:trPr>
          <w:trHeight w:val="27"/>
        </w:trPr>
        <w:tc>
          <w:tcPr>
            <w:tcW w:w="3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left="2080"/>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868" w:right="85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2"/>
          <w:szCs w:val="22"/>
          <w:b w:val="1"/>
          <w:bCs w:val="1"/>
          <w:color w:val="auto"/>
        </w:rPr>
        <w:t>Greenidge Generaton Holdings Inc.</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CONDENSED CONSOLIDATED STATEMENTS OF CASH FLOWS (UNAUDITED)</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jc w:val="right"/>
              <w:ind w:right="150"/>
              <w:spacing w:after="0"/>
              <w:rPr>
                <w:sz w:val="20"/>
                <w:szCs w:val="20"/>
                <w:color w:val="auto"/>
              </w:rPr>
            </w:pPr>
            <w:r>
              <w:rPr>
                <w:rFonts w:ascii="Calibri" w:cs="Calibri" w:eastAsia="Calibri" w:hAnsi="Calibri"/>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51"/>
              <w:spacing w:after="0"/>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0"/>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7"/>
        </w:trPr>
        <w:tc>
          <w:tcPr>
            <w:tcW w:w="86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OPERATING ACTIVITIES FROM CONTINUING OPERATIONS:</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80" w:type="dxa"/>
            <w:vAlign w:val="bottom"/>
          </w:tcPr>
          <w:p>
            <w:pPr>
              <w:ind w:left="180"/>
              <w:spacing w:after="0" w:line="215" w:lineRule="exact"/>
              <w:rPr>
                <w:sz w:val="20"/>
                <w:szCs w:val="20"/>
                <w:color w:val="auto"/>
              </w:rPr>
            </w:pPr>
            <w:r>
              <w:rPr>
                <w:rFonts w:ascii="Calibri" w:cs="Calibri" w:eastAsia="Calibri" w:hAnsi="Calibri"/>
                <w:sz w:val="18"/>
                <w:szCs w:val="18"/>
                <w:color w:val="auto"/>
              </w:rPr>
              <w:t>Net loss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(15,879)</w:t>
            </w:r>
          </w:p>
        </w:tc>
        <w:tc>
          <w:tcPr>
            <w:tcW w:w="440" w:type="dxa"/>
            <w:vAlign w:val="bottom"/>
          </w:tcPr>
          <w:p>
            <w:pPr>
              <w:spacing w:after="0"/>
              <w:rPr>
                <w:sz w:val="19"/>
                <w:szCs w:val="19"/>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(32,452)</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Income from discontnued operatons</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4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line="199" w:lineRule="exact"/>
              <w:rPr>
                <w:sz w:val="20"/>
                <w:szCs w:val="20"/>
                <w:color w:val="auto"/>
              </w:rPr>
            </w:pPr>
            <w:r>
              <w:rPr>
                <w:rFonts w:ascii="Calibri" w:cs="Calibri" w:eastAsia="Calibri" w:hAnsi="Calibri"/>
                <w:sz w:val="18"/>
                <w:szCs w:val="18"/>
                <w:color w:val="auto"/>
              </w:rPr>
              <w:t>Net loss from contnuing operatons</w:t>
            </w:r>
          </w:p>
        </w:tc>
        <w:tc>
          <w:tcPr>
            <w:tcW w:w="1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(15,867)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(31,756)</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Adjustments to reconcile net loss from contnuing operatons to net cash fow from operatng actvites: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Depreciaton</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9,909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10,368</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Accrued interest added to principal</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1,212</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Change in fair value of warrant asset</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420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Amortzaton of debt issuance costs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825</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2,137</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Impairment of long-lived assets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Loss (gain) on sale of assets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661</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(1,752)</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Gain on digital assets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Remeasurement of environmental liability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Stock-based compensaton expense</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1,798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1,531</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Revenues from digital assets producton</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(15,041)</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Proceeds from sale of digital assets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11,141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Professional fees paid in common stock</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250</w:t>
            </w:r>
          </w:p>
        </w:tc>
        <w:tc>
          <w:tcPr>
            <w:tcW w:w="0" w:type="dxa"/>
            <w:vAlign w:val="bottom"/>
          </w:tcPr>
          <w:p>
            <w:pPr>
              <w:spacing w:after="0"/>
              <w:rPr>
                <w:sz w:val="1"/>
                <w:szCs w:val="1"/>
                <w:color w:val="auto"/>
              </w:rPr>
            </w:pPr>
          </w:p>
        </w:tc>
      </w:tr>
      <w:tr>
        <w:trPr>
          <w:trHeight w:val="222"/>
        </w:trPr>
        <w:tc>
          <w:tcPr>
            <w:tcW w:w="8680" w:type="dxa"/>
            <w:vAlign w:val="bottom"/>
          </w:tcPr>
          <w:p>
            <w:pPr>
              <w:ind w:left="360"/>
              <w:spacing w:after="0" w:line="215" w:lineRule="exact"/>
              <w:rPr>
                <w:sz w:val="20"/>
                <w:szCs w:val="20"/>
                <w:color w:val="auto"/>
              </w:rPr>
            </w:pPr>
            <w:r>
              <w:rPr>
                <w:rFonts w:ascii="Calibri" w:cs="Calibri" w:eastAsia="Calibri" w:hAnsi="Calibri"/>
                <w:sz w:val="18"/>
                <w:szCs w:val="18"/>
                <w:color w:val="auto"/>
              </w:rPr>
              <w:t>Changes in operatng assets and liabilites: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Accounts receivable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2,421</w:t>
            </w:r>
          </w:p>
        </w:tc>
        <w:tc>
          <w:tcPr>
            <w:tcW w:w="0" w:type="dxa"/>
            <w:vAlign w:val="bottom"/>
          </w:tcPr>
          <w:p>
            <w:pPr>
              <w:spacing w:after="0"/>
              <w:rPr>
                <w:sz w:val="1"/>
                <w:szCs w:val="1"/>
                <w:color w:val="auto"/>
              </w:rPr>
            </w:pPr>
          </w:p>
        </w:tc>
      </w:tr>
      <w:tr>
        <w:trPr>
          <w:trHeight w:val="222"/>
        </w:trPr>
        <w:tc>
          <w:tcPr>
            <w:tcW w:w="8680" w:type="dxa"/>
            <w:vAlign w:val="bottom"/>
          </w:tcPr>
          <w:p>
            <w:pPr>
              <w:ind w:left="520"/>
              <w:spacing w:after="0" w:line="215" w:lineRule="exact"/>
              <w:rPr>
                <w:sz w:val="20"/>
                <w:szCs w:val="20"/>
                <w:color w:val="auto"/>
              </w:rPr>
            </w:pPr>
            <w:r>
              <w:rPr>
                <w:rFonts w:ascii="Calibri" w:cs="Calibri" w:eastAsia="Calibri" w:hAnsi="Calibri"/>
                <w:sz w:val="18"/>
                <w:szCs w:val="18"/>
                <w:color w:val="auto"/>
              </w:rPr>
              <w:t>Emissions and carbon ofset credits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220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(337)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Digital assets</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348</w:t>
            </w:r>
          </w:p>
        </w:tc>
        <w:tc>
          <w:tcPr>
            <w:tcW w:w="0" w:type="dxa"/>
            <w:vAlign w:val="bottom"/>
          </w:tcPr>
          <w:p>
            <w:pPr>
              <w:spacing w:after="0"/>
              <w:rPr>
                <w:sz w:val="1"/>
                <w:szCs w:val="1"/>
                <w:color w:val="auto"/>
              </w:rPr>
            </w:pPr>
          </w:p>
        </w:tc>
      </w:tr>
      <w:tr>
        <w:trPr>
          <w:trHeight w:val="222"/>
        </w:trPr>
        <w:tc>
          <w:tcPr>
            <w:tcW w:w="8680" w:type="dxa"/>
            <w:vAlign w:val="bottom"/>
          </w:tcPr>
          <w:p>
            <w:pPr>
              <w:ind w:left="520"/>
              <w:spacing w:after="0" w:line="215" w:lineRule="exact"/>
              <w:rPr>
                <w:sz w:val="20"/>
                <w:szCs w:val="20"/>
                <w:color w:val="auto"/>
              </w:rPr>
            </w:pPr>
            <w:r>
              <w:rPr>
                <w:rFonts w:ascii="Calibri" w:cs="Calibri" w:eastAsia="Calibri" w:hAnsi="Calibri"/>
                <w:sz w:val="18"/>
                <w:szCs w:val="18"/>
                <w:color w:val="auto"/>
              </w:rPr>
              <w:t>Prepaids and other assets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1,668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(1,801)</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Income tax receivable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w:t>
            </w:r>
          </w:p>
        </w:tc>
        <w:tc>
          <w:tcPr>
            <w:tcW w:w="0" w:type="dxa"/>
            <w:vAlign w:val="bottom"/>
          </w:tcPr>
          <w:p>
            <w:pPr>
              <w:spacing w:after="0"/>
              <w:rPr>
                <w:sz w:val="1"/>
                <w:szCs w:val="1"/>
                <w:color w:val="auto"/>
              </w:rPr>
            </w:pPr>
          </w:p>
        </w:tc>
      </w:tr>
      <w:tr>
        <w:trPr>
          <w:trHeight w:val="222"/>
        </w:trPr>
        <w:tc>
          <w:tcPr>
            <w:tcW w:w="8680" w:type="dxa"/>
            <w:vAlign w:val="bottom"/>
          </w:tcPr>
          <w:p>
            <w:pPr>
              <w:ind w:left="520"/>
              <w:spacing w:after="0" w:line="215" w:lineRule="exact"/>
              <w:rPr>
                <w:sz w:val="20"/>
                <w:szCs w:val="20"/>
                <w:color w:val="auto"/>
              </w:rPr>
            </w:pPr>
            <w:r>
              <w:rPr>
                <w:rFonts w:ascii="Calibri" w:cs="Calibri" w:eastAsia="Calibri" w:hAnsi="Calibri"/>
                <w:sz w:val="18"/>
                <w:szCs w:val="18"/>
                <w:color w:val="auto"/>
              </w:rPr>
              <w:t>Accounts payable</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(299)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7,518</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Accrued emissions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(4,374)</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1,872</w:t>
            </w:r>
          </w:p>
        </w:tc>
        <w:tc>
          <w:tcPr>
            <w:tcW w:w="0" w:type="dxa"/>
            <w:vAlign w:val="bottom"/>
          </w:tcPr>
          <w:p>
            <w:pPr>
              <w:spacing w:after="0"/>
              <w:rPr>
                <w:sz w:val="1"/>
                <w:szCs w:val="1"/>
                <w:color w:val="auto"/>
              </w:rPr>
            </w:pPr>
          </w:p>
        </w:tc>
      </w:tr>
      <w:tr>
        <w:trPr>
          <w:trHeight w:val="222"/>
        </w:trPr>
        <w:tc>
          <w:tcPr>
            <w:tcW w:w="8680" w:type="dxa"/>
            <w:vAlign w:val="bottom"/>
          </w:tcPr>
          <w:p>
            <w:pPr>
              <w:ind w:left="520"/>
              <w:spacing w:after="0" w:line="215" w:lineRule="exact"/>
              <w:rPr>
                <w:sz w:val="20"/>
                <w:szCs w:val="20"/>
                <w:color w:val="auto"/>
              </w:rPr>
            </w:pPr>
            <w:r>
              <w:rPr>
                <w:rFonts w:ascii="Calibri" w:cs="Calibri" w:eastAsia="Calibri" w:hAnsi="Calibri"/>
                <w:sz w:val="18"/>
                <w:szCs w:val="18"/>
                <w:color w:val="auto"/>
              </w:rPr>
              <w:t>Accrued expenses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(1,874)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(2,717)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Contract liabilites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2,200</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680" w:type="dxa"/>
            <w:vAlign w:val="bottom"/>
          </w:tcPr>
          <w:p>
            <w:pPr>
              <w:ind w:left="520"/>
              <w:spacing w:after="0" w:line="215" w:lineRule="exact"/>
              <w:rPr>
                <w:sz w:val="20"/>
                <w:szCs w:val="20"/>
                <w:color w:val="auto"/>
              </w:rPr>
            </w:pPr>
            <w:r>
              <w:rPr>
                <w:rFonts w:ascii="Calibri" w:cs="Calibri" w:eastAsia="Calibri" w:hAnsi="Calibri"/>
                <w:sz w:val="18"/>
                <w:szCs w:val="18"/>
                <w:color w:val="auto"/>
              </w:rPr>
              <w:t>Other long-term liabilites</w:t>
            </w:r>
          </w:p>
        </w:tc>
        <w:tc>
          <w:tcPr>
            <w:tcW w:w="160" w:type="dxa"/>
            <w:vAlign w:val="bottom"/>
          </w:tcPr>
          <w:p>
            <w:pPr>
              <w:spacing w:after="0"/>
              <w:rPr>
                <w:sz w:val="19"/>
                <w:szCs w:val="19"/>
                <w:color w:val="auto"/>
              </w:rPr>
            </w:pPr>
          </w:p>
        </w:tc>
        <w:tc>
          <w:tcPr>
            <w:tcW w:w="1440" w:type="dxa"/>
            <w:vAlign w:val="bottom"/>
            <w:gridSpan w:val="2"/>
          </w:tcPr>
          <w:p>
            <w:pPr>
              <w:jc w:val="right"/>
              <w:ind w:right="50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4,713</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Calibri" w:cs="Calibri" w:eastAsia="Calibri" w:hAnsi="Calibri"/>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229</w:t>
            </w:r>
          </w:p>
        </w:tc>
        <w:tc>
          <w:tcPr>
            <w:tcW w:w="4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(458)</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tcPr>
          <w:p>
            <w:pPr>
              <w:ind w:left="680"/>
              <w:spacing w:after="0" w:line="199" w:lineRule="exact"/>
              <w:rPr>
                <w:sz w:val="20"/>
                <w:szCs w:val="20"/>
                <w:color w:val="auto"/>
              </w:rPr>
            </w:pPr>
            <w:r>
              <w:rPr>
                <w:rFonts w:ascii="Calibri" w:cs="Calibri" w:eastAsia="Calibri" w:hAnsi="Calibri"/>
                <w:sz w:val="18"/>
                <w:szCs w:val="18"/>
                <w:color w:val="auto"/>
              </w:rPr>
              <w:t>Net cash fow used for operatng actvites from contnuing operatons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(8,162)</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INVESTING ACTIVITIES FROM CONTINUING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tcPr>
          <w:p>
            <w:pPr>
              <w:ind w:left="180"/>
              <w:spacing w:after="0" w:line="215" w:lineRule="exact"/>
              <w:rPr>
                <w:sz w:val="20"/>
                <w:szCs w:val="20"/>
                <w:color w:val="auto"/>
              </w:rPr>
            </w:pPr>
            <w:r>
              <w:rPr>
                <w:rFonts w:ascii="Calibri" w:cs="Calibri" w:eastAsia="Calibri" w:hAnsi="Calibri"/>
                <w:sz w:val="18"/>
                <w:szCs w:val="18"/>
                <w:color w:val="auto"/>
              </w:rPr>
              <w:t>Purchases of and deposits for property and equipment</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(6,938)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(10,952)</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Proceeds from sale of assets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1,878</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180"/>
              <w:spacing w:after="0" w:line="215" w:lineRule="exact"/>
              <w:rPr>
                <w:sz w:val="20"/>
                <w:szCs w:val="20"/>
                <w:color w:val="auto"/>
              </w:rPr>
            </w:pPr>
            <w:r>
              <w:rPr>
                <w:rFonts w:ascii="Calibri" w:cs="Calibri" w:eastAsia="Calibri" w:hAnsi="Calibri"/>
                <w:sz w:val="18"/>
                <w:szCs w:val="18"/>
                <w:color w:val="auto"/>
              </w:rPr>
              <w:t>Proceeds from sale of digital 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628</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680"/>
              <w:spacing w:after="0" w:line="206" w:lineRule="exact"/>
              <w:rPr>
                <w:sz w:val="20"/>
                <w:szCs w:val="20"/>
                <w:color w:val="auto"/>
              </w:rPr>
            </w:pPr>
            <w:r>
              <w:rPr>
                <w:rFonts w:ascii="Calibri" w:cs="Calibri" w:eastAsia="Calibri" w:hAnsi="Calibri"/>
                <w:sz w:val="18"/>
                <w:szCs w:val="18"/>
                <w:color w:val="auto"/>
              </w:rPr>
              <w:t>Net cash fow used for investng actvites from contnuing operatons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(4,432)</w:t>
            </w:r>
          </w:p>
        </w:tc>
        <w:tc>
          <w:tcPr>
            <w:tcW w:w="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(10,352)</w:t>
            </w:r>
          </w:p>
        </w:tc>
        <w:tc>
          <w:tcPr>
            <w:tcW w:w="0" w:type="dxa"/>
            <w:vAlign w:val="bottom"/>
          </w:tcPr>
          <w:p>
            <w:pPr>
              <w:spacing w:after="0"/>
              <w:rPr>
                <w:sz w:val="1"/>
                <w:szCs w:val="1"/>
                <w:color w:val="auto"/>
              </w:rPr>
            </w:pPr>
          </w:p>
        </w:tc>
      </w:tr>
      <w:tr>
        <w:trPr>
          <w:trHeight w:val="195"/>
        </w:trPr>
        <w:tc>
          <w:tcPr>
            <w:tcW w:w="8680" w:type="dxa"/>
            <w:vAlign w:val="bottom"/>
          </w:tcPr>
          <w:p>
            <w:pPr>
              <w:ind w:left="20"/>
              <w:spacing w:after="0" w:line="195" w:lineRule="exact"/>
              <w:rPr>
                <w:sz w:val="20"/>
                <w:szCs w:val="20"/>
                <w:color w:val="auto"/>
              </w:rPr>
            </w:pPr>
            <w:r>
              <w:rPr>
                <w:rFonts w:ascii="Calibri" w:cs="Calibri" w:eastAsia="Calibri" w:hAnsi="Calibri"/>
                <w:sz w:val="18"/>
                <w:szCs w:val="18"/>
                <w:color w:val="auto"/>
              </w:rPr>
              <w:t>FINANCING ACTIVITIES FROM CONTINUING OPERATIONS: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Proceeds from issuance of common stock, net of issuance costs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1,038</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11,475</w:t>
            </w:r>
          </w:p>
        </w:tc>
        <w:tc>
          <w:tcPr>
            <w:tcW w:w="0" w:type="dxa"/>
            <w:vAlign w:val="bottom"/>
          </w:tcPr>
          <w:p>
            <w:pPr>
              <w:spacing w:after="0"/>
              <w:rPr>
                <w:sz w:val="1"/>
                <w:szCs w:val="1"/>
                <w:color w:val="auto"/>
              </w:rPr>
            </w:pPr>
          </w:p>
        </w:tc>
      </w:tr>
      <w:tr>
        <w:trPr>
          <w:trHeight w:val="222"/>
        </w:trPr>
        <w:tc>
          <w:tcPr>
            <w:tcW w:w="8680" w:type="dxa"/>
            <w:vAlign w:val="bottom"/>
          </w:tcPr>
          <w:p>
            <w:pPr>
              <w:ind w:left="180"/>
              <w:spacing w:after="0" w:line="215" w:lineRule="exact"/>
              <w:rPr>
                <w:sz w:val="20"/>
                <w:szCs w:val="20"/>
                <w:color w:val="auto"/>
              </w:rPr>
            </w:pPr>
            <w:r>
              <w:rPr>
                <w:rFonts w:ascii="Calibri" w:cs="Calibri" w:eastAsia="Calibri" w:hAnsi="Calibri"/>
                <w:sz w:val="18"/>
                <w:szCs w:val="18"/>
                <w:color w:val="auto"/>
              </w:rPr>
              <w:t>Proceeds from issuance of common stock and pre-funded warrants</w:t>
            </w:r>
          </w:p>
        </w:tc>
        <w:tc>
          <w:tcPr>
            <w:tcW w:w="16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Principal payments on debt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(6,809)</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tcPr>
          <w:p>
            <w:pPr>
              <w:ind w:left="680"/>
              <w:spacing w:after="0" w:line="199" w:lineRule="exact"/>
              <w:rPr>
                <w:sz w:val="20"/>
                <w:szCs w:val="20"/>
                <w:color w:val="auto"/>
              </w:rPr>
            </w:pPr>
            <w:r>
              <w:rPr>
                <w:rFonts w:ascii="Calibri" w:cs="Calibri" w:eastAsia="Calibri" w:hAnsi="Calibri"/>
                <w:sz w:val="18"/>
                <w:szCs w:val="18"/>
                <w:color w:val="auto"/>
              </w:rPr>
              <w:t>Net cash fow provided by fnancing actvites from contnuing operatons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7,038</w:t>
            </w: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4,666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Discontnued Operatons: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80" w:type="dxa"/>
            <w:vAlign w:val="bottom"/>
          </w:tcPr>
          <w:p>
            <w:pPr>
              <w:ind w:left="160"/>
              <w:spacing w:after="0" w:line="215" w:lineRule="exact"/>
              <w:rPr>
                <w:sz w:val="20"/>
                <w:szCs w:val="20"/>
                <w:color w:val="auto"/>
              </w:rPr>
            </w:pPr>
            <w:r>
              <w:rPr>
                <w:rFonts w:ascii="Calibri" w:cs="Calibri" w:eastAsia="Calibri" w:hAnsi="Calibri"/>
                <w:sz w:val="18"/>
                <w:szCs w:val="18"/>
                <w:color w:val="auto"/>
              </w:rPr>
              <w:t>Net cash fow from operatng actvites of discontnued operatons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(186)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(1,259)</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tcBorders>
              <w:bottom w:val="single" w:sz="8" w:color="CCEEFF"/>
            </w:tcBorders>
            <w:shd w:val="clear" w:color="auto" w:fill="CCEEFF"/>
          </w:tcPr>
          <w:p>
            <w:pPr>
              <w:ind w:left="160"/>
              <w:spacing w:after="0" w:line="215" w:lineRule="exact"/>
              <w:rPr>
                <w:sz w:val="20"/>
                <w:szCs w:val="20"/>
                <w:color w:val="auto"/>
              </w:rPr>
            </w:pPr>
            <w:r>
              <w:rPr>
                <w:rFonts w:ascii="Calibri" w:cs="Calibri" w:eastAsia="Calibri" w:hAnsi="Calibri"/>
                <w:sz w:val="18"/>
                <w:szCs w:val="18"/>
                <w:color w:val="auto"/>
              </w:rPr>
              <w:t>Net cash fow from investng actvites of discontnued operatons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3,325</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tcPr>
          <w:p>
            <w:pPr>
              <w:ind w:left="560"/>
              <w:spacing w:after="0" w:line="195" w:lineRule="exact"/>
              <w:rPr>
                <w:sz w:val="20"/>
                <w:szCs w:val="20"/>
                <w:color w:val="auto"/>
              </w:rPr>
            </w:pPr>
            <w:r>
              <w:rPr>
                <w:rFonts w:ascii="Calibri" w:cs="Calibri" w:eastAsia="Calibri" w:hAnsi="Calibri"/>
                <w:sz w:val="18"/>
                <w:szCs w:val="18"/>
                <w:color w:val="auto"/>
              </w:rPr>
              <w:t>Increase (decrease) in cash and cash equivalents from discontnued operatons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w:t>
            </w: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2,066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CHANGE IN CASH, CASH EQUIVALENTS AND RESTRICTED CASH</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(5,742)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(4,530)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CASH, CASH EQUIVALENTS AND RESTRICTED CASH - beginning of year</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13,312</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15,217</w:t>
            </w:r>
          </w:p>
        </w:tc>
        <w:tc>
          <w:tcPr>
            <w:tcW w:w="0" w:type="dxa"/>
            <w:vAlign w:val="bottom"/>
          </w:tcPr>
          <w:p>
            <w:pPr>
              <w:spacing w:after="0"/>
              <w:rPr>
                <w:sz w:val="1"/>
                <w:szCs w:val="1"/>
                <w:color w:val="auto"/>
              </w:rPr>
            </w:pPr>
          </w:p>
        </w:tc>
      </w:tr>
      <w:tr>
        <w:trPr>
          <w:trHeight w:val="254"/>
        </w:trPr>
        <w:tc>
          <w:tcPr>
            <w:tcW w:w="86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CASH, CASH EQUIVALENTS AND RESTRICTED CASH - end of period</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7,570</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780"/>
              <w:spacing w:after="0"/>
              <w:rPr>
                <w:sz w:val="20"/>
                <w:szCs w:val="20"/>
                <w:color w:val="auto"/>
              </w:rPr>
            </w:pPr>
            <w:r>
              <w:rPr>
                <w:rFonts w:ascii="Calibri" w:cs="Calibri" w:eastAsia="Calibri" w:hAnsi="Calibri"/>
                <w:sz w:val="18"/>
                <w:szCs w:val="18"/>
                <w:color w:val="auto"/>
              </w:rPr>
              <w:t>See Note 13 for supplemental cash fow informaton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80" w:type="dxa"/>
            <w:vAlign w:val="bottom"/>
            <w:gridSpan w:val="4"/>
          </w:tcPr>
          <w:p>
            <w:pPr>
              <w:ind w:left="2080"/>
              <w:spacing w:after="0" w:line="216" w:lineRule="exact"/>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6" w:right="3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1. ORGANIZATION AND DESCRIPTION OF BUSINESS</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Greenidge Generaton Holdings Inc. and its subsidiaries (collectvely, "Greenidge" or the "Company") owns and operates a vertcally integrated cryptocurrency datacenter and power generaton company. The Company owns and operates facilites in the Town of Torrey, New York (the "New York Facility") and the Town of Columbia, Mississippi (the "Mississippi Facility"), operates a facility under a lease in the Town of Underwood, North Dakota (the "North Dakota Facility") and owned and operated a facility in Spartanburg, South Carolina (the "South Carolina Facility"). The Company generates revenue in U.S. dollars by providing hostng, power and technical support services to third-party owned bitcoin mining equipment and generates revenue in the form of bitcoin by earning bitcoin as rewards and transacton fees for supportng the global bitcoin network with applicaton-specifc integrated circuit computers ("ASICs" or "miners") owned by the Company, which may be operated at the Company's sites or at third-party hostng sites through short-term hostng agreements. The earned bitcoin are then either exchanged for U.S. dollars or held as a treasury reserve asset pursuant to the Company's bitcoin retenton strategy. The Company also owns and operates a 106 megawat ("MW") power facility that is connected to the New York Independent System Operator ("NYISO") power grid. In additon to the electricity used "behind the meter" by the New York datacenter, the Company sells electricity to the NYISO at all tmes when its power plant is running and increases or decreases the amount of electricity sold based on prevailing prices in the wholesale electricity market and demand for electricity.</w:t>
      </w:r>
    </w:p>
    <w:p>
      <w:pPr>
        <w:spacing w:after="0" w:line="10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Efectve May 16, 2023, the Company efected a 1-for-10 reverse stock split of its outstanding shares of common stock. The par value remained unchanged. Unless specifcally provided otherwise herein, all share and per share amounts as well as common stock and additonal paid-in capital have been retroactvely adjusted to refect the reverse stock split.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Presentaton of Condensed Consolidated Financial Statements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the opinion of Greenidge management, the accompanying condensed consolidated fnancial statements include all adjustments necessary for a fair presentaton of the results for the interim periods presented and such adjustments are of a normal recurring nature. The results for the unaudited interim condensed consolidated statements of operatons are not necessarily indicatve of results to be expected for the year ending December 31, 2024 or for any future interim period. The unaudited interim condensed consolidated fnancial statements do not include all of the informaton and notes required by United States Generally Accepted Accountng Principles for complete fnancial statements.</w:t>
      </w:r>
    </w:p>
    <w:p>
      <w:pPr>
        <w:spacing w:after="0" w:line="32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Company has refected the operatons of its Support.com business as discontnued operatons for all periods presented. See Note 3, “</w:t>
      </w:r>
      <w:r>
        <w:rPr>
          <w:rFonts w:ascii="Calibri" w:cs="Calibri" w:eastAsia="Calibri" w:hAnsi="Calibri"/>
          <w:sz w:val="18"/>
          <w:szCs w:val="18"/>
          <w:i w:val="1"/>
          <w:iCs w:val="1"/>
          <w:color w:val="auto"/>
        </w:rPr>
        <w:t>Discontnued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Operatons</w:t>
      </w:r>
      <w:r>
        <w:rPr>
          <w:rFonts w:ascii="Calibri" w:cs="Calibri" w:eastAsia="Calibri" w:hAnsi="Calibri"/>
          <w:sz w:val="18"/>
          <w:szCs w:val="18"/>
          <w:color w:val="auto"/>
        </w:rPr>
        <w:t>” for further informaton. Unless otherwise noted, amounts and disclosures throughout these notes to the Company's condensed consolidated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fnancial statements relate solely to contnuing operatons and exclude all discontnued operatons.</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accompanying condensed consolidated fnancial statements should be read in conjuncton with the notes to the consolidated fnancial statements of the Company in its 2023 Annual Report on Form 10-K.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Going Concern</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 accordance with the Financial Accountng Standards Board ("FASB") Accountng Standards Update ("ASU") 2014-15, Presentaton of Financial Statements – Going Concern, the Company's management evaluated whether there are conditons or events that pose risk associated with the Company's ability to contnue as a going concern within one year afer the date these fnancial statements have been issued. The Company’s consolidated fnancial statements have been prepared assuming that it will contnue as a going concern. The Company has historically incurred operatng losses and negatve cash fows from operatons. These factors raise substantal doubt as to the Company’s ability to contnue as a going concern.</w:t>
      </w:r>
    </w:p>
    <w:p>
      <w:pPr>
        <w:spacing w:after="0" w:line="11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halving of bitcoin, which occurred April 19, 2024, has had and may contnue to have an adverse efect on the Company’s projected future cash fows due to the decline in the bitcoin mining rewards distributed to miners. The fxed costs to operate the business including, but not limited to, insurance, overhead and capital expenditures, as well as the variable input costs to operate the Company’s datacenters, have a material impact on the Company’s contnuing operatons and ability to generate positve cash fows. While the market showed improvement in 2023 and early 2024, the Company contnues to assess the impact of the halving along with volatlity in market prices of bitcoin and natural gas, all of which may impact projected future cash fows. In response to the going concern uncertainty, management took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10" w:name="page11"/>
    <w:bookmarkEnd w:id="10"/>
    <w:p>
      <w:pPr>
        <w:ind w:right="80"/>
        <w:spacing w:after="0" w:line="235" w:lineRule="auto"/>
        <w:rPr>
          <w:sz w:val="20"/>
          <w:szCs w:val="20"/>
          <w:color w:val="auto"/>
        </w:rPr>
      </w:pPr>
      <w:r>
        <w:rPr>
          <w:rFonts w:ascii="Calibri" w:cs="Calibri" w:eastAsia="Calibri" w:hAnsi="Calibri"/>
          <w:sz w:val="18"/>
          <w:szCs w:val="18"/>
          <w:color w:val="auto"/>
        </w:rPr>
        <w:t>certain actons during 2023 and 2024 to improve the Company's liquidity, as described in more detail below. At September 30, 2024, the Company had $7.6 million of cash, restricted cash and cash equivalents, and other current assets of $13.3 million, including $3.8 million of bitcoin available for liquidaton, while having $8.9 million of accounts payable, contract liabilites and accrued expenses, emissions liability of $6.1 million, current liabilites held for sale of $0.3 million, and an estmated $1.6 million of environmental liability spend in the next 12 months, which results in working capital of $3.8 million as of September 30, 2024.</w:t>
      </w:r>
    </w:p>
    <w:p>
      <w:pPr>
        <w:spacing w:after="0" w:line="11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Additonally, the Company has $6.1 million of interest payments due over the next twelve months. The ability to contnue as a going concern is dependent upon the Company generatng proftable operatons in the future and/or obtaining the necessary fnancing to meet its obligatons and repay its liabilites arising from normal business operatons when they come due. In an efort to improve liquidity, the Company has completed or is in the process of completng the following transactons:</w:t>
      </w:r>
    </w:p>
    <w:p>
      <w:pPr>
        <w:spacing w:after="0" w:line="111" w:lineRule="exact"/>
        <w:rPr>
          <w:sz w:val="20"/>
          <w:szCs w:val="20"/>
          <w:color w:val="auto"/>
        </w:rPr>
      </w:pPr>
    </w:p>
    <w:p>
      <w:pPr>
        <w:ind w:left="660" w:right="40" w:hanging="328"/>
        <w:spacing w:after="0" w:line="235" w:lineRule="auto"/>
        <w:tabs>
          <w:tab w:leader="none" w:pos="65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 September 2022, Greenidge entered into an at-the-market issuance sales agreement, as amended, dated as of September 19, 2022, by and among the Company, B. Riley Securites, Inc. (“B. Riley Securites”) and Northland Securites, Inc., relatng to shares of Greenidge’s Class A common stock (the "ATM Agreement"), and since October 1, 2022 through November 6, 2024, have received net proceeds of $20.7 million from sales of Class A common stock under the ATM Agreement. See Note 9, "Stockholder's Defcit", for further details.</w:t>
      </w:r>
    </w:p>
    <w:p>
      <w:pPr>
        <w:spacing w:after="0" w:line="111"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On January 30, 2023, the Company entered into debt restructuring agreements with NYDIG ABL LLC ("NYDIG") and B. Riley Commercial Capital, LLC ("B. Riley Commercial"). The restructuring of the NYDIG debt improved the Company's liquidity during 2023 as the payments required in 2023 on the remaining principal balance was interest payments of $2.0 million. This reduced debt service is substantally lower than the $62.7 million of principal and interest payments which would have been required in 2023 pursuant to the 2021 and 2022 Master Equipment Finance Agreements, both of which were refnanced in January 2023. See Note 5, "Debt" of our Annual Report on Form 10-K, fled April 10, 2024, for further details regarding the debt restructuring agreements.</w:t>
      </w:r>
    </w:p>
    <w:p>
      <w:pPr>
        <w:spacing w:after="0" w:line="113" w:lineRule="exact"/>
        <w:rPr>
          <w:rFonts w:ascii="Calibri" w:cs="Calibri" w:eastAsia="Calibri" w:hAnsi="Calibri"/>
          <w:sz w:val="18"/>
          <w:szCs w:val="18"/>
          <w:color w:val="auto"/>
        </w:rPr>
      </w:pPr>
    </w:p>
    <w:p>
      <w:pPr>
        <w:ind w:left="660" w:right="160" w:hanging="328"/>
        <w:spacing w:after="0" w:line="235" w:lineRule="auto"/>
        <w:tabs>
          <w:tab w:leader="none" w:pos="65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 conjuncton with the restructuring of the debt with NYDIG, the Company also entered into hostng agreements with NYDIG on January 30, 2023 (the “NYDIG Hostng Agreements”), which improved its liquidity positon, as it provided for cost reimbursements for key input costs, while allowing the Company to partcipate in proft upside.</w:t>
      </w:r>
    </w:p>
    <w:p>
      <w:pPr>
        <w:spacing w:after="0" w:line="110" w:lineRule="exact"/>
        <w:rPr>
          <w:rFonts w:ascii="Calibri" w:cs="Calibri" w:eastAsia="Calibri" w:hAnsi="Calibri"/>
          <w:sz w:val="18"/>
          <w:szCs w:val="18"/>
          <w:color w:val="auto"/>
        </w:rPr>
      </w:pPr>
    </w:p>
    <w:p>
      <w:pPr>
        <w:ind w:left="660" w:right="60" w:hanging="328"/>
        <w:spacing w:after="0" w:line="235" w:lineRule="auto"/>
        <w:tabs>
          <w:tab w:leader="none" w:pos="65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On November 9, 2023, the Company closed the sale of the South Carolina Facility to complete the deleveraging transacton with NYDIG. In exchange for the sale to NYDIG of the upgraded 44 MW South Carolina mining facilites and the subdivided real estate of approximately 22 acres of land, the Company received total consideraton of $28 million, as follows:</w:t>
      </w:r>
    </w:p>
    <w:p>
      <w:pPr>
        <w:spacing w:after="0" w:line="105" w:lineRule="exact"/>
        <w:rPr>
          <w:rFonts w:ascii="Calibri" w:cs="Calibri" w:eastAsia="Calibri" w:hAnsi="Calibri"/>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Calibri" w:cs="Calibri" w:eastAsia="Calibri" w:hAnsi="Calibri"/>
          <w:sz w:val="18"/>
          <w:szCs w:val="18"/>
          <w:color w:val="auto"/>
        </w:rPr>
        <w:t>The Senior Secured Loan with NYDIG with remaining principal of $17.7 million was extnguished;</w:t>
      </w:r>
    </w:p>
    <w:p>
      <w:pPr>
        <w:spacing w:after="0" w:line="109" w:lineRule="exact"/>
        <w:rPr>
          <w:rFonts w:ascii="Arial" w:cs="Arial" w:eastAsia="Arial" w:hAnsi="Arial"/>
          <w:sz w:val="18"/>
          <w:szCs w:val="18"/>
          <w:color w:val="auto"/>
        </w:rPr>
      </w:pPr>
    </w:p>
    <w:p>
      <w:pPr>
        <w:ind w:left="1300" w:right="820" w:hanging="320"/>
        <w:spacing w:after="0" w:line="235" w:lineRule="auto"/>
        <w:tabs>
          <w:tab w:leader="none" w:pos="1296" w:val="left"/>
        </w:tabs>
        <w:numPr>
          <w:ilvl w:val="1"/>
          <w:numId w:val="3"/>
        </w:numPr>
        <w:rPr>
          <w:rFonts w:ascii="Arial" w:cs="Arial" w:eastAsia="Arial" w:hAnsi="Arial"/>
          <w:sz w:val="18"/>
          <w:szCs w:val="18"/>
          <w:color w:val="auto"/>
        </w:rPr>
      </w:pPr>
      <w:r>
        <w:rPr>
          <w:rFonts w:ascii="Calibri" w:cs="Calibri" w:eastAsia="Calibri" w:hAnsi="Calibri"/>
          <w:sz w:val="18"/>
          <w:szCs w:val="18"/>
          <w:color w:val="auto"/>
        </w:rPr>
        <w:t>The B. Riley Commercial Secured Promissory Note with remaining principal of $4.1 million, which NYDIG purchased from B. Riley Commercial on July 20, 2023 at par was extnguished;</w:t>
      </w:r>
    </w:p>
    <w:p>
      <w:pPr>
        <w:spacing w:after="0" w:line="10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Calibri" w:cs="Calibri" w:eastAsia="Calibri" w:hAnsi="Calibri"/>
          <w:sz w:val="18"/>
          <w:szCs w:val="18"/>
          <w:color w:val="auto"/>
        </w:rPr>
        <w:t>A cash payment of approximately $4.5 million, and</w:t>
      </w:r>
    </w:p>
    <w:p>
      <w:pPr>
        <w:spacing w:after="0" w:line="109" w:lineRule="exact"/>
        <w:rPr>
          <w:rFonts w:ascii="Arial" w:cs="Arial" w:eastAsia="Arial" w:hAnsi="Arial"/>
          <w:sz w:val="18"/>
          <w:szCs w:val="18"/>
          <w:color w:val="auto"/>
        </w:rPr>
      </w:pPr>
    </w:p>
    <w:p>
      <w:pPr>
        <w:ind w:left="1300" w:right="360" w:hanging="320"/>
        <w:spacing w:after="0" w:line="235" w:lineRule="auto"/>
        <w:tabs>
          <w:tab w:leader="none" w:pos="1296" w:val="left"/>
        </w:tabs>
        <w:numPr>
          <w:ilvl w:val="1"/>
          <w:numId w:val="3"/>
        </w:numPr>
        <w:rPr>
          <w:rFonts w:ascii="Arial" w:cs="Arial" w:eastAsia="Arial" w:hAnsi="Arial"/>
          <w:sz w:val="18"/>
          <w:szCs w:val="18"/>
          <w:color w:val="auto"/>
        </w:rPr>
      </w:pPr>
      <w:r>
        <w:rPr>
          <w:rFonts w:ascii="Calibri" w:cs="Calibri" w:eastAsia="Calibri" w:hAnsi="Calibri"/>
          <w:sz w:val="18"/>
          <w:szCs w:val="18"/>
          <w:color w:val="auto"/>
        </w:rPr>
        <w:t>The Company also received bonus payments earned of approximately $1.6 million as a result of the completon of the expansion of the upgraded mining facility and the facility’s uptme performance.</w:t>
      </w:r>
    </w:p>
    <w:p>
      <w:pPr>
        <w:spacing w:after="0" w:line="10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Company recognized a gain on the sale of the South Carolina Facility of $8.2 million.</w:t>
      </w:r>
    </w:p>
    <w:p>
      <w:pPr>
        <w:spacing w:after="0" w:line="109" w:lineRule="exact"/>
        <w:rPr>
          <w:sz w:val="20"/>
          <w:szCs w:val="20"/>
          <w:color w:val="auto"/>
        </w:rPr>
      </w:pPr>
    </w:p>
    <w:p>
      <w:pPr>
        <w:ind w:left="660" w:right="280"/>
        <w:spacing w:after="0" w:line="235" w:lineRule="auto"/>
        <w:rPr>
          <w:sz w:val="20"/>
          <w:szCs w:val="20"/>
          <w:color w:val="auto"/>
        </w:rPr>
      </w:pPr>
      <w:r>
        <w:rPr>
          <w:rFonts w:ascii="Calibri" w:cs="Calibri" w:eastAsia="Calibri" w:hAnsi="Calibri"/>
          <w:sz w:val="18"/>
          <w:szCs w:val="18"/>
          <w:color w:val="auto"/>
        </w:rPr>
        <w:t>In conjuncton with the sale, the Company and NYDIG terminated the South Carolina Hostng Order. The NYDIG Hostng Agreement related to the New York Facility was not impacted by this transacton and remains in place.</w:t>
      </w:r>
    </w:p>
    <w:p>
      <w:pPr>
        <w:spacing w:after="0" w:line="110" w:lineRule="exact"/>
        <w:rPr>
          <w:sz w:val="20"/>
          <w:szCs w:val="20"/>
          <w:color w:val="auto"/>
        </w:rPr>
      </w:pPr>
    </w:p>
    <w:p>
      <w:pPr>
        <w:ind w:left="660"/>
        <w:spacing w:after="0" w:line="235" w:lineRule="auto"/>
        <w:rPr>
          <w:sz w:val="20"/>
          <w:szCs w:val="20"/>
          <w:color w:val="auto"/>
        </w:rPr>
      </w:pPr>
      <w:r>
        <w:rPr>
          <w:rFonts w:ascii="Calibri" w:cs="Calibri" w:eastAsia="Calibri" w:hAnsi="Calibri"/>
          <w:sz w:val="18"/>
          <w:szCs w:val="18"/>
          <w:color w:val="auto"/>
        </w:rPr>
        <w:t>Following the completon of the South Carolina Facility sale, the Company contnues to own approximately 153 acres of land in South Carolina, which has been classifed as held for sale.</w:t>
      </w:r>
    </w:p>
    <w:p>
      <w:pPr>
        <w:spacing w:after="0" w:line="110" w:lineRule="exact"/>
        <w:rPr>
          <w:sz w:val="20"/>
          <w:szCs w:val="20"/>
          <w:color w:val="auto"/>
        </w:rPr>
      </w:pPr>
    </w:p>
    <w:p>
      <w:pPr>
        <w:ind w:left="660" w:right="20" w:hanging="328"/>
        <w:spacing w:after="0" w:line="235"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Since entering into the NYDIG Hostng Agreements, the Company has identfed opportunites to deploy its company-owned miners. In March 2023, the Company entered into a hostng agreement with Conifex Timber Inc. ("Conifex"), whereby Conifex will provide hostng services to Greenidge utlizing renewable power (the “Conifex Hostng Agreement”). In April 2023, the Company entered into a hostng agreement with Core Scientfc, Inc. ("Core") in which Core will host and operate Greenidge-owned bitcoin miners at its facilites (the “Core Hostng Agreement”, and together with the NYDIG Hostng Agreements and the Conifex Hostng Agreement, the “Hostng Agreements”). On May 31, 2024, the only order entered into between Greenidge and Core pursuant to the Core Hostng Agreement terminated pursuant to its terms and Core no longer hosts or operates any Greenidge-owned bitcoin miners. As a result, the Company deployed the miners hosted by Core to sites Greenidge operates as part of its self-mining operatons.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ind w:left="660" w:right="2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On April 10, 2024, the Company closed on the purchase of a parcel of land containing approximately 12 acres located in Columbus, Mississippi, including over 73,000 square feet of industrial warehouse space. The Company deployed 7.5 MW of miners on the property in the second quarter of 2024. The Company has also deployed additonal miners in conjuncton with a 7.5 MW mining capacity lease in North Dakota, which has a term of fve years and provides us with energy to power mining. The Company believes the additon of these datacenters will improve the Company’s profts and liquidity during the remainder of 2024 and beyond.</w:t>
      </w:r>
    </w:p>
    <w:p>
      <w:pPr>
        <w:spacing w:after="0" w:line="112" w:lineRule="exact"/>
        <w:rPr>
          <w:rFonts w:ascii="Calibri" w:cs="Calibri" w:eastAsia="Calibri" w:hAnsi="Calibri"/>
          <w:sz w:val="18"/>
          <w:szCs w:val="18"/>
          <w:color w:val="auto"/>
        </w:rPr>
      </w:pPr>
    </w:p>
    <w:p>
      <w:pPr>
        <w:ind w:left="660" w:right="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On February 12, 2024, the Company entered into a securites purchase agreement (the “SPA”) with Armistce Capital Master Fund Ltd. (“Armistce”). Pursuant to the SPA, Armistce purchased shares of the Company’s Class A common stock and a pre-funded Class A common stock purchase warrant enttling them to purchase shares of the Company’s Class A common stock. In additon, the Company issued to Armistce a Class A common stock purchase warrant enttling Armistce, commencing on August 14, 2024, to acquire additonal shares of the Company’s Class A common stock from tme to tme. The SPA resulted in net proceeds of $6.0 million. See Note 9, "Stockholders’ Defcit", for further details.</w:t>
      </w:r>
    </w:p>
    <w:p>
      <w:pPr>
        <w:spacing w:after="0" w:line="112" w:lineRule="exact"/>
        <w:rPr>
          <w:rFonts w:ascii="Calibri" w:cs="Calibri" w:eastAsia="Calibri" w:hAnsi="Calibri"/>
          <w:sz w:val="18"/>
          <w:szCs w:val="18"/>
          <w:color w:val="auto"/>
        </w:rPr>
      </w:pPr>
    </w:p>
    <w:p>
      <w:pPr>
        <w:ind w:left="660" w:right="100" w:hanging="328"/>
        <w:spacing w:after="0" w:line="235" w:lineRule="auto"/>
        <w:tabs>
          <w:tab w:leader="none" w:pos="653" w:val="left"/>
        </w:tabs>
        <w:numPr>
          <w:ilvl w:val="0"/>
          <w:numId w:val="5"/>
        </w:numPr>
        <w:rPr>
          <w:rFonts w:ascii="Calibri" w:cs="Calibri" w:eastAsia="Calibri" w:hAnsi="Calibri"/>
          <w:sz w:val="18"/>
          <w:szCs w:val="18"/>
          <w:color w:val="auto"/>
          <w:strike w:val="1"/>
        </w:rPr>
      </w:pPr>
      <w:r>
        <w:rPr>
          <w:rFonts w:ascii="Calibri" w:cs="Calibri" w:eastAsia="Calibri" w:hAnsi="Calibri"/>
          <w:sz w:val="18"/>
          <w:szCs w:val="18"/>
          <w:color w:val="auto"/>
        </w:rPr>
        <w:t>On September 15, 2021, as amended on April 7, 2022, Greenidge entered into the Equity Purchase Agreement (the "Equity Purchase Agreement") with B. Riley Principal Capital, LLC ("B. Riley Principal"). Pursuant to the Equity Purchase Agreement, Greenidge had the right to sell to B. Riley Principal up to $500 million in shares of its Class A common stock, subject to certain limitatons and the satsfacton of specifed conditons in the Equity Purchase Agreement, from tme to tme over the 24-month period commencing on April 28, 2022 (the "April 2022 Efectve Date"). From the April 2022 Efectve Date to April 28, 2024, the Company received aggregate proceeds of $8.0 million, net of discounts, of which $0.3 million were received from January 1, 2024 through April 28, 2024. See Note 9, "Stockholders’ Defcit", for further details. The Equity Purchase Agreement automatcally terminated pursuant to its terms on April 28, 2024.</w:t>
      </w:r>
    </w:p>
    <w:p>
      <w:pPr>
        <w:spacing w:after="0" w:line="113" w:lineRule="exact"/>
        <w:rPr>
          <w:rFonts w:ascii="Calibri" w:cs="Calibri" w:eastAsia="Calibri" w:hAnsi="Calibri"/>
          <w:sz w:val="18"/>
          <w:szCs w:val="18"/>
          <w:color w:val="auto"/>
          <w:strike w:val="1"/>
        </w:rPr>
      </w:pPr>
    </w:p>
    <w:p>
      <w:pPr>
        <w:ind w:left="660" w:right="8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On July 30, 2024, Greenidge entered into a common stock purchase agreement (the "Common Stock Purchase Agreement") and related registraton rights agreement with B. Riley Principal Capital II, LLC ("B. Riley Principal II"), an afliate of B. Riley Principal, pursuant to which Greenidge has the right to sell to B. Riley Principal II up to $20 million in shares of its Class A common stock, subject to certain limitatons and the satsfacton of specifed conditons in the Common Stock Purchase Agreement, from tme to tme over the 36-month term of the Common Stock Purchase Agreement. See Note 9 "Stockholders' Defcit", for further details.</w:t>
      </w:r>
    </w:p>
    <w:p>
      <w:pPr>
        <w:spacing w:after="0" w:line="11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Despite these improvements to the Company’s fnancial conditon, Greenidge management expects that it will require additonal capital in order to fund the Company’s expenses and to support the Company’s near-term working capital needs and remaining debt servicing requirements. Management contnues to assess diferent optons to improve its liquidity which include, but are not limited to:</w:t>
      </w:r>
    </w:p>
    <w:p>
      <w:pPr>
        <w:spacing w:after="0" w:line="111" w:lineRule="exact"/>
        <w:rPr>
          <w:sz w:val="20"/>
          <w:szCs w:val="20"/>
          <w:color w:val="auto"/>
        </w:rPr>
      </w:pPr>
    </w:p>
    <w:p>
      <w:pPr>
        <w:ind w:left="660" w:right="20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 sale of the Company’s remaining real estate in South Carolina and/or sale of the remaining miner infrastructure equipment inventory, which was not used in previous expansions.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issuances of equity, including but not limited to issuances under the Common Stock Purchase Agreement and/or the ATM Agreement.</w:t>
      </w:r>
    </w:p>
    <w:p>
      <w:pPr>
        <w:spacing w:after="0" w:line="109" w:lineRule="exact"/>
        <w:rPr>
          <w:rFonts w:ascii="Calibri" w:cs="Calibri" w:eastAsia="Calibri" w:hAnsi="Calibri"/>
          <w:sz w:val="18"/>
          <w:szCs w:val="18"/>
          <w:color w:val="auto"/>
        </w:rPr>
      </w:pPr>
    </w:p>
    <w:p>
      <w:pPr>
        <w:ind w:left="660" w:right="20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retrement or purchase of our outstanding debt through cash purchases and/or exchanges for equity or debt, in open-market purchases, privately negotated transactons or otherwise. Such repurchases or exchanges, if any will be upon such terms and at such prices as we may determine, and will depend on prevailing market conditons, our liquidity requirements, contractual restrictons and other factors. The amounts involved may be material and to the extent equity is issued, dilutve.</w:t>
      </w:r>
    </w:p>
    <w:p>
      <w:pPr>
        <w:spacing w:after="0" w:line="1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estmate of cash resources available to the Company for the next 12 months is dependent on bitcoin mining economics equivalent or superior to those experienced since the halving in April 2024. Increases in the price of bitcoin beneft the Company by increasing the amount of revenue earned for each bitcoin mined. Increases in the difculty to mine a bitcoin adversely afect the Company by decreasing the number of bitcoin it can mine. Increases in the costs of electricity, natural gas, and emissions credits adversely afect the Company by increasing the cost to mine bitcoin. While the Company contnues to work to implement optons to improve liquidity, the Company can provide no assurance that these eforts will be successful and the Company’s liquidity could be negatvely impacted by factors outside of its control, in partcular, signifcant decreases in the price of bitcoin, the Company's inability to procure and comply with the permits and licenses required to operate its facilites, including the Title V Air Permit for the New York Facility and the possibility of a temporary or permanent loss of such permit following the expiraton of the November 14 Stay (as defned below) , or the cost to the Company of such procurement or compliance, regulatory changes concerning cryptocurrency, increases in energy costs or other macroeconomic conditons and other maters identfed in Part I, Item 1A "Risk Factors" in the Company’s Annual Report on Form 10-K for the year ended December 31, 2023 and in this Quarterly Report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2" w:name="page13"/>
    <w:bookmarkEnd w:id="12"/>
    <w:p>
      <w:pPr>
        <w:spacing w:after="0" w:line="235" w:lineRule="auto"/>
        <w:rPr>
          <w:sz w:val="20"/>
          <w:szCs w:val="20"/>
          <w:color w:val="auto"/>
        </w:rPr>
      </w:pPr>
      <w:r>
        <w:rPr>
          <w:rFonts w:ascii="Calibri" w:cs="Calibri" w:eastAsia="Calibri" w:hAnsi="Calibri"/>
          <w:sz w:val="18"/>
          <w:szCs w:val="18"/>
          <w:color w:val="auto"/>
        </w:rPr>
        <w:t>Form 10-Q. Given this uncertainty regarding the Company’s fnancial conditon over the next 12 months from the date these fnancial statements were issued, the Company has concluded that there is substantal doubt about its ability to contnue as a going concern for a reasonable period of tme. The consolidated fnancial statements do not include any adjustments that might result from the outcome of this uncertainty.</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Reclassifcatons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prior year amounts have been reclassifed to conform to the current year’s presentaton.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Signifcant Accountng Policies</w:t>
      </w:r>
    </w:p>
    <w:p>
      <w:pPr>
        <w:spacing w:after="0" w:line="21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Company’s signifcant accountng policies are described in Note 2. Summary of Signifcant Accountng Policies, in the Company’s consolidated fnancial statements included in the Company’s Annual Report fled on Form 10-K for the year ended December 31, 2023.</w:t>
      </w:r>
    </w:p>
    <w:p>
      <w:pPr>
        <w:spacing w:after="0" w:line="21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There have been no material changes to the signifcant accountng policies, except as described herein, for the three and nine months ended September 30,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Cryptocurrency Mining Revenue</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Greenidge has entered into digital asset mining pools by executng contracts with the mining pool operators to perform hash computatons for a mining pool. The contracts are terminable at any tme at no cost by either party and Greenidge’s enforceable right to compensaton begins only when, and lasts as long as, Greenidge performs hash computatons for the mining pool operator. In exchange for performing hash computatons, Greenidge is enttled to a fractonal share of the cryptocurrency award the mining pool operator theoretcally receives less the mining pool fees. The agreements entered into with the pool operators pay out based on a Full-Pay-Per-Share (“FPPS”) payout formula, which is a conceptual formula that enttles Greenidge to consideraton upon the provision of hash computatons to the pool even if a block is not successfully placed by the pool operator. Revenue is measured as the value of the consideraton received in the form of cryptocurrency from the pool operator, less the mining pool fees retained by the mining pool operator. Greenidge does not expect any material future changes in mining pool fee rates.</w:t>
      </w:r>
    </w:p>
    <w:p>
      <w:pPr>
        <w:spacing w:after="0" w:line="223"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In exchange for performing hash computatons for the mining pool, the Company is enttled to a fractonal share of the cryptocurrency award the mining pool operator theoretcally receives (less pool operator fees to the mining pool operator which are neted as a reducton of the transacton price). Greenidge’s fractonal share is based on the proporton of hash computatons the Company performed for the mining pool operator to the total hash computatons contributed by all miners in solving the current algorithm during the 24-hour period. Daily earnings calculated under the FPPS payout formula are calculated from midnight-to-midnight UTC tme and are credited to pool members’ accounts at 1:00:00 A.M. UTC. The pool sends Greenidge’s cryptocurrency balance in the account to a digital wallet designated by the Company between 9:00 A.M. and 5:00 P.M. UTC tme each day, which Greenidge automatcally sells for cash within minutes of receipt, unless Greenidge decides to retain its newly earned bitcoin in connecton with its bitcoin retenton strategy.</w:t>
      </w:r>
    </w:p>
    <w:p>
      <w:pPr>
        <w:spacing w:after="0" w:line="209" w:lineRule="exact"/>
        <w:rPr>
          <w:sz w:val="20"/>
          <w:szCs w:val="20"/>
          <w:color w:val="auto"/>
        </w:rPr>
      </w:pPr>
    </w:p>
    <w:p>
      <w:pPr>
        <w:ind w:right="160"/>
        <w:spacing w:after="0" w:line="250" w:lineRule="auto"/>
        <w:rPr>
          <w:sz w:val="20"/>
          <w:szCs w:val="20"/>
          <w:color w:val="auto"/>
        </w:rPr>
      </w:pPr>
      <w:r>
        <w:rPr>
          <w:rFonts w:ascii="Calibri" w:cs="Calibri" w:eastAsia="Calibri" w:hAnsi="Calibri"/>
          <w:sz w:val="17"/>
          <w:szCs w:val="17"/>
          <w:color w:val="auto"/>
        </w:rPr>
        <w:t>The service of performing hash computatons for the mining pool operators is an output of Greenidge’s ordinary actvites and is the only performance obligaton in Greenidge’s contracts with mining pool operators. The cryptocurrency that Greenidge receives as transacton consideraton is noncash consideraton, which Greenidge measures at fair value on the contract incepton date at 0:00:00 UTC on the start date of the contract. The duraton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obligaton. The fair value is based on Greenidge’s primary exchange of the related cryptocurrency which is considered to be Coinbase. The consideraton Greenidge earns is variable since it is based on the amount of hash computatons provided by both Greenidge and the bitcoin network as a whole. The Company does not constrain this variable consideraton because it is probable that a signifcant reversal in the amount of revenue recognized from the contract will not occur when the uncertainty is subsequently resolved and recognizes the non-cash consideraton on the same day that control is transferred, which is the same day as contract incepton.</w:t>
      </w: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Engineering Procurement and Constructon Management ("EPCM") Revenue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3" w:name="page14"/>
    <w:bookmarkEnd w:id="13"/>
    <w:p>
      <w:pPr>
        <w:ind w:right="240"/>
        <w:spacing w:after="0" w:line="235" w:lineRule="auto"/>
        <w:rPr>
          <w:sz w:val="20"/>
          <w:szCs w:val="20"/>
          <w:color w:val="auto"/>
        </w:rPr>
      </w:pPr>
      <w:r>
        <w:rPr>
          <w:rFonts w:ascii="Calibri" w:cs="Calibri" w:eastAsia="Calibri" w:hAnsi="Calibri"/>
          <w:sz w:val="18"/>
          <w:szCs w:val="18"/>
          <w:color w:val="auto"/>
        </w:rPr>
        <w:t>The Company has entered into contracts with customers to perform engineering procurement and constructon management services for customers developing cryptocurrency mining facilites. The services defned in the contracts are generally separated into phases, being 1) engineering 2) constructon and 3) procurement.</w:t>
      </w:r>
    </w:p>
    <w:p>
      <w:pPr>
        <w:spacing w:after="0" w:line="21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While the services discussed above are capable of being distnct and separately identfable, the Company concluded that the services provided are inputs to produce the combined output to the customer, which is the completed site buildout. Further, the services provided are signifcantly modifed by the other services in the contract. As such, while the performance obligatons may be capable of being distnct, they are not distnct in the context of the contract and therefore the promises in the contract are combined into one single performance obligaton.</w:t>
      </w:r>
    </w:p>
    <w:p>
      <w:pPr>
        <w:spacing w:after="0" w:line="219" w:lineRule="exact"/>
        <w:rPr>
          <w:sz w:val="20"/>
          <w:szCs w:val="20"/>
          <w:color w:val="auto"/>
        </w:rPr>
      </w:pPr>
    </w:p>
    <w:p>
      <w:pPr>
        <w:ind w:right="180"/>
        <w:spacing w:after="0" w:line="254" w:lineRule="auto"/>
        <w:rPr>
          <w:sz w:val="20"/>
          <w:szCs w:val="20"/>
          <w:color w:val="auto"/>
        </w:rPr>
      </w:pPr>
      <w:r>
        <w:rPr>
          <w:rFonts w:ascii="Calibri" w:cs="Calibri" w:eastAsia="Calibri" w:hAnsi="Calibri"/>
          <w:sz w:val="17"/>
          <w:szCs w:val="17"/>
          <w:color w:val="auto"/>
        </w:rPr>
        <w:t>The Company recognizes EPCM revenue over tme, as performance obligatons are satsfed, due to the contnuous transfer of control to the customer. The Company utlizes the percentage-of-completon method, based primarily on contract cost incurred to date compared to total estmated contract cost. The percentage-of-completon method, and input method, is used as management considers it to be the best available measure of progress on these contracts.</w:t>
      </w:r>
    </w:p>
    <w:p>
      <w:pPr>
        <w:spacing w:after="0" w:line="20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To the extent a contract is canceled, the Company assesses whether there are any remaining goods or services to be provided afer cancellaton. If there are any remaining goods or services to be provided, the Company follows the guidance under ASC 606 for contract modifcatons. If there are no remaining goods or services to be provided, the Company considers whether consideraton received is refundable or nonrefundable. To the extent consideraton received is refundable, the Company recognizes a refund liability, otherwise, it recognizes revenue for the consideraton received.</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Digital Assets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Digital assets are comprised of bitcoin earned as noncash consideraton in exchange for providing hash computatons for a mining pool, which are accounted for in connecton with the Company’s revenue recogniton policy previously disclosed. Digital assets are included in current assets in the consolidated balance sheets due to the Company’s ability to sell it in a highly liquid marketplace and because the Company reasonably expects to liquidate its digital assets to support operatons within the next twelve months.</w:t>
      </w:r>
    </w:p>
    <w:p>
      <w:pPr>
        <w:spacing w:after="0" w:line="219"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The Company adopted ASU 2023-08 during the second quarter of 2024 with an efectve date of January 1, 2024. As a result of adoptng ASU 2023-08, the Company measures digital assets at fair value as of each reportng period based on UTC closing prices at period-end on the actve trading platorm that the Company normally transacts and has determined is its principal market for bitcoin.</w:t>
      </w:r>
    </w:p>
    <w:p>
      <w:pPr>
        <w:spacing w:after="0" w:line="219"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Gains and losses resultng from remeasurements are included within Loss (gain) on digital assets in the consolidated statements of operatons and comprehensive loss. Gains and losses resultng from the sale of bitcoin, measured as the diference between the cash proceeds and the carrying basis of bitcoin as determined on a frst-in-frst-out basis, are also included within Loss (gain) on digital assets in the consolidated statements of operatons and comprehensive loss.</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Digital assets received by the Company as noncash consideraton are included as an adjustment to reconcile net loss to cash used in operatng actvites on the consolidated statements of cash fows. In August 2024, the Company announced its new bitcoin self-mining retenton strategy, which enables the Company to accumulate bitcoin from its owned miners. Proceeds from the sale of bitcoin that occur nearly immediately afer receipt are included within operatng actvites on the consolidated statements of cash fows. To the extent the Company holds bitcoin for more than a few days, proceeds from the sale of bitcoin are included within investng actvites on the consolidated statements of cash fows. Notwithstanding the foregoing, in connecton with this new bitcoin retenton strategy, certain amounts of the Company's bitcoin earned from self-mining actvites will be held as a treasury reserve asset, as determined in the Company's sole discreton.</w:t>
      </w:r>
    </w:p>
    <w:p>
      <w:pPr>
        <w:spacing w:after="0" w:line="22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Prior to the adopton of ASU 2023-08, the Company accounted for digital assets as intangible assets with an indefnite useful life, which are not amortzed but assessed for impairment annually, or more frequently, when events or changes in circumstances occur indicatng that it is more likely than not that the indefnite-lived asset is impaired. The Company performed an analysis each period to identfy whether events or changes in circumstances, principally decreases in the quoted prices on actve exchanges, indicated that it was more likely than not that its digital assets were impaired. Digital assets were considered impaired if the carrying value was greater than the lowest intraday quoted price at any tme during the period. For quoted prices, the Company used daily exchange data from its principal market. Subsequent reversal of impairment losses were not permited.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i w:val="1"/>
          <w:iCs w:val="1"/>
          <w:color w:val="auto"/>
        </w:rPr>
        <w:t>Recent Accountng Pronouncements, Not Yet Adopted</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In November 2023, the FASB issued ASU No.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xml:space="preserve"> ASU 2023-07 expands public enttes’ segment disclosures by requiring disclosure of signifcant segment expenses that are regularly provided to the chief operatng decision maker and included within each reported measure of segment proft or loss, an amount and descripton of its compositon of other segment items, and interim disclosures of a reportable segment’s proft or loss and assets. This guidance becomes efectve for fscal years beginning afer December 15, 2023 and interim periods within fscal years beginning afer December 15, 2024 and is required to be applied retrospectvely. Early adopton is permited. The Company is currently evaluatng this guidance to determine the impact it may have on its consolidated fnancial statements disclosures.</w:t>
      </w:r>
    </w:p>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In December 2023, the FASB issued ASU No. 2023-09, </w:t>
      </w:r>
      <w:r>
        <w:rPr>
          <w:rFonts w:ascii="Calibri" w:cs="Calibri" w:eastAsia="Calibri" w:hAnsi="Calibri"/>
          <w:sz w:val="18"/>
          <w:szCs w:val="18"/>
          <w:i w:val="1"/>
          <w:iCs w:val="1"/>
          <w:color w:val="auto"/>
        </w:rPr>
        <w:t>Income Taxes (Topic 740): Improvements to Income Tax Disclosure</w:t>
      </w:r>
      <w:r>
        <w:rPr>
          <w:rFonts w:ascii="Calibri" w:cs="Calibri" w:eastAsia="Calibri" w:hAnsi="Calibri"/>
          <w:sz w:val="18"/>
          <w:szCs w:val="18"/>
          <w:color w:val="auto"/>
        </w:rPr>
        <w:t>. ASU 2023-09 mostly requires, on an annual basis, disclosure of specifc categories in an entty’s efectve tax rate reconciliaton and income taxes paid disaggregated by jurisdicton. The incremental disclosures may be presented on a prospectve or retrospectve basis. The ASU is efectve for fscal years beginning afer December 15, 2024 with early adopton permited. The Company is currently evaluatng the impact the adopton of this ASU will have on its consolidated fnancial statements and disclosures.</w:t>
      </w:r>
    </w:p>
    <w:p>
      <w:pPr>
        <w:spacing w:after="0" w:line="2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In March 2024, the FASB issued ASU 2024-01, </w:t>
      </w:r>
      <w:r>
        <w:rPr>
          <w:rFonts w:ascii="Calibri" w:cs="Calibri" w:eastAsia="Calibri" w:hAnsi="Calibri"/>
          <w:sz w:val="18"/>
          <w:szCs w:val="18"/>
          <w:i w:val="1"/>
          <w:iCs w:val="1"/>
          <w:color w:val="auto"/>
        </w:rPr>
        <w:t>Compensaton - Stock Compensaton (Topic 718): Scope Applicaton of Profts Interest and Similar Awards</w:t>
      </w:r>
      <w:r>
        <w:rPr>
          <w:rFonts w:ascii="Calibri" w:cs="Calibri" w:eastAsia="Calibri" w:hAnsi="Calibri"/>
          <w:sz w:val="18"/>
          <w:szCs w:val="18"/>
          <w:color w:val="auto"/>
        </w:rPr>
        <w:t>. ASU 2024-01 clarifes ASC 718 scope applicaton for profts interest and similar awards by adding illustratve examples. This guidance becomes efectve for annual periods beginning afer December 15, 2024 and interim periods within those annual periods. Early adopton is permited. The Company is currently evaluatng this guidance to determine the impact, but does not expect it to have a material impact on its Condensed Consolidated Financial Statements and related disclosures.</w:t>
      </w:r>
    </w:p>
    <w:p>
      <w:pPr>
        <w:spacing w:after="0" w:line="220" w:lineRule="exact"/>
        <w:rPr>
          <w:sz w:val="20"/>
          <w:szCs w:val="20"/>
          <w:color w:val="auto"/>
        </w:rPr>
      </w:pPr>
    </w:p>
    <w:p>
      <w:pPr>
        <w:ind w:right="420"/>
        <w:spacing w:after="0" w:line="252" w:lineRule="auto"/>
        <w:rPr>
          <w:sz w:val="20"/>
          <w:szCs w:val="20"/>
          <w:color w:val="auto"/>
        </w:rPr>
      </w:pPr>
      <w:r>
        <w:rPr>
          <w:rFonts w:ascii="Calibri" w:cs="Calibri" w:eastAsia="Calibri" w:hAnsi="Calibri"/>
          <w:sz w:val="17"/>
          <w:szCs w:val="17"/>
          <w:color w:val="auto"/>
        </w:rPr>
        <w:t xml:space="preserve">In March 2024, the FASB issued ASU 2024-02, </w:t>
      </w:r>
      <w:r>
        <w:rPr>
          <w:rFonts w:ascii="Calibri" w:cs="Calibri" w:eastAsia="Calibri" w:hAnsi="Calibri"/>
          <w:sz w:val="17"/>
          <w:szCs w:val="17"/>
          <w:i w:val="1"/>
          <w:iCs w:val="1"/>
          <w:color w:val="auto"/>
        </w:rPr>
        <w:t>Codifcaton Improvements - Amendments to Remove References to the Concept Statements</w:t>
      </w:r>
      <w:r>
        <w:rPr>
          <w:rFonts w:ascii="Calibri" w:cs="Calibri" w:eastAsia="Calibri" w:hAnsi="Calibri"/>
          <w:sz w:val="17"/>
          <w:szCs w:val="17"/>
          <w:color w:val="auto"/>
        </w:rPr>
        <w:t>. ASU 2024-02 removes references to various Concept Statements. This ASU is efectve for fscal years beginning afer December 15, 2024. Early applicaton of the amendments in the ASU is permited. ASU 2024-02 can be applied prospectvely or retrospectvely. The Company is currently evaluatng this guidance to determine the impact, but does not expect it to have a material impact on its Condensed Consolidated Financial Statements and related disclosures.</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 Adopted</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 xml:space="preserve">In December 2023, the FASB issued ASU No. 2023-08, Intangibles - Goodwill and Other - Crypto Assets (Subtopic 350-60): Accountng for and Disclosure of Crypto Assets ("ASU 2023-08"), which is intended to improve the accountng for and disclosure of crypto assets. The amendments require crypto assets meetng the criteria to be recognized at fair value with changes recognized in net income each reportng period. Upon adopton, a cumulatve-efect adjustment is made to the opening balance of retained earnings as of the beginning of the annual reportng period of adopton. This guidance is efectve for fscal years, and interim periods within those fscal years, beginning afer December 15, 2024, with early adopton permited. The Company elected to adopt ASU 2023-08 efectve January 1, 2024. As a result of adopton, the Company recorded a cumulatve-efect adjustment to its </w:t>
      </w:r>
      <w:r>
        <w:rPr>
          <w:rFonts w:ascii="Calibri" w:cs="Calibri" w:eastAsia="Calibri" w:hAnsi="Calibri"/>
          <w:sz w:val="18"/>
          <w:szCs w:val="18"/>
          <w:i w:val="1"/>
          <w:iCs w:val="1"/>
          <w:color w:val="auto"/>
        </w:rPr>
        <w:t>Accumulated defcit</w:t>
      </w:r>
      <w:r>
        <w:rPr>
          <w:rFonts w:ascii="Calibri" w:cs="Calibri" w:eastAsia="Calibri" w:hAnsi="Calibri"/>
          <w:sz w:val="18"/>
          <w:szCs w:val="18"/>
          <w:color w:val="auto"/>
        </w:rPr>
        <w:t xml:space="preserve"> balance of approximately $0.02 million as of January 1, 2024, as a result of recognizing its bitcoin held as of January 1, 2024,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color w:val="auto"/>
        </w:rPr>
        <w:t>3. DISCONTINUED OPERATIONS AND ASSETS HELD FOR SALE</w:t>
      </w:r>
    </w:p>
    <w:p>
      <w:pPr>
        <w:spacing w:after="0" w:line="231"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A business is classifed as held for sale when management having the authority to approve the acton commits to a plan to sell or exit the business, the sale or exit is probable to occur during the next 12 months at a price or cost that is reasonable in relaton to its current fair value and certain other criteria are met. A business classifed as held for sale is recorded at the lower of its carrying amount or estmated fair value less cost to sell. When the carrying amount of the business exceeds its estmated fair value less cost to sell, a loss is recognized and updated each reportng period as appropriate.</w:t>
      </w:r>
    </w:p>
    <w:p>
      <w:pPr>
        <w:spacing w:after="0" w:line="21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contract for Support.com’s largest customer was not renewed upon expiraton on December 31, 2022. As a result of this material change in the business, management and the board of directors made the determinaton to consider various alternatves for Support.com, including the dispositon of assets. At December 31, 2022, the Company classifed the Support.com business as held for sale and discontnued operatons in the condensed consolidated fnancial statements as a result of its strategic shif to strictly focus on its cryptocurrency datacenter and power generaton operatons.</w:t>
      </w:r>
    </w:p>
    <w:p>
      <w:pPr>
        <w:spacing w:after="0" w:line="233" w:lineRule="exact"/>
        <w:rPr>
          <w:sz w:val="20"/>
          <w:szCs w:val="20"/>
          <w:color w:val="auto"/>
        </w:rPr>
      </w:pPr>
    </w:p>
    <w:p>
      <w:pPr>
        <w:ind w:right="60"/>
        <w:spacing w:after="0" w:line="213" w:lineRule="auto"/>
        <w:rPr>
          <w:sz w:val="20"/>
          <w:szCs w:val="20"/>
          <w:color w:val="auto"/>
        </w:rPr>
      </w:pPr>
      <w:r>
        <w:rPr>
          <w:rFonts w:ascii="Calibri" w:cs="Calibri" w:eastAsia="Calibri" w:hAnsi="Calibri"/>
          <w:sz w:val="18"/>
          <w:szCs w:val="18"/>
          <w:color w:val="auto"/>
        </w:rPr>
        <w:t>In January 2023, Greenidge completed the sale of a porton of the assets of Support.com for net proceeds of approximately $2.6 million. In June 2023, the Company entered into a purchase and sale agreement with third partes in order to sell certain remaining assets and liabilites, including the transfer of remaining customer contracts, for net proceeds of approximately $0.8 million. The Company has ended all Support.com operatons as of December 31, 2023; therefore, the remaining assets and liabilites of Support.com have been presented as current at September 30, 2024 and December 31, 2023. The remaining assets and liabilites consist primarily of remaining prepaid expenses and refundable deposits, payables and accrued expenses associated with the closing of operatons and foreign tax liabilites.</w:t>
      </w:r>
    </w:p>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color w:val="auto"/>
        </w:rPr>
        <w:t>Major classes of assets and liabilites consist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September 30, 2024</w:t>
            </w:r>
          </w:p>
        </w:tc>
        <w:tc>
          <w:tcPr>
            <w:tcW w:w="160" w:type="dxa"/>
            <w:vAlign w:val="bottom"/>
          </w:tcPr>
          <w:p>
            <w:pPr>
              <w:spacing w:after="0"/>
              <w:rPr>
                <w:sz w:val="14"/>
                <w:szCs w:val="14"/>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b w:val="1"/>
                <w:bCs w:val="1"/>
                <w:color w:val="auto"/>
              </w:rPr>
              <w:t>December 31, 2023</w:t>
            </w:r>
          </w:p>
        </w:tc>
      </w:tr>
      <w:tr>
        <w:trPr>
          <w:trHeight w:val="47"/>
        </w:trPr>
        <w:tc>
          <w:tcPr>
            <w:tcW w:w="80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09"/>
        </w:trPr>
        <w:tc>
          <w:tcPr>
            <w:tcW w:w="80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3"/>
        </w:trPr>
        <w:tc>
          <w:tcPr>
            <w:tcW w:w="80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23"/>
        </w:trPr>
        <w:tc>
          <w:tcPr>
            <w:tcW w:w="806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Current assets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57"/>
        </w:trPr>
        <w:tc>
          <w:tcPr>
            <w:tcW w:w="8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8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454</w:t>
            </w:r>
          </w:p>
        </w:tc>
      </w:tr>
      <w:tr>
        <w:trPr>
          <w:trHeight w:val="216"/>
        </w:trPr>
        <w:tc>
          <w:tcPr>
            <w:tcW w:w="8060" w:type="dxa"/>
            <w:vAlign w:val="bottom"/>
          </w:tcPr>
          <w:p>
            <w:pPr>
              <w:ind w:left="20"/>
              <w:spacing w:after="0" w:line="199" w:lineRule="exact"/>
              <w:rPr>
                <w:sz w:val="20"/>
                <w:szCs w:val="20"/>
                <w:color w:val="auto"/>
              </w:rPr>
            </w:pPr>
            <w:r>
              <w:rPr>
                <w:rFonts w:ascii="Calibri" w:cs="Calibri" w:eastAsia="Calibri" w:hAnsi="Calibri"/>
                <w:sz w:val="18"/>
                <w:szCs w:val="18"/>
                <w:color w:val="auto"/>
              </w:rPr>
              <w:t>Long-term assets held for sale</w:t>
            </w:r>
          </w:p>
        </w:tc>
        <w:tc>
          <w:tcPr>
            <w:tcW w:w="12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454</w:t>
            </w:r>
          </w:p>
        </w:tc>
      </w:tr>
      <w:tr>
        <w:trPr>
          <w:trHeight w:val="237"/>
        </w:trPr>
        <w:tc>
          <w:tcPr>
            <w:tcW w:w="80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on classifcaton to held for sale</w:t>
            </w: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(486)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(501)</w:t>
            </w:r>
          </w:p>
        </w:tc>
      </w:tr>
      <w:tr>
        <w:trPr>
          <w:trHeight w:val="223"/>
        </w:trPr>
        <w:tc>
          <w:tcPr>
            <w:tcW w:w="8060" w:type="dxa"/>
            <w:vAlign w:val="bottom"/>
          </w:tcPr>
          <w:p>
            <w:pPr>
              <w:ind w:left="20"/>
              <w:spacing w:after="0"/>
              <w:rPr>
                <w:sz w:val="20"/>
                <w:szCs w:val="20"/>
                <w:color w:val="auto"/>
              </w:rPr>
            </w:pPr>
            <w:r>
              <w:rPr>
                <w:rFonts w:ascii="Calibri" w:cs="Calibri" w:eastAsia="Calibri" w:hAnsi="Calibri"/>
                <w:sz w:val="18"/>
                <w:szCs w:val="18"/>
                <w:color w:val="auto"/>
              </w:rPr>
              <w:t>Assets held for sale</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2"/>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Liabilites: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80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Accounts payable</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w:t>
            </w:r>
          </w:p>
        </w:tc>
      </w:tr>
      <w:tr>
        <w:trPr>
          <w:trHeight w:val="223"/>
        </w:trPr>
        <w:tc>
          <w:tcPr>
            <w:tcW w:w="80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Accrued expenses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462</w:t>
            </w:r>
          </w:p>
        </w:tc>
      </w:tr>
      <w:tr>
        <w:trPr>
          <w:trHeight w:val="255"/>
        </w:trPr>
        <w:tc>
          <w:tcPr>
            <w:tcW w:w="80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Current liabilites held for sale</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color w:val="auto"/>
        </w:rPr>
        <w:t>Financial results from discontnued operatons consist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5"/>
          </w:tcPr>
          <w:p>
            <w:pPr>
              <w:ind w:left="180"/>
              <w:spacing w:after="0"/>
              <w:rPr>
                <w:sz w:val="20"/>
                <w:szCs w:val="20"/>
                <w:color w:val="auto"/>
              </w:rPr>
            </w:pPr>
            <w:r>
              <w:rPr>
                <w:rFonts w:ascii="Calibri" w:cs="Calibri" w:eastAsia="Calibri" w:hAnsi="Calibri"/>
                <w:sz w:val="14"/>
                <w:szCs w:val="14"/>
                <w:b w:val="1"/>
                <w:bCs w:val="1"/>
                <w:color w:val="auto"/>
              </w:rPr>
              <w:t>Three Months Ended September 30,</w:t>
            </w:r>
          </w:p>
        </w:tc>
        <w:tc>
          <w:tcPr>
            <w:tcW w:w="300" w:type="dxa"/>
            <w:vAlign w:val="bottom"/>
          </w:tcPr>
          <w:p>
            <w:pPr>
              <w:spacing w:after="0"/>
              <w:rPr>
                <w:sz w:val="14"/>
                <w:szCs w:val="14"/>
                <w:color w:val="auto"/>
              </w:rPr>
            </w:pPr>
          </w:p>
        </w:tc>
        <w:tc>
          <w:tcPr>
            <w:tcW w:w="2760" w:type="dxa"/>
            <w:vAlign w:val="bottom"/>
            <w:gridSpan w:val="4"/>
          </w:tcPr>
          <w:p>
            <w:pPr>
              <w:jc w:val="right"/>
              <w:ind w:right="392"/>
              <w:spacing w:after="0"/>
              <w:rPr>
                <w:sz w:val="20"/>
                <w:szCs w:val="20"/>
                <w:color w:val="auto"/>
              </w:rPr>
            </w:pPr>
            <w:r>
              <w:rPr>
                <w:rFonts w:ascii="Calibri" w:cs="Calibri" w:eastAsia="Calibri" w:hAnsi="Calibri"/>
                <w:sz w:val="14"/>
                <w:szCs w:val="14"/>
                <w:b w:val="1"/>
                <w:bCs w:val="1"/>
                <w:color w:val="auto"/>
              </w:rPr>
              <w:t>Nine Months Ended September 30,</w:t>
            </w:r>
          </w:p>
        </w:tc>
      </w:tr>
      <w:tr>
        <w:trPr>
          <w:trHeight w:val="203"/>
        </w:trPr>
        <w:tc>
          <w:tcPr>
            <w:tcW w:w="504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280" w:type="dxa"/>
            <w:vAlign w:val="bottom"/>
          </w:tcPr>
          <w:p>
            <w:pPr>
              <w:spacing w:after="0"/>
              <w:rPr>
                <w:sz w:val="17"/>
                <w:szCs w:val="17"/>
                <w:color w:val="auto"/>
              </w:rPr>
            </w:pPr>
          </w:p>
        </w:tc>
        <w:tc>
          <w:tcPr>
            <w:tcW w:w="1200" w:type="dxa"/>
            <w:vAlign w:val="bottom"/>
          </w:tcPr>
          <w:p>
            <w:pPr>
              <w:ind w:left="320"/>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94"/>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50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50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Revenue</w:t>
            </w:r>
          </w:p>
        </w:tc>
        <w:tc>
          <w:tcPr>
            <w:tcW w:w="28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ind w:left="9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4,223</w:t>
            </w:r>
          </w:p>
        </w:tc>
      </w:tr>
      <w:tr>
        <w:trPr>
          <w:trHeight w:val="180"/>
        </w:trPr>
        <w:tc>
          <w:tcPr>
            <w:tcW w:w="5040" w:type="dxa"/>
            <w:vAlign w:val="bottom"/>
          </w:tcPr>
          <w:p>
            <w:pPr>
              <w:ind w:left="20"/>
              <w:spacing w:after="0" w:line="180" w:lineRule="exact"/>
              <w:rPr>
                <w:sz w:val="20"/>
                <w:szCs w:val="20"/>
                <w:color w:val="auto"/>
              </w:rPr>
            </w:pPr>
            <w:r>
              <w:rPr>
                <w:rFonts w:ascii="Calibri" w:cs="Calibri" w:eastAsia="Calibri" w:hAnsi="Calibri"/>
                <w:sz w:val="18"/>
                <w:szCs w:val="18"/>
                <w:color w:val="auto"/>
              </w:rPr>
              <w:t>Cost of revenue - services and other (exclusive of depreciaton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w:t>
            </w:r>
          </w:p>
        </w:tc>
        <w:tc>
          <w:tcPr>
            <w:tcW w:w="280" w:type="dxa"/>
            <w:vAlign w:val="bottom"/>
          </w:tcPr>
          <w:p>
            <w:pPr>
              <w:spacing w:after="0"/>
              <w:rPr>
                <w:sz w:val="18"/>
                <w:szCs w:val="18"/>
                <w:color w:val="auto"/>
              </w:rPr>
            </w:pPr>
          </w:p>
        </w:tc>
        <w:tc>
          <w:tcPr>
            <w:tcW w:w="1280" w:type="dxa"/>
            <w:vAlign w:val="bottom"/>
            <w:gridSpan w:val="2"/>
          </w:tcPr>
          <w:p>
            <w:pPr>
              <w:ind w:left="96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(4,425)</w:t>
            </w:r>
          </w:p>
        </w:tc>
      </w:tr>
      <w:tr>
        <w:trPr>
          <w:trHeight w:val="2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ind w:left="880"/>
              <w:spacing w:after="0" w:line="215" w:lineRule="exact"/>
              <w:rPr>
                <w:sz w:val="20"/>
                <w:szCs w:val="20"/>
                <w:color w:val="auto"/>
              </w:rPr>
            </w:pPr>
            <w:r>
              <w:rPr>
                <w:rFonts w:ascii="Calibri" w:cs="Calibri" w:eastAsia="Calibri" w:hAnsi="Calibri"/>
                <w:sz w:val="18"/>
                <w:szCs w:val="18"/>
                <w:color w:val="auto"/>
              </w:rPr>
              <w:t>(43)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(3,265)</w:t>
            </w:r>
          </w:p>
        </w:tc>
      </w:tr>
      <w:tr>
        <w:trPr>
          <w:trHeight w:val="222"/>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Merger and other costs</w:t>
            </w:r>
          </w:p>
        </w:tc>
        <w:tc>
          <w:tcPr>
            <w:tcW w:w="280" w:type="dxa"/>
            <w:vAlign w:val="bottom"/>
          </w:tcPr>
          <w:p>
            <w:pPr>
              <w:spacing w:after="0"/>
              <w:rPr>
                <w:sz w:val="19"/>
                <w:szCs w:val="19"/>
                <w:color w:val="auto"/>
              </w:rPr>
            </w:pPr>
          </w:p>
        </w:tc>
        <w:tc>
          <w:tcPr>
            <w:tcW w:w="1280" w:type="dxa"/>
            <w:vAlign w:val="bottom"/>
            <w:gridSpan w:val="2"/>
          </w:tcPr>
          <w:p>
            <w:pPr>
              <w:ind w:left="96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(684)</w:t>
            </w:r>
          </w:p>
        </w:tc>
      </w:tr>
      <w:tr>
        <w:trPr>
          <w:trHeight w:val="237"/>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Gain on asset disposal</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6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4,162</w:t>
            </w:r>
          </w:p>
        </w:tc>
      </w:tr>
      <w:tr>
        <w:trPr>
          <w:trHeight w:val="222"/>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Gain (loss) on assets classifed as held for sale</w:t>
            </w:r>
          </w:p>
        </w:tc>
        <w:tc>
          <w:tcPr>
            <w:tcW w:w="280" w:type="dxa"/>
            <w:vAlign w:val="bottom"/>
          </w:tcPr>
          <w:p>
            <w:pPr>
              <w:spacing w:after="0"/>
              <w:rPr>
                <w:sz w:val="19"/>
                <w:szCs w:val="19"/>
                <w:color w:val="auto"/>
              </w:rPr>
            </w:pPr>
          </w:p>
        </w:tc>
        <w:tc>
          <w:tcPr>
            <w:tcW w:w="1280" w:type="dxa"/>
            <w:vAlign w:val="bottom"/>
            <w:gridSpan w:val="2"/>
          </w:tcPr>
          <w:p>
            <w:pPr>
              <w:ind w:left="96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1,135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(600)</w:t>
            </w:r>
          </w:p>
        </w:tc>
      </w:tr>
      <w:tr>
        <w:trPr>
          <w:trHeight w:val="237"/>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(loss), net</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6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w:t>
            </w:r>
          </w:p>
        </w:tc>
      </w:tr>
      <w:tr>
        <w:trPr>
          <w:trHeight w:val="223"/>
        </w:trPr>
        <w:tc>
          <w:tcPr>
            <w:tcW w:w="5040" w:type="dxa"/>
            <w:vAlign w:val="bottom"/>
          </w:tcPr>
          <w:p>
            <w:pPr>
              <w:ind w:left="20"/>
              <w:spacing w:after="0"/>
              <w:rPr>
                <w:sz w:val="20"/>
                <w:szCs w:val="20"/>
                <w:color w:val="auto"/>
              </w:rPr>
            </w:pPr>
            <w:r>
              <w:rPr>
                <w:rFonts w:ascii="Calibri" w:cs="Calibri" w:eastAsia="Calibri" w:hAnsi="Calibri"/>
                <w:sz w:val="18"/>
                <w:szCs w:val="18"/>
                <w:color w:val="auto"/>
              </w:rPr>
              <w:t>Loss from discontnued operatons</w:t>
            </w:r>
          </w:p>
        </w:tc>
        <w:tc>
          <w:tcPr>
            <w:tcW w:w="28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bottom w:val="single" w:sz="8" w:color="auto"/>
            </w:tcBorders>
          </w:tcPr>
          <w:p>
            <w:pPr>
              <w:ind w:left="880"/>
              <w:spacing w:after="0" w:line="215" w:lineRule="exact"/>
              <w:rPr>
                <w:sz w:val="20"/>
                <w:szCs w:val="20"/>
                <w:color w:val="auto"/>
              </w:rPr>
            </w:pPr>
            <w:r>
              <w:rPr>
                <w:rFonts w:ascii="Calibri" w:cs="Calibri" w:eastAsia="Calibri" w:hAnsi="Calibri"/>
                <w:sz w:val="18"/>
                <w:szCs w:val="18"/>
                <w:color w:val="auto"/>
              </w:rPr>
              <w:t>(43)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(696)</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840"/>
        <w:spacing w:after="0" w:line="227" w:lineRule="auto"/>
        <w:rPr>
          <w:sz w:val="20"/>
          <w:szCs w:val="20"/>
          <w:color w:val="auto"/>
        </w:rPr>
      </w:pPr>
      <w:r>
        <w:rPr>
          <w:rFonts w:ascii="Calibri" w:cs="Calibri" w:eastAsia="Calibri" w:hAnsi="Calibri"/>
          <w:sz w:val="18"/>
          <w:szCs w:val="18"/>
          <w:color w:val="auto"/>
        </w:rPr>
        <w:t>The Company’s efectve income tax rate from discontnued operatons for the three months ended September 30, 2024 and 2023 was 0% and 0%, respectvely, and for the nine months ended September 30, 2024 and 2023 was 0% and 0%, respectvely.</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South Carolina Land</w:t>
      </w:r>
    </w:p>
    <w:p>
      <w:pPr>
        <w:ind w:right="320"/>
        <w:spacing w:after="0" w:line="221" w:lineRule="auto"/>
        <w:rPr>
          <w:sz w:val="20"/>
          <w:szCs w:val="20"/>
          <w:color w:val="auto"/>
        </w:rPr>
      </w:pPr>
      <w:r>
        <w:rPr>
          <w:rFonts w:ascii="Calibri" w:cs="Calibri" w:eastAsia="Calibri" w:hAnsi="Calibri"/>
          <w:sz w:val="18"/>
          <w:szCs w:val="18"/>
          <w:color w:val="auto"/>
        </w:rPr>
        <w:t>In September 2024, the Company entered into a leter of intent to sell the remaining land it owns in Spartanburg, South Carolina. The South Carolina land with a carrying value of $7.2 million, is presented as long-term assets held for sale as of September 30,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PROPERTY AND EQUIPMENT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Property and equipment, net consisted of the following at September 30, 2024 and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shd w:val="clear" w:color="auto" w:fill="CCEEFF"/>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860" w:type="dxa"/>
            <w:vAlign w:val="bottom"/>
            <w:shd w:val="clear" w:color="auto" w:fill="CCEEFF"/>
          </w:tcPr>
          <w:p>
            <w:pPr>
              <w:jc w:val="center"/>
              <w:ind w:left="2095"/>
              <w:spacing w:after="0"/>
              <w:rPr>
                <w:sz w:val="20"/>
                <w:szCs w:val="20"/>
                <w:color w:val="auto"/>
              </w:rPr>
            </w:pPr>
            <w:r>
              <w:rPr>
                <w:rFonts w:ascii="Calibri" w:cs="Calibri" w:eastAsia="Calibri" w:hAnsi="Calibri"/>
                <w:sz w:val="14"/>
                <w:szCs w:val="14"/>
                <w:b w:val="1"/>
                <w:bCs w:val="1"/>
                <w:color w:val="auto"/>
              </w:rPr>
              <w:t>Estmated Useful</w:t>
            </w:r>
          </w:p>
        </w:tc>
        <w:tc>
          <w:tcPr>
            <w:tcW w:w="1360" w:type="dxa"/>
            <w:vAlign w:val="bottom"/>
            <w:gridSpan w:val="3"/>
            <w:vMerge w:val="restart"/>
            <w:shd w:val="clear" w:color="auto" w:fill="CCEEFF"/>
          </w:tcPr>
          <w:p>
            <w:pPr>
              <w:ind w:left="40"/>
              <w:spacing w:after="0"/>
              <w:rPr>
                <w:sz w:val="20"/>
                <w:szCs w:val="20"/>
                <w:color w:val="auto"/>
              </w:rPr>
            </w:pPr>
            <w:r>
              <w:rPr>
                <w:rFonts w:ascii="Calibri" w:cs="Calibri" w:eastAsia="Calibri" w:hAnsi="Calibri"/>
                <w:sz w:val="14"/>
                <w:szCs w:val="14"/>
                <w:b w:val="1"/>
                <w:bCs w:val="1"/>
                <w:color w:val="auto"/>
              </w:rPr>
              <w:t>September 30, 2024</w:t>
            </w:r>
          </w:p>
        </w:tc>
        <w:tc>
          <w:tcPr>
            <w:tcW w:w="1240" w:type="dxa"/>
            <w:vAlign w:val="bottom"/>
            <w:gridSpan w:val="2"/>
            <w:vMerge w:val="restart"/>
            <w:shd w:val="clear" w:color="auto" w:fill="CCEEFF"/>
          </w:tcPr>
          <w:p>
            <w:pPr>
              <w:jc w:val="right"/>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vMerge w:val="continue"/>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jc w:val="center"/>
              <w:ind w:left="2095"/>
              <w:spacing w:after="0"/>
              <w:rPr>
                <w:sz w:val="20"/>
                <w:szCs w:val="20"/>
                <w:color w:val="auto"/>
              </w:rPr>
            </w:pPr>
            <w:r>
              <w:rPr>
                <w:rFonts w:ascii="Calibri" w:cs="Calibri" w:eastAsia="Calibri" w:hAnsi="Calibri"/>
                <w:sz w:val="14"/>
                <w:szCs w:val="14"/>
                <w:b w:val="1"/>
                <w:bCs w:val="1"/>
                <w:color w:val="auto"/>
                <w:w w:val="97"/>
              </w:rPr>
              <w:t>Lives</w:t>
            </w:r>
          </w:p>
        </w:tc>
        <w:tc>
          <w:tcPr>
            <w:tcW w:w="1360" w:type="dxa"/>
            <w:vAlign w:val="bottom"/>
            <w:tcBorders>
              <w:bottom w:val="single" w:sz="8" w:color="CCEEFF"/>
            </w:tcBorders>
            <w:gridSpan w:val="3"/>
            <w:vMerge w:val="continue"/>
            <w:shd w:val="clear" w:color="auto" w:fill="CCEEFF"/>
          </w:tcPr>
          <w:p>
            <w:pPr>
              <w:spacing w:after="0"/>
              <w:rPr>
                <w:sz w:val="18"/>
                <w:szCs w:val="18"/>
                <w:color w:val="auto"/>
              </w:rPr>
            </w:pPr>
          </w:p>
        </w:tc>
        <w:tc>
          <w:tcPr>
            <w:tcW w:w="124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199" w:lineRule="exact"/>
              <w:rPr>
                <w:sz w:val="20"/>
                <w:szCs w:val="20"/>
                <w:color w:val="auto"/>
              </w:rPr>
            </w:pPr>
            <w:r>
              <w:rPr>
                <w:rFonts w:ascii="Calibri" w:cs="Calibri" w:eastAsia="Calibri" w:hAnsi="Calibri"/>
                <w:sz w:val="18"/>
                <w:szCs w:val="18"/>
                <w:color w:val="auto"/>
              </w:rPr>
              <w:t>Plant infrastructure</w:t>
            </w:r>
          </w:p>
        </w:tc>
        <w:tc>
          <w:tcPr>
            <w:tcW w:w="3860" w:type="dxa"/>
            <w:vAlign w:val="bottom"/>
          </w:tcPr>
          <w:p>
            <w:pPr>
              <w:jc w:val="center"/>
              <w:ind w:left="2095"/>
              <w:spacing w:after="0" w:line="199" w:lineRule="exact"/>
              <w:rPr>
                <w:sz w:val="20"/>
                <w:szCs w:val="20"/>
                <w:color w:val="auto"/>
              </w:rPr>
            </w:pPr>
            <w:r>
              <w:rPr>
                <w:rFonts w:ascii="Calibri" w:cs="Calibri" w:eastAsia="Calibri" w:hAnsi="Calibri"/>
                <w:sz w:val="18"/>
                <w:szCs w:val="18"/>
                <w:color w:val="auto"/>
                <w:w w:val="97"/>
              </w:rPr>
              <w:t>10 years</w:t>
            </w:r>
          </w:p>
        </w:tc>
        <w:tc>
          <w:tcPr>
            <w:tcW w:w="380" w:type="dxa"/>
            <w:vAlign w:val="bottom"/>
            <w:tcBorders>
              <w:top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6"/>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1,367</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Miners</w:t>
            </w:r>
          </w:p>
        </w:tc>
        <w:tc>
          <w:tcPr>
            <w:tcW w:w="3860" w:type="dxa"/>
            <w:vAlign w:val="bottom"/>
            <w:shd w:val="clear" w:color="auto" w:fill="CCEEFF"/>
          </w:tcPr>
          <w:p>
            <w:pPr>
              <w:jc w:val="center"/>
              <w:ind w:left="2095"/>
              <w:spacing w:after="0"/>
              <w:rPr>
                <w:sz w:val="20"/>
                <w:szCs w:val="20"/>
                <w:color w:val="auto"/>
              </w:rPr>
            </w:pPr>
            <w:r>
              <w:rPr>
                <w:rFonts w:ascii="Calibri" w:cs="Calibri" w:eastAsia="Calibri" w:hAnsi="Calibri"/>
                <w:sz w:val="18"/>
                <w:szCs w:val="18"/>
                <w:color w:val="auto"/>
                <w:w w:val="99"/>
              </w:rPr>
              <w:t>3 years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33,553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32,195</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line="215" w:lineRule="exact"/>
              <w:rPr>
                <w:sz w:val="20"/>
                <w:szCs w:val="20"/>
                <w:color w:val="auto"/>
              </w:rPr>
            </w:pPr>
            <w:r>
              <w:rPr>
                <w:rFonts w:ascii="Calibri" w:cs="Calibri" w:eastAsia="Calibri" w:hAnsi="Calibri"/>
                <w:sz w:val="18"/>
                <w:szCs w:val="18"/>
                <w:color w:val="auto"/>
              </w:rPr>
              <w:t>Miner facility infrastructure</w:t>
            </w:r>
          </w:p>
        </w:tc>
        <w:tc>
          <w:tcPr>
            <w:tcW w:w="3860" w:type="dxa"/>
            <w:vAlign w:val="bottom"/>
          </w:tcPr>
          <w:p>
            <w:pPr>
              <w:jc w:val="center"/>
              <w:ind w:left="2095"/>
              <w:spacing w:after="0" w:line="215" w:lineRule="exact"/>
              <w:rPr>
                <w:sz w:val="20"/>
                <w:szCs w:val="20"/>
                <w:color w:val="auto"/>
              </w:rPr>
            </w:pPr>
            <w:r>
              <w:rPr>
                <w:rFonts w:ascii="Calibri" w:cs="Calibri" w:eastAsia="Calibri" w:hAnsi="Calibri"/>
                <w:sz w:val="18"/>
                <w:szCs w:val="18"/>
                <w:color w:val="auto"/>
                <w:w w:val="97"/>
              </w:rPr>
              <w:t>10 years</w:t>
            </w:r>
          </w:p>
        </w:tc>
        <w:tc>
          <w:tcPr>
            <w:tcW w:w="3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12,705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8,154</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Land</w:t>
            </w:r>
          </w:p>
        </w:tc>
        <w:tc>
          <w:tcPr>
            <w:tcW w:w="3860" w:type="dxa"/>
            <w:vAlign w:val="bottom"/>
            <w:shd w:val="clear" w:color="auto" w:fill="CCEEFF"/>
          </w:tcPr>
          <w:p>
            <w:pPr>
              <w:jc w:val="center"/>
              <w:ind w:left="2095"/>
              <w:spacing w:after="0"/>
              <w:rPr>
                <w:sz w:val="20"/>
                <w:szCs w:val="20"/>
                <w:color w:val="auto"/>
              </w:rPr>
            </w:pPr>
            <w:r>
              <w:rPr>
                <w:rFonts w:ascii="Calibri" w:cs="Calibri" w:eastAsia="Calibri" w:hAnsi="Calibri"/>
                <w:sz w:val="18"/>
                <w:szCs w:val="18"/>
                <w:color w:val="auto"/>
                <w:w w:val="96"/>
              </w:rPr>
              <w:t>N/A</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7,679</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line="215" w:lineRule="exact"/>
              <w:rPr>
                <w:sz w:val="20"/>
                <w:szCs w:val="20"/>
                <w:color w:val="auto"/>
              </w:rPr>
            </w:pPr>
            <w:r>
              <w:rPr>
                <w:rFonts w:ascii="Calibri" w:cs="Calibri" w:eastAsia="Calibri" w:hAnsi="Calibri"/>
                <w:sz w:val="18"/>
                <w:szCs w:val="18"/>
                <w:color w:val="auto"/>
              </w:rPr>
              <w:t>Equipment</w:t>
            </w:r>
          </w:p>
        </w:tc>
        <w:tc>
          <w:tcPr>
            <w:tcW w:w="3860" w:type="dxa"/>
            <w:vAlign w:val="bottom"/>
          </w:tcPr>
          <w:p>
            <w:pPr>
              <w:jc w:val="center"/>
              <w:ind w:left="2095"/>
              <w:spacing w:after="0" w:line="215" w:lineRule="exact"/>
              <w:rPr>
                <w:sz w:val="20"/>
                <w:szCs w:val="20"/>
                <w:color w:val="auto"/>
              </w:rPr>
            </w:pPr>
            <w:r>
              <w:rPr>
                <w:rFonts w:ascii="Calibri" w:cs="Calibri" w:eastAsia="Calibri" w:hAnsi="Calibri"/>
                <w:sz w:val="18"/>
                <w:szCs w:val="18"/>
                <w:color w:val="auto"/>
                <w:w w:val="99"/>
              </w:rPr>
              <w:t>5 years</w:t>
            </w:r>
          </w:p>
        </w:tc>
        <w:tc>
          <w:tcPr>
            <w:tcW w:w="3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Constructon in process</w:t>
            </w:r>
          </w:p>
        </w:tc>
        <w:tc>
          <w:tcPr>
            <w:tcW w:w="3860" w:type="dxa"/>
            <w:vAlign w:val="bottom"/>
            <w:shd w:val="clear" w:color="auto" w:fill="CCEEFF"/>
          </w:tcPr>
          <w:p>
            <w:pPr>
              <w:jc w:val="center"/>
              <w:ind w:left="2095"/>
              <w:spacing w:after="0"/>
              <w:rPr>
                <w:sz w:val="20"/>
                <w:szCs w:val="20"/>
                <w:color w:val="auto"/>
              </w:rPr>
            </w:pPr>
            <w:r>
              <w:rPr>
                <w:rFonts w:ascii="Calibri" w:cs="Calibri" w:eastAsia="Calibri" w:hAnsi="Calibri"/>
                <w:sz w:val="18"/>
                <w:szCs w:val="18"/>
                <w:color w:val="auto"/>
                <w:w w:val="96"/>
              </w:rPr>
              <w:t>N/A</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1,102</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6,229</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50,879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55,669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Less: Accumulated depreciaton</w:t>
            </w:r>
          </w:p>
        </w:tc>
        <w:tc>
          <w:tcPr>
            <w:tcW w:w="38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(20,483)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(10,574)</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30,396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45,095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Total depreciaton expense was $3.4 million and $3.4 million for the three months ended September 30, 2024 and 2023, respectvely and $9.9 million and $10.4 million for the nine months ended September 30, 2024 and 2023, respectvely.</w:t>
      </w:r>
    </w:p>
    <w:p>
      <w:pPr>
        <w:spacing w:after="0" w:line="204" w:lineRule="exact"/>
        <w:rPr>
          <w:sz w:val="20"/>
          <w:szCs w:val="20"/>
          <w:color w:val="auto"/>
        </w:rPr>
      </w:pPr>
    </w:p>
    <w:p>
      <w:pPr>
        <w:ind w:right="200"/>
        <w:spacing w:after="0" w:line="251" w:lineRule="auto"/>
        <w:rPr>
          <w:sz w:val="20"/>
          <w:szCs w:val="20"/>
          <w:color w:val="auto"/>
        </w:rPr>
      </w:pPr>
      <w:r>
        <w:rPr>
          <w:rFonts w:ascii="Calibri" w:cs="Calibri" w:eastAsia="Calibri" w:hAnsi="Calibri"/>
          <w:sz w:val="17"/>
          <w:szCs w:val="17"/>
          <w:color w:val="auto"/>
        </w:rPr>
        <w:t>On January 30, 2023, Greenidge entered into an agreement regarding its 2021 and 2022 Master Equipment Finance Agreements with NYDIG. During the six months ended June 30,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setlement agreement entered into with NYDIG. The Company recognized a gain on the sale of assets of $1.2 million, which relates to the sale of bitcoin miner manufacturer coupons that were transferred as part of the debt restructuring agreement with NYDIG.</w:t>
      </w:r>
    </w:p>
    <w:p>
      <w:pPr>
        <w:spacing w:after="0" w:line="238" w:lineRule="exact"/>
        <w:rPr>
          <w:sz w:val="20"/>
          <w:szCs w:val="20"/>
          <w:color w:val="auto"/>
        </w:rPr>
      </w:pPr>
    </w:p>
    <w:p>
      <w:pPr>
        <w:ind w:right="480"/>
        <w:spacing w:after="0" w:line="227" w:lineRule="auto"/>
        <w:rPr>
          <w:sz w:val="20"/>
          <w:szCs w:val="20"/>
          <w:color w:val="auto"/>
        </w:rPr>
      </w:pPr>
      <w:r>
        <w:rPr>
          <w:rFonts w:ascii="Calibri" w:cs="Calibri" w:eastAsia="Calibri" w:hAnsi="Calibri"/>
          <w:sz w:val="18"/>
          <w:szCs w:val="18"/>
          <w:color w:val="auto"/>
        </w:rPr>
        <w:t>During the three months ended September 30, 2024, Greenidge sold constructon in process assets with a carrying value of $3.3 million for proceeds of $2.6 million resultng in a loss on the sale of assets of $0.7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b w:val="1"/>
          <w:bCs w:val="1"/>
          <w:color w:val="auto"/>
        </w:rPr>
        <w:t>5. DEBT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on the Company’s debt agreements: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ind w:left="700"/>
              <w:spacing w:after="0"/>
              <w:rPr>
                <w:sz w:val="20"/>
                <w:szCs w:val="20"/>
                <w:color w:val="auto"/>
              </w:rPr>
            </w:pPr>
            <w:r>
              <w:rPr>
                <w:rFonts w:ascii="Calibri" w:cs="Calibri" w:eastAsia="Calibri" w:hAnsi="Calibri"/>
                <w:sz w:val="14"/>
                <w:szCs w:val="14"/>
                <w:b w:val="1"/>
                <w:bCs w:val="1"/>
                <w:color w:val="auto"/>
              </w:rPr>
              <w:t>Balance as of:</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100" w:type="dxa"/>
            <w:vAlign w:val="bottom"/>
            <w:vMerge w:val="restart"/>
            <w:shd w:val="clear" w:color="auto" w:fill="CCEEFF"/>
          </w:tcPr>
          <w:p>
            <w:pPr>
              <w:ind w:left="1040"/>
              <w:spacing w:after="0"/>
              <w:rPr>
                <w:sz w:val="20"/>
                <w:szCs w:val="20"/>
                <w:color w:val="auto"/>
              </w:rPr>
            </w:pPr>
            <w:r>
              <w:rPr>
                <w:rFonts w:ascii="Calibri" w:cs="Calibri" w:eastAsia="Calibri" w:hAnsi="Calibri"/>
                <w:sz w:val="14"/>
                <w:szCs w:val="14"/>
                <w:b w:val="1"/>
                <w:bCs w:val="1"/>
                <w:color w:val="auto"/>
              </w:rPr>
              <w:t>Note</w:t>
            </w:r>
          </w:p>
        </w:tc>
        <w:tc>
          <w:tcPr>
            <w:tcW w:w="2020" w:type="dxa"/>
            <w:vAlign w:val="bottom"/>
            <w:vMerge w:val="restart"/>
            <w:shd w:val="clear" w:color="auto" w:fill="CCEEFF"/>
          </w:tcPr>
          <w:p>
            <w:pPr>
              <w:ind w:left="880"/>
              <w:spacing w:after="0"/>
              <w:rPr>
                <w:sz w:val="20"/>
                <w:szCs w:val="20"/>
                <w:color w:val="auto"/>
              </w:rPr>
            </w:pPr>
            <w:r>
              <w:rPr>
                <w:rFonts w:ascii="Calibri" w:cs="Calibri" w:eastAsia="Calibri" w:hAnsi="Calibri"/>
                <w:sz w:val="14"/>
                <w:szCs w:val="14"/>
                <w:b w:val="1"/>
                <w:bCs w:val="1"/>
                <w:color w:val="auto"/>
              </w:rPr>
              <w:t>Loan Date</w:t>
            </w:r>
          </w:p>
        </w:tc>
        <w:tc>
          <w:tcPr>
            <w:tcW w:w="1760" w:type="dxa"/>
            <w:vAlign w:val="bottom"/>
            <w:vMerge w:val="restart"/>
            <w:shd w:val="clear" w:color="auto" w:fill="CCEEFF"/>
          </w:tcPr>
          <w:p>
            <w:pPr>
              <w:ind w:left="460"/>
              <w:spacing w:after="0"/>
              <w:rPr>
                <w:sz w:val="20"/>
                <w:szCs w:val="20"/>
                <w:color w:val="auto"/>
              </w:rPr>
            </w:pPr>
            <w:r>
              <w:rPr>
                <w:rFonts w:ascii="Calibri" w:cs="Calibri" w:eastAsia="Calibri" w:hAnsi="Calibri"/>
                <w:sz w:val="14"/>
                <w:szCs w:val="14"/>
                <w:b w:val="1"/>
                <w:bCs w:val="1"/>
                <w:color w:val="auto"/>
              </w:rPr>
              <w:t>Maturity Date</w:t>
            </w:r>
          </w:p>
        </w:tc>
        <w:tc>
          <w:tcPr>
            <w:tcW w:w="940" w:type="dxa"/>
            <w:vAlign w:val="bottom"/>
            <w:shd w:val="clear" w:color="auto" w:fill="CCEEFF"/>
          </w:tcPr>
          <w:p>
            <w:pPr>
              <w:jc w:val="center"/>
              <w:ind w:left="368"/>
              <w:spacing w:after="0" w:line="134" w:lineRule="exact"/>
              <w:rPr>
                <w:sz w:val="20"/>
                <w:szCs w:val="20"/>
                <w:color w:val="auto"/>
              </w:rPr>
            </w:pPr>
            <w:r>
              <w:rPr>
                <w:rFonts w:ascii="Calibri" w:cs="Calibri" w:eastAsia="Calibri" w:hAnsi="Calibri"/>
                <w:sz w:val="14"/>
                <w:szCs w:val="14"/>
                <w:b w:val="1"/>
                <w:bCs w:val="1"/>
                <w:color w:val="auto"/>
              </w:rPr>
              <w:t>Interest</w:t>
            </w:r>
          </w:p>
        </w:tc>
        <w:tc>
          <w:tcPr>
            <w:tcW w:w="6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19"/>
              <w:spacing w:after="0"/>
              <w:rPr>
                <w:sz w:val="20"/>
                <w:szCs w:val="20"/>
                <w:color w:val="auto"/>
              </w:rPr>
            </w:pPr>
            <w:r>
              <w:rPr>
                <w:rFonts w:ascii="Calibri" w:cs="Calibri" w:eastAsia="Calibri" w:hAnsi="Calibri"/>
                <w:sz w:val="14"/>
                <w:szCs w:val="14"/>
                <w:b w:val="1"/>
                <w:bCs w:val="1"/>
                <w:color w:val="auto"/>
              </w:rPr>
              <w:t>Amount Financed</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4" w:lineRule="exact"/>
              <w:rPr>
                <w:sz w:val="20"/>
                <w:szCs w:val="20"/>
                <w:color w:val="auto"/>
              </w:rPr>
            </w:pPr>
            <w:r>
              <w:rPr>
                <w:rFonts w:ascii="Calibri" w:cs="Calibri" w:eastAsia="Calibri" w:hAnsi="Calibri"/>
                <w:sz w:val="14"/>
                <w:szCs w:val="14"/>
                <w:b w:val="1"/>
                <w:bCs w:val="1"/>
                <w:color w:val="auto"/>
              </w:rPr>
              <w:t>September 30,</w:t>
            </w:r>
          </w:p>
        </w:tc>
        <w:tc>
          <w:tcPr>
            <w:tcW w:w="1220" w:type="dxa"/>
            <w:vAlign w:val="bottom"/>
            <w:gridSpan w:val="2"/>
            <w:vMerge w:val="restart"/>
            <w:shd w:val="clear" w:color="auto" w:fill="CCEEFF"/>
          </w:tcPr>
          <w:p>
            <w:pPr>
              <w:ind w:left="40"/>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vMerge w:val="continue"/>
            <w:shd w:val="clear" w:color="auto" w:fill="CCEEFF"/>
          </w:tcPr>
          <w:p>
            <w:pPr>
              <w:spacing w:after="0"/>
              <w:rPr>
                <w:sz w:val="15"/>
                <w:szCs w:val="15"/>
                <w:color w:val="auto"/>
              </w:rPr>
            </w:pPr>
          </w:p>
        </w:tc>
        <w:tc>
          <w:tcPr>
            <w:tcW w:w="2020" w:type="dxa"/>
            <w:vAlign w:val="bottom"/>
            <w:tcBorders>
              <w:bottom w:val="single" w:sz="8" w:color="CCEEFF"/>
            </w:tcBorders>
            <w:vMerge w:val="continue"/>
            <w:shd w:val="clear" w:color="auto" w:fill="CCEEFF"/>
          </w:tcPr>
          <w:p>
            <w:pPr>
              <w:spacing w:after="0"/>
              <w:rPr>
                <w:sz w:val="15"/>
                <w:szCs w:val="15"/>
                <w:color w:val="auto"/>
              </w:rPr>
            </w:pPr>
          </w:p>
        </w:tc>
        <w:tc>
          <w:tcPr>
            <w:tcW w:w="1760" w:type="dxa"/>
            <w:vAlign w:val="bottom"/>
            <w:tcBorders>
              <w:bottom w:val="single" w:sz="8" w:color="CCEEFF"/>
            </w:tcBorders>
            <w:vMerge w:val="continue"/>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ind w:left="388"/>
              <w:spacing w:after="0"/>
              <w:rPr>
                <w:sz w:val="20"/>
                <w:szCs w:val="20"/>
                <w:color w:val="auto"/>
              </w:rPr>
            </w:pPr>
            <w:r>
              <w:rPr>
                <w:rFonts w:ascii="Calibri" w:cs="Calibri" w:eastAsia="Calibri" w:hAnsi="Calibri"/>
                <w:sz w:val="14"/>
                <w:szCs w:val="14"/>
                <w:b w:val="1"/>
                <w:bCs w:val="1"/>
                <w:color w:val="auto"/>
              </w:rPr>
              <w:t>Rate</w:t>
            </w:r>
          </w:p>
        </w:tc>
        <w:tc>
          <w:tcPr>
            <w:tcW w:w="6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96"/>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020" w:type="dxa"/>
            <w:vAlign w:val="bottom"/>
          </w:tcPr>
          <w:p>
            <w:pPr>
              <w:ind w:left="360"/>
              <w:spacing w:after="0" w:line="166" w:lineRule="exact"/>
              <w:rPr>
                <w:sz w:val="20"/>
                <w:szCs w:val="20"/>
                <w:color w:val="auto"/>
              </w:rPr>
            </w:pPr>
            <w:r>
              <w:rPr>
                <w:rFonts w:ascii="Calibri" w:cs="Calibri" w:eastAsia="Calibri" w:hAnsi="Calibri"/>
                <w:sz w:val="18"/>
                <w:szCs w:val="18"/>
                <w:color w:val="auto"/>
              </w:rPr>
              <w:t>October</w:t>
            </w: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100" w:type="dxa"/>
            <w:vAlign w:val="bottom"/>
          </w:tcPr>
          <w:p>
            <w:pPr>
              <w:ind w:left="20"/>
              <w:spacing w:after="0"/>
              <w:rPr>
                <w:sz w:val="20"/>
                <w:szCs w:val="20"/>
                <w:color w:val="auto"/>
              </w:rPr>
            </w:pPr>
            <w:r>
              <w:rPr>
                <w:rFonts w:ascii="Calibri" w:cs="Calibri" w:eastAsia="Calibri" w:hAnsi="Calibri"/>
                <w:sz w:val="18"/>
                <w:szCs w:val="18"/>
                <w:color w:val="auto"/>
              </w:rPr>
              <w:t>Senior Unsecured Notes</w:t>
            </w:r>
          </w:p>
        </w:tc>
        <w:tc>
          <w:tcPr>
            <w:tcW w:w="2020" w:type="dxa"/>
            <w:vAlign w:val="bottom"/>
          </w:tcPr>
          <w:p>
            <w:pPr>
              <w:ind w:left="360"/>
              <w:spacing w:after="0" w:line="215" w:lineRule="exact"/>
              <w:rPr>
                <w:sz w:val="20"/>
                <w:szCs w:val="20"/>
                <w:color w:val="auto"/>
              </w:rPr>
            </w:pPr>
            <w:r>
              <w:rPr>
                <w:rFonts w:ascii="Calibri" w:cs="Calibri" w:eastAsia="Calibri" w:hAnsi="Calibri"/>
                <w:sz w:val="18"/>
                <w:szCs w:val="18"/>
                <w:color w:val="auto"/>
              </w:rPr>
              <w:t>2021/December 2021</w:t>
            </w:r>
          </w:p>
        </w:tc>
        <w:tc>
          <w:tcPr>
            <w:tcW w:w="1760" w:type="dxa"/>
            <w:vAlign w:val="bottom"/>
          </w:tcPr>
          <w:p>
            <w:pPr>
              <w:ind w:left="100"/>
              <w:spacing w:after="0"/>
              <w:rPr>
                <w:sz w:val="20"/>
                <w:szCs w:val="20"/>
                <w:color w:val="auto"/>
              </w:rPr>
            </w:pPr>
            <w:r>
              <w:rPr>
                <w:rFonts w:ascii="Calibri" w:cs="Calibri" w:eastAsia="Calibri" w:hAnsi="Calibri"/>
                <w:sz w:val="18"/>
                <w:szCs w:val="18"/>
                <w:color w:val="auto"/>
              </w:rPr>
              <w:t>October 2026</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8.5 %  $</w:t>
            </w:r>
          </w:p>
        </w:tc>
        <w:tc>
          <w:tcPr>
            <w:tcW w:w="1260" w:type="dxa"/>
            <w:vAlign w:val="bottom"/>
          </w:tcPr>
          <w:p>
            <w:pPr>
              <w:jc w:val="right"/>
              <w:ind w:right="79"/>
              <w:spacing w:after="0"/>
              <w:rPr>
                <w:sz w:val="20"/>
                <w:szCs w:val="20"/>
                <w:color w:val="auto"/>
              </w:rPr>
            </w:pPr>
            <w:r>
              <w:rPr>
                <w:rFonts w:ascii="Calibri" w:cs="Calibri" w:eastAsia="Calibri" w:hAnsi="Calibri"/>
                <w:sz w:val="18"/>
                <w:szCs w:val="18"/>
                <w:color w:val="auto"/>
              </w:rPr>
              <w:t>72,200</w:t>
            </w:r>
          </w:p>
        </w:tc>
        <w:tc>
          <w:tcPr>
            <w:tcW w:w="14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72,200</w:t>
            </w:r>
          </w:p>
        </w:tc>
        <w:tc>
          <w:tcPr>
            <w:tcW w:w="8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72,200</w:t>
            </w:r>
          </w:p>
        </w:tc>
        <w:tc>
          <w:tcPr>
            <w:tcW w:w="0" w:type="dxa"/>
            <w:vAlign w:val="bottom"/>
          </w:tcPr>
          <w:p>
            <w:pPr>
              <w:spacing w:after="0"/>
              <w:rPr>
                <w:sz w:val="1"/>
                <w:szCs w:val="1"/>
                <w:color w:val="auto"/>
              </w:rPr>
            </w:pPr>
          </w:p>
        </w:tc>
      </w:tr>
      <w:tr>
        <w:trPr>
          <w:trHeight w:val="23"/>
        </w:trPr>
        <w:tc>
          <w:tcPr>
            <w:tcW w:w="2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Total Debt</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72,200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72,200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Less: Debt discount and issue costs</w:t>
            </w:r>
          </w:p>
        </w:tc>
        <w:tc>
          <w:tcPr>
            <w:tcW w:w="17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(2,665)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(3,490)</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debt at book value</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69,535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68,710</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Less: Current porton</w:t>
            </w:r>
          </w:p>
        </w:tc>
        <w:tc>
          <w:tcPr>
            <w:tcW w:w="2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4"/>
        </w:trPr>
        <w:tc>
          <w:tcPr>
            <w:tcW w:w="5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Calibri" w:cs="Calibri" w:eastAsia="Calibri" w:hAnsi="Calibri"/>
                <w:sz w:val="18"/>
                <w:szCs w:val="18"/>
                <w:color w:val="auto"/>
              </w:rPr>
              <w:t>Long-term debt, net of current porton and deferred fnancing fees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69,535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68,710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color w:val="auto"/>
        </w:rPr>
        <w:t>The Company incurred interest expense of $1.8 million and $3.0 million during the three months ended September 30, 2024 and 2023, respectvely, under the terms of these notes payable. The Company incurred interest expense of $5.4 million and $9.7 million during the nine months ended September 30, 2024 and 2023, respectvely, under the terms of these notes payable and other fnancings that were extnguished during the year ended December 31, 2023.</w:t>
      </w:r>
    </w:p>
    <w:p>
      <w:pPr>
        <w:spacing w:after="0" w:line="3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Senior Unsecured Notes</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During the fourth quarter of 2021, the Company sold $72.2 million of 8.50% Senior Notes due October 2026 (the "Notes") pursuant to the Company’s registraton statement on Form S-1. Interest on the Notes is payable quarterly in arrears on January 31, April 30, July 31 and October 31 of each year to the holders of record at the close of business on the immediately preceding January 15, April 15, July 15 and October 15, respectvely. The Notes are senior unsecured obligatons of the Company and rank equal in right of payment with the Company’s existng and future senior unsecured indebtedness. The Notes trade on the Nasdaq Global Select Market under the symbol "GREEL."</w:t>
      </w:r>
    </w:p>
    <w:p>
      <w:pPr>
        <w:spacing w:after="0" w:line="220"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The Company may redeem the Notes for cash in whole or in part at any tme (i) on or afer October 31, 2023 and prior to October 31, 2024, at a price equal to 102% of their principal amount, plus accrued and unpaid interest to, but excluding, the date of redempton, (ii) on or afer October 31, 2024 and prior to October 31, 2025, at a price equal to 101% of their principal amount, plus accrued and unpaid interest to, but excluding, the date of redempton, and (iii) on or afer October 31, 2025 and prior to maturity, at a price equal to 100% of their principal amount, plus accrued and unpaid interest to, but excluding, the date of redempton. In additon, the Company may redeem the Notes, in whole, but not in part, at any tme at its opton, at a redempton price equal to</w:t>
      </w:r>
    </w:p>
    <w:p>
      <w:pPr>
        <w:spacing w:after="0" w:line="3"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100.5% of the principal amount plus accrued and unpaid interest to, but not including, the date of redempton, upon the occurrence of certain change of control events.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60" w:type="dxa"/>
            <w:vAlign w:val="bottom"/>
          </w:tcPr>
          <w:p>
            <w:pPr>
              <w:spacing w:after="0"/>
              <w:rPr>
                <w:sz w:val="20"/>
                <w:szCs w:val="20"/>
                <w:color w:val="auto"/>
              </w:rPr>
            </w:pPr>
            <w:r>
              <w:rPr>
                <w:rFonts w:ascii="Calibri" w:cs="Calibri" w:eastAsia="Calibri" w:hAnsi="Calibri"/>
                <w:sz w:val="18"/>
                <w:szCs w:val="18"/>
                <w:b w:val="1"/>
                <w:bCs w:val="1"/>
                <w:color w:val="auto"/>
              </w:rPr>
              <w:t>Minimum Future Principal Payments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8"/>
        </w:trPr>
        <w:tc>
          <w:tcPr>
            <w:tcW w:w="9760" w:type="dxa"/>
            <w:vAlign w:val="bottom"/>
          </w:tcPr>
          <w:p>
            <w:pPr>
              <w:spacing w:after="0"/>
              <w:rPr>
                <w:sz w:val="20"/>
                <w:szCs w:val="20"/>
                <w:color w:val="auto"/>
              </w:rPr>
            </w:pPr>
            <w:r>
              <w:rPr>
                <w:rFonts w:ascii="Calibri" w:cs="Calibri" w:eastAsia="Calibri" w:hAnsi="Calibri"/>
                <w:sz w:val="18"/>
                <w:szCs w:val="18"/>
                <w:color w:val="auto"/>
              </w:rPr>
              <w:t>Minimum future principal payments on debt at September 30, 2024 were as follows: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9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9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 in thousands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2"/>
        </w:trPr>
        <w:tc>
          <w:tcPr>
            <w:tcW w:w="9760" w:type="dxa"/>
            <w:vAlign w:val="bottom"/>
          </w:tcPr>
          <w:p>
            <w:pPr>
              <w:ind w:left="20"/>
              <w:spacing w:after="0" w:line="215" w:lineRule="exact"/>
              <w:rPr>
                <w:sz w:val="20"/>
                <w:szCs w:val="20"/>
                <w:color w:val="auto"/>
              </w:rPr>
            </w:pPr>
            <w:r>
              <w:rPr>
                <w:rFonts w:ascii="Calibri" w:cs="Calibri" w:eastAsia="Calibri" w:hAnsi="Calibri"/>
                <w:sz w:val="18"/>
                <w:szCs w:val="18"/>
                <w:color w:val="auto"/>
              </w:rPr>
              <w:t>Remainder of 2024</w:t>
            </w:r>
          </w:p>
        </w:tc>
        <w:tc>
          <w:tcPr>
            <w:tcW w:w="52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9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2025</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976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5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72,200</w:t>
            </w:r>
          </w:p>
        </w:tc>
      </w:tr>
      <w:tr>
        <w:trPr>
          <w:trHeight w:val="237"/>
        </w:trPr>
        <w:tc>
          <w:tcPr>
            <w:tcW w:w="9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97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2028</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5"/>
        </w:trPr>
        <w:tc>
          <w:tcPr>
            <w:tcW w:w="97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52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72,200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Fair Value Disclosure</w:t>
      </w:r>
    </w:p>
    <w:p>
      <w:pPr>
        <w:spacing w:after="0" w:line="109" w:lineRule="exact"/>
        <w:rPr>
          <w:sz w:val="20"/>
          <w:szCs w:val="20"/>
          <w:color w:val="auto"/>
        </w:rPr>
      </w:pPr>
    </w:p>
    <w:p>
      <w:pPr>
        <w:ind w:right="820"/>
        <w:spacing w:after="0" w:line="235" w:lineRule="auto"/>
        <w:rPr>
          <w:sz w:val="20"/>
          <w:szCs w:val="20"/>
          <w:color w:val="auto"/>
        </w:rPr>
      </w:pPr>
      <w:r>
        <w:rPr>
          <w:rFonts w:ascii="Calibri" w:cs="Calibri" w:eastAsia="Calibri" w:hAnsi="Calibri"/>
          <w:sz w:val="18"/>
          <w:szCs w:val="18"/>
          <w:color w:val="auto"/>
        </w:rPr>
        <w:t>The notonal value and estmated fair value of the Company’s debt totaled $72.2 million and $25.6 million, respectvely at September 30, 2024 and $72.2 million and $29.3 million, respectvely at December 31, 2023. The notonal value does not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ind w:right="480"/>
        <w:spacing w:after="0" w:line="235" w:lineRule="auto"/>
        <w:rPr>
          <w:sz w:val="20"/>
          <w:szCs w:val="20"/>
          <w:color w:val="auto"/>
        </w:rPr>
      </w:pPr>
      <w:r>
        <w:rPr>
          <w:rFonts w:ascii="Calibri" w:cs="Calibri" w:eastAsia="Calibri" w:hAnsi="Calibri"/>
          <w:sz w:val="18"/>
          <w:szCs w:val="18"/>
          <w:color w:val="auto"/>
        </w:rPr>
        <w:t>include unamortzed discounts on debt issuance costs of $2.7 million and $3.5 million at September 30, 2024 and December 31, 2023, respectvely. The estmated fair value of the senior unsecured notes, representng the fair value of the Company's 8.50% senior secured notes due October 2026, was measured using quoted market prices at the reportng date. Such instruments were valued using Level 1 inputs.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EARNINGS PER SHARE</w:t>
      </w:r>
    </w:p>
    <w:p>
      <w:pPr>
        <w:spacing w:after="0" w:line="21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Company calculates basic earnings per share by dividing the net income (loss) by the weighted average number of shares of common stock outstanding for the period. The diluted earnings (loss) per share is computed by assuming the exercise, setlement, and vestng of all potental dilutve common stock equivalents outstanding for the period using the treasury stock method.</w:t>
      </w:r>
    </w:p>
    <w:p>
      <w:pPr>
        <w:spacing w:after="0" w:line="21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table sets forth a reconciliaton of the numerator and denominator used to compute basic earnings and diluted per share of common stock (in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140" w:type="dxa"/>
            <w:vAlign w:val="bottom"/>
            <w:gridSpan w:val="6"/>
          </w:tcPr>
          <w:p>
            <w:pPr>
              <w:ind w:left="440"/>
              <w:spacing w:after="0"/>
              <w:rPr>
                <w:sz w:val="20"/>
                <w:szCs w:val="20"/>
                <w:color w:val="auto"/>
              </w:rPr>
            </w:pPr>
            <w:r>
              <w:rPr>
                <w:rFonts w:ascii="Calibri" w:cs="Calibri" w:eastAsia="Calibri" w:hAnsi="Calibri"/>
                <w:sz w:val="14"/>
                <w:szCs w:val="14"/>
                <w:b w:val="1"/>
                <w:bCs w:val="1"/>
                <w:color w:val="auto"/>
              </w:rPr>
              <w:t>Three Months Ended September 30,</w:t>
            </w:r>
          </w:p>
        </w:tc>
        <w:tc>
          <w:tcPr>
            <w:tcW w:w="300" w:type="dxa"/>
            <w:vAlign w:val="bottom"/>
          </w:tcPr>
          <w:p>
            <w:pPr>
              <w:spacing w:after="0"/>
              <w:rPr>
                <w:sz w:val="14"/>
                <w:szCs w:val="14"/>
                <w:color w:val="auto"/>
              </w:rPr>
            </w:pPr>
          </w:p>
        </w:tc>
        <w:tc>
          <w:tcPr>
            <w:tcW w:w="2760" w:type="dxa"/>
            <w:vAlign w:val="bottom"/>
            <w:gridSpan w:val="4"/>
          </w:tcPr>
          <w:p>
            <w:pPr>
              <w:jc w:val="right"/>
              <w:ind w:right="392"/>
              <w:spacing w:after="0"/>
              <w:rPr>
                <w:sz w:val="20"/>
                <w:szCs w:val="20"/>
                <w:color w:val="auto"/>
              </w:rPr>
            </w:pPr>
            <w:r>
              <w:rPr>
                <w:rFonts w:ascii="Calibri" w:cs="Calibri" w:eastAsia="Calibri" w:hAnsi="Calibri"/>
                <w:sz w:val="14"/>
                <w:szCs w:val="14"/>
                <w:b w:val="1"/>
                <w:bCs w:val="1"/>
                <w:color w:val="auto"/>
              </w:rPr>
              <w:t>Nine Months Ended September 30,</w:t>
            </w:r>
          </w:p>
        </w:tc>
      </w:tr>
      <w:tr>
        <w:trPr>
          <w:trHeight w:val="203"/>
        </w:trPr>
        <w:tc>
          <w:tcPr>
            <w:tcW w:w="5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5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9"/>
        </w:trPr>
        <w:tc>
          <w:tcPr>
            <w:tcW w:w="50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Numerator</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040" w:type="dxa"/>
            <w:vAlign w:val="bottom"/>
          </w:tcPr>
          <w:p>
            <w:pPr>
              <w:ind w:left="240"/>
              <w:spacing w:after="0" w:line="215" w:lineRule="exact"/>
              <w:rPr>
                <w:sz w:val="20"/>
                <w:szCs w:val="20"/>
                <w:color w:val="auto"/>
              </w:rPr>
            </w:pPr>
            <w:r>
              <w:rPr>
                <w:rFonts w:ascii="Calibri" w:cs="Calibri" w:eastAsia="Calibri" w:hAnsi="Calibri"/>
                <w:sz w:val="18"/>
                <w:szCs w:val="18"/>
                <w:color w:val="auto"/>
              </w:rPr>
              <w:t>Net loss from contnuing operatons</w:t>
            </w:r>
          </w:p>
        </w:tc>
        <w:tc>
          <w:tcPr>
            <w:tcW w:w="900" w:type="dxa"/>
            <w:vAlign w:val="bottom"/>
          </w:tcPr>
          <w:p>
            <w:pPr>
              <w:jc w:val="right"/>
              <w:ind w:right="696"/>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(6,324)</w:t>
            </w:r>
          </w:p>
        </w:tc>
        <w:tc>
          <w:tcPr>
            <w:tcW w:w="8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(13,161)</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(15,867)</w:t>
            </w:r>
          </w:p>
        </w:tc>
        <w:tc>
          <w:tcPr>
            <w:tcW w:w="100" w:type="dxa"/>
            <w:vAlign w:val="bottom"/>
          </w:tcPr>
          <w:p>
            <w:pPr>
              <w:spacing w:after="0"/>
              <w:rPr>
                <w:sz w:val="19"/>
                <w:szCs w:val="19"/>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(31,756)</w:t>
            </w:r>
          </w:p>
        </w:tc>
      </w:tr>
      <w:tr>
        <w:trPr>
          <w:trHeight w:val="230"/>
        </w:trPr>
        <w:tc>
          <w:tcPr>
            <w:tcW w:w="50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Loss from discontnued operatons, net of tax</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(1,078)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(696)</w:t>
            </w:r>
          </w:p>
        </w:tc>
      </w:tr>
      <w:tr>
        <w:trPr>
          <w:trHeight w:val="230"/>
        </w:trPr>
        <w:tc>
          <w:tcPr>
            <w:tcW w:w="5040" w:type="dxa"/>
            <w:vAlign w:val="bottom"/>
          </w:tcPr>
          <w:p>
            <w:pPr>
              <w:ind w:left="240"/>
              <w:spacing w:after="0"/>
              <w:rPr>
                <w:sz w:val="20"/>
                <w:szCs w:val="20"/>
                <w:color w:val="auto"/>
              </w:rPr>
            </w:pPr>
            <w:r>
              <w:rPr>
                <w:rFonts w:ascii="Calibri" w:cs="Calibri" w:eastAsia="Calibri" w:hAnsi="Calibri"/>
                <w:sz w:val="18"/>
                <w:szCs w:val="18"/>
                <w:color w:val="auto"/>
              </w:rPr>
              <w:t>Net loss</w:t>
            </w:r>
          </w:p>
        </w:tc>
        <w:tc>
          <w:tcPr>
            <w:tcW w:w="900" w:type="dxa"/>
            <w:vAlign w:val="bottom"/>
            <w:tcBorders>
              <w:bottom w:val="single" w:sz="8" w:color="auto"/>
            </w:tcBorders>
          </w:tcPr>
          <w:p>
            <w:pPr>
              <w:jc w:val="right"/>
              <w:ind w:right="696"/>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(6,367)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(15,879)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(32,452)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Denominator</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5040" w:type="dxa"/>
            <w:vAlign w:val="bottom"/>
          </w:tcPr>
          <w:p>
            <w:pPr>
              <w:ind w:left="240"/>
              <w:spacing w:after="0" w:line="215" w:lineRule="exact"/>
              <w:rPr>
                <w:sz w:val="20"/>
                <w:szCs w:val="20"/>
                <w:color w:val="auto"/>
              </w:rPr>
            </w:pPr>
            <w:r>
              <w:rPr>
                <w:rFonts w:ascii="Calibri" w:cs="Calibri" w:eastAsia="Calibri" w:hAnsi="Calibri"/>
                <w:sz w:val="18"/>
                <w:szCs w:val="18"/>
                <w:color w:val="auto"/>
              </w:rPr>
              <w:t>Basic weighted average shares outstanding</w:t>
            </w:r>
          </w:p>
        </w:tc>
        <w:tc>
          <w:tcPr>
            <w:tcW w:w="90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10,652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10,040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6,341</w:t>
            </w:r>
          </w:p>
        </w:tc>
      </w:tr>
      <w:tr>
        <w:trPr>
          <w:trHeight w:val="230"/>
        </w:trPr>
        <w:tc>
          <w:tcPr>
            <w:tcW w:w="50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Efect of dilutve securites</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5040" w:type="dxa"/>
            <w:vAlign w:val="bottom"/>
          </w:tcPr>
          <w:p>
            <w:pPr>
              <w:ind w:left="240"/>
              <w:spacing w:after="0"/>
              <w:rPr>
                <w:sz w:val="20"/>
                <w:szCs w:val="20"/>
                <w:color w:val="auto"/>
              </w:rPr>
            </w:pPr>
            <w:r>
              <w:rPr>
                <w:rFonts w:ascii="Calibri" w:cs="Calibri" w:eastAsia="Calibri" w:hAnsi="Calibri"/>
                <w:sz w:val="18"/>
                <w:szCs w:val="18"/>
                <w:color w:val="auto"/>
              </w:rPr>
              <w:t>Diluted weighted average shares outstanding</w:t>
            </w:r>
          </w:p>
        </w:tc>
        <w:tc>
          <w:tcPr>
            <w:tcW w:w="9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9"/>
              </w:rPr>
              <w:t>10,652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6,341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2"/>
        </w:trPr>
        <w:tc>
          <w:tcPr>
            <w:tcW w:w="50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Net (loss) income per share, basic and diluted:</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50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Net loss per share from contnuing operatons, basic and diluted</w:t>
            </w:r>
          </w:p>
        </w:tc>
        <w:tc>
          <w:tcPr>
            <w:tcW w:w="900" w:type="dxa"/>
            <w:vAlign w:val="bottom"/>
            <w:shd w:val="clear" w:color="auto" w:fill="CCEEFF"/>
          </w:tcPr>
          <w:p>
            <w:pPr>
              <w:jc w:val="right"/>
              <w:ind w:right="696"/>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(5.01)</w:t>
            </w:r>
          </w:p>
        </w:tc>
      </w:tr>
      <w:tr>
        <w:trPr>
          <w:trHeight w:val="223"/>
        </w:trPr>
        <w:tc>
          <w:tcPr>
            <w:tcW w:w="504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Loss per share from discontnued operatons, basic and diluted</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(0.11)</w:t>
            </w: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per share, basic and diluted</w:t>
            </w:r>
          </w:p>
        </w:tc>
        <w:tc>
          <w:tcPr>
            <w:tcW w:w="900" w:type="dxa"/>
            <w:vAlign w:val="bottom"/>
            <w:tcBorders>
              <w:bottom w:val="single" w:sz="8" w:color="auto"/>
            </w:tcBorders>
            <w:shd w:val="clear" w:color="auto" w:fill="CCEEFF"/>
          </w:tcPr>
          <w:p>
            <w:pPr>
              <w:jc w:val="right"/>
              <w:ind w:right="696"/>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For the three and nine months ended September 30, 2024 and 2023, because the Company was in a loss positon, basic net loss per share is the same as diluted net loss per share, as the inclusion of the potental common shares would have been ant-dilutve.</w:t>
      </w:r>
    </w:p>
    <w:p>
      <w:pPr>
        <w:spacing w:after="0" w:line="21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table sets forth potental shares of common stock that are not included in the diluted net loss per share calculaton because to do so would be ant-dilutve for the period indicated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Ant-dilutve securites</w:t>
            </w:r>
          </w:p>
        </w:tc>
        <w:tc>
          <w:tcPr>
            <w:tcW w:w="1740" w:type="dxa"/>
            <w:vAlign w:val="bottom"/>
            <w:gridSpan w:val="2"/>
            <w:shd w:val="clear" w:color="auto" w:fill="CCEEFF"/>
          </w:tcPr>
          <w:p>
            <w:pPr>
              <w:ind w:left="200"/>
              <w:spacing w:after="0"/>
              <w:rPr>
                <w:sz w:val="20"/>
                <w:szCs w:val="20"/>
                <w:color w:val="auto"/>
              </w:rPr>
            </w:pPr>
            <w:r>
              <w:rPr>
                <w:rFonts w:ascii="Calibri" w:cs="Calibri" w:eastAsia="Calibri" w:hAnsi="Calibri"/>
                <w:sz w:val="14"/>
                <w:szCs w:val="14"/>
                <w:b w:val="1"/>
                <w:bCs w:val="1"/>
                <w:color w:val="auto"/>
              </w:rPr>
              <w:t>September 30, 2024</w:t>
            </w:r>
          </w:p>
        </w:tc>
        <w:tc>
          <w:tcPr>
            <w:tcW w:w="1580" w:type="dxa"/>
            <w:vAlign w:val="bottom"/>
            <w:shd w:val="clear" w:color="auto" w:fill="CCEEFF"/>
          </w:tcPr>
          <w:p>
            <w:pPr>
              <w:jc w:val="right"/>
              <w:ind w:right="114"/>
              <w:spacing w:after="0"/>
              <w:rPr>
                <w:sz w:val="20"/>
                <w:szCs w:val="20"/>
                <w:color w:val="auto"/>
              </w:rPr>
            </w:pPr>
            <w:r>
              <w:rPr>
                <w:rFonts w:ascii="Calibri" w:cs="Calibri" w:eastAsia="Calibri" w:hAnsi="Calibri"/>
                <w:sz w:val="14"/>
                <w:szCs w:val="14"/>
                <w:b w:val="1"/>
                <w:bCs w:val="1"/>
                <w:color w:val="auto"/>
              </w:rPr>
              <w:t>September 30, 2023</w:t>
            </w:r>
          </w:p>
        </w:tc>
        <w:tc>
          <w:tcPr>
            <w:tcW w:w="3300" w:type="dxa"/>
            <w:vAlign w:val="bottom"/>
          </w:tcPr>
          <w:p>
            <w:pPr>
              <w:spacing w:after="0"/>
              <w:rPr>
                <w:sz w:val="19"/>
                <w:szCs w:val="19"/>
                <w:color w:val="auto"/>
              </w:rPr>
            </w:pPr>
          </w:p>
        </w:tc>
      </w:tr>
      <w:tr>
        <w:trPr>
          <w:trHeight w:val="216"/>
        </w:trPr>
        <w:tc>
          <w:tcPr>
            <w:tcW w:w="4620" w:type="dxa"/>
            <w:vAlign w:val="bottom"/>
          </w:tcPr>
          <w:p>
            <w:pPr>
              <w:ind w:left="20"/>
              <w:spacing w:after="0" w:line="199" w:lineRule="exact"/>
              <w:rPr>
                <w:sz w:val="20"/>
                <w:szCs w:val="20"/>
                <w:color w:val="auto"/>
              </w:rPr>
            </w:pPr>
            <w:r>
              <w:rPr>
                <w:rFonts w:ascii="Calibri" w:cs="Calibri" w:eastAsia="Calibri" w:hAnsi="Calibri"/>
                <w:sz w:val="18"/>
                <w:szCs w:val="18"/>
                <w:color w:val="auto"/>
              </w:rPr>
              <w:t>Restricted stock units</w:t>
            </w: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w:t>
            </w:r>
          </w:p>
        </w:tc>
        <w:tc>
          <w:tcPr>
            <w:tcW w:w="160" w:type="dxa"/>
            <w:vAlign w:val="bottom"/>
          </w:tcPr>
          <w:p>
            <w:pPr>
              <w:spacing w:after="0"/>
              <w:rPr>
                <w:sz w:val="18"/>
                <w:szCs w:val="18"/>
                <w:color w:val="auto"/>
              </w:rPr>
            </w:pP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330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Common shares issuable upon exercise of stock optons</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483</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360</w:t>
            </w:r>
          </w:p>
        </w:tc>
        <w:tc>
          <w:tcPr>
            <w:tcW w:w="3300" w:type="dxa"/>
            <w:vAlign w:val="bottom"/>
          </w:tcPr>
          <w:p>
            <w:pPr>
              <w:spacing w:after="0"/>
              <w:rPr>
                <w:sz w:val="20"/>
                <w:szCs w:val="20"/>
                <w:color w:val="auto"/>
              </w:rPr>
            </w:pPr>
          </w:p>
        </w:tc>
      </w:tr>
      <w:tr>
        <w:trPr>
          <w:trHeight w:val="223"/>
        </w:trPr>
        <w:tc>
          <w:tcPr>
            <w:tcW w:w="46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Common shares issuable upon exercise of warrants</w:t>
            </w: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1,441</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3300" w:type="dxa"/>
            <w:vAlign w:val="bottom"/>
          </w:tcPr>
          <w:p>
            <w:pPr>
              <w:spacing w:after="0"/>
              <w:rPr>
                <w:sz w:val="19"/>
                <w:szCs w:val="19"/>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372</w:t>
            </w:r>
          </w:p>
        </w:tc>
        <w:tc>
          <w:tcPr>
            <w:tcW w:w="3300" w:type="dxa"/>
            <w:vAlign w:val="bottom"/>
          </w:tcPr>
          <w:p>
            <w:pPr>
              <w:spacing w:after="0"/>
              <w:rPr>
                <w:sz w:val="21"/>
                <w:szCs w:val="2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878"/>
        </w:trPr>
        <w:tc>
          <w:tcPr>
            <w:tcW w:w="4620" w:type="dxa"/>
            <w:vAlign w:val="bottom"/>
          </w:tcPr>
          <w:p>
            <w:pPr>
              <w:spacing w:after="0"/>
              <w:rPr>
                <w:sz w:val="24"/>
                <w:szCs w:val="24"/>
                <w:color w:val="auto"/>
              </w:rPr>
            </w:pPr>
          </w:p>
        </w:tc>
        <w:tc>
          <w:tcPr>
            <w:tcW w:w="15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02"/>
        </w:trPr>
        <w:tc>
          <w:tcPr>
            <w:tcW w:w="46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color w:val="auto"/>
        </w:rPr>
        <w:t>7. EQUITY BASED COMPENSATION</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February 2021, Greenidge adopted an equity incentve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countng of shares of Class A common stock granted in connecton with awards other than stock optons and stock appreciaton rights against the total number of shares available under the Plan as two shares of Class A common stock for every one share of Class A common stock granted in connecton with such award. In October 2022, the Company registered 307,684 shares of Class A common stock, outside the 2021 Equity Plan, that were reserved for issuance upon the vestng and exercise of non-qualifed stock optons inducement grants.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RSAs and RSUs</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Restricted stock awards ("RSA") are generally granted with an eligible vestng range from upon grant to over a three-year period. Restricted stock unit ("RSU") awards are generally eligible to vest over a three-year period.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unvested RSA and RSU award actvity for the nine months ended September 30, 2024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Weighted Average</w:t>
            </w:r>
          </w:p>
        </w:tc>
        <w:tc>
          <w:tcPr>
            <w:tcW w:w="0" w:type="dxa"/>
            <w:vAlign w:val="bottom"/>
          </w:tcPr>
          <w:p>
            <w:pPr>
              <w:spacing w:after="0"/>
              <w:rPr>
                <w:sz w:val="1"/>
                <w:szCs w:val="1"/>
                <w:color w:val="auto"/>
              </w:rPr>
            </w:pPr>
          </w:p>
        </w:tc>
      </w:tr>
      <w:tr>
        <w:trPr>
          <w:trHeight w:val="136"/>
        </w:trPr>
        <w:tc>
          <w:tcPr>
            <w:tcW w:w="8180" w:type="dxa"/>
            <w:vAlign w:val="bottom"/>
          </w:tcPr>
          <w:p>
            <w:pPr>
              <w:spacing w:after="0"/>
              <w:rPr>
                <w:sz w:val="11"/>
                <w:szCs w:val="11"/>
                <w:color w:val="auto"/>
              </w:rPr>
            </w:pPr>
          </w:p>
        </w:tc>
        <w:tc>
          <w:tcPr>
            <w:tcW w:w="1480" w:type="dxa"/>
            <w:vAlign w:val="bottom"/>
            <w:vMerge w:val="restart"/>
          </w:tcPr>
          <w:p>
            <w:pPr>
              <w:jc w:val="right"/>
              <w:ind w:right="273"/>
              <w:spacing w:after="0"/>
              <w:rPr>
                <w:sz w:val="20"/>
                <w:szCs w:val="20"/>
                <w:color w:val="auto"/>
              </w:rPr>
            </w:pPr>
            <w:r>
              <w:rPr>
                <w:rFonts w:ascii="Calibri" w:cs="Calibri" w:eastAsia="Calibri" w:hAnsi="Calibri"/>
                <w:sz w:val="14"/>
                <w:szCs w:val="14"/>
                <w:b w:val="1"/>
                <w:bCs w:val="1"/>
                <w:color w:val="auto"/>
              </w:rPr>
              <w:t>RSAs &amp; RSUs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6" w:lineRule="exact"/>
              <w:rPr>
                <w:sz w:val="20"/>
                <w:szCs w:val="20"/>
                <w:color w:val="auto"/>
              </w:rPr>
            </w:pPr>
            <w:r>
              <w:rPr>
                <w:rFonts w:ascii="Calibri" w:cs="Calibri" w:eastAsia="Calibri" w:hAnsi="Calibri"/>
                <w:sz w:val="14"/>
                <w:szCs w:val="14"/>
                <w:b w:val="1"/>
                <w:bCs w:val="1"/>
                <w:color w:val="auto"/>
                <w:w w:val="99"/>
              </w:rPr>
              <w:t>Grant Date</w:t>
            </w:r>
          </w:p>
        </w:tc>
        <w:tc>
          <w:tcPr>
            <w:tcW w:w="0" w:type="dxa"/>
            <w:vAlign w:val="bottom"/>
          </w:tcPr>
          <w:p>
            <w:pPr>
              <w:spacing w:after="0"/>
              <w:rPr>
                <w:sz w:val="1"/>
                <w:szCs w:val="1"/>
                <w:color w:val="auto"/>
              </w:rPr>
            </w:pPr>
          </w:p>
        </w:tc>
      </w:tr>
      <w:tr>
        <w:trPr>
          <w:trHeight w:val="170"/>
        </w:trPr>
        <w:tc>
          <w:tcPr>
            <w:tcW w:w="81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Fair Value</w:t>
            </w:r>
          </w:p>
        </w:tc>
        <w:tc>
          <w:tcPr>
            <w:tcW w:w="0" w:type="dxa"/>
            <w:vAlign w:val="bottom"/>
          </w:tcPr>
          <w:p>
            <w:pPr>
              <w:spacing w:after="0"/>
              <w:rPr>
                <w:sz w:val="1"/>
                <w:szCs w:val="1"/>
                <w:color w:val="auto"/>
              </w:rPr>
            </w:pPr>
          </w:p>
        </w:tc>
      </w:tr>
      <w:tr>
        <w:trPr>
          <w:trHeight w:val="46"/>
        </w:trPr>
        <w:tc>
          <w:tcPr>
            <w:tcW w:w="81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Unvested at December 31, 2023</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62.99</w:t>
            </w:r>
          </w:p>
        </w:tc>
        <w:tc>
          <w:tcPr>
            <w:tcW w:w="0" w:type="dxa"/>
            <w:vAlign w:val="bottom"/>
          </w:tcPr>
          <w:p>
            <w:pPr>
              <w:spacing w:after="0"/>
              <w:rPr>
                <w:sz w:val="1"/>
                <w:szCs w:val="1"/>
                <w:color w:val="auto"/>
              </w:rPr>
            </w:pP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Granted</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356,028</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Vested</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(200,711)</w:t>
            </w:r>
          </w:p>
        </w:tc>
        <w:tc>
          <w:tcPr>
            <w:tcW w:w="2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Forfeited</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(4,346)</w:t>
            </w:r>
          </w:p>
        </w:tc>
        <w:tc>
          <w:tcPr>
            <w:tcW w:w="24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3.74</w:t>
            </w: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Unvested at September 30, 2024</w:t>
            </w:r>
          </w:p>
        </w:tc>
        <w:tc>
          <w:tcPr>
            <w:tcW w:w="14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160,087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The value of RSA and RSU grants are measured based on their fair market value on the date of grant and amortzed over their requisite service periods. At September 30, 2024, there was approximately $0.4 million of total unrecognized compensaton cost related to unvested restricted stock rights, which is expected to be recognized over a remaining weighted-average vestng period of approximately 1.15 years.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Optons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common stock optons actvity for the nine months ended September 30, 2024 is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Weighted Average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8"/>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6"/>
              <w:spacing w:after="0" w:line="149" w:lineRule="exact"/>
              <w:rPr>
                <w:sz w:val="20"/>
                <w:szCs w:val="20"/>
                <w:color w:val="auto"/>
              </w:rPr>
            </w:pPr>
            <w:r>
              <w:rPr>
                <w:rFonts w:ascii="Calibri" w:cs="Calibri" w:eastAsia="Calibri" w:hAnsi="Calibri"/>
                <w:sz w:val="14"/>
                <w:szCs w:val="14"/>
                <w:b w:val="1"/>
                <w:bCs w:val="1"/>
                <w:color w:val="auto"/>
              </w:rPr>
              <w:t>Weighted 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Calibri" w:cs="Calibri" w:eastAsia="Calibri" w:hAnsi="Calibri"/>
                <w:sz w:val="14"/>
                <w:szCs w:val="14"/>
                <w:b w:val="1"/>
                <w:bCs w:val="1"/>
                <w:color w:val="auto"/>
              </w:rPr>
              <w:t>Aggregate</w:t>
            </w:r>
          </w:p>
        </w:tc>
      </w:tr>
      <w:tr>
        <w:trPr>
          <w:trHeight w:val="148"/>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6"/>
              <w:spacing w:after="0" w:line="148" w:lineRule="exact"/>
              <w:rPr>
                <w:sz w:val="20"/>
                <w:szCs w:val="20"/>
                <w:color w:val="auto"/>
              </w:rPr>
            </w:pPr>
            <w:r>
              <w:rPr>
                <w:rFonts w:ascii="Calibri" w:cs="Calibri" w:eastAsia="Calibri" w:hAnsi="Calibri"/>
                <w:sz w:val="14"/>
                <w:szCs w:val="14"/>
                <w:b w:val="1"/>
                <w:bCs w:val="1"/>
                <w:color w:val="auto"/>
              </w:rPr>
              <w:t>Exercise Price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8" w:lineRule="exact"/>
              <w:rPr>
                <w:sz w:val="20"/>
                <w:szCs w:val="20"/>
                <w:color w:val="auto"/>
              </w:rPr>
            </w:pPr>
            <w:r>
              <w:rPr>
                <w:rFonts w:ascii="Calibri" w:cs="Calibri" w:eastAsia="Calibri" w:hAnsi="Calibri"/>
                <w:sz w:val="14"/>
                <w:szCs w:val="14"/>
                <w:b w:val="1"/>
                <w:bCs w:val="1"/>
                <w:color w:val="auto"/>
              </w:rPr>
              <w:t>Contractual Life</w:t>
            </w:r>
          </w:p>
        </w:tc>
        <w:tc>
          <w:tcPr>
            <w:tcW w:w="280" w:type="dxa"/>
            <w:vAlign w:val="bottom"/>
          </w:tcPr>
          <w:p>
            <w:pPr>
              <w:spacing w:after="0"/>
              <w:rPr>
                <w:sz w:val="12"/>
                <w:szCs w:val="12"/>
                <w:color w:val="auto"/>
              </w:rPr>
            </w:pPr>
          </w:p>
        </w:tc>
        <w:tc>
          <w:tcPr>
            <w:tcW w:w="1200" w:type="dxa"/>
            <w:vAlign w:val="bottom"/>
          </w:tcPr>
          <w:p>
            <w:pPr>
              <w:jc w:val="center"/>
              <w:ind w:right="201"/>
              <w:spacing w:after="0" w:line="148" w:lineRule="exact"/>
              <w:rPr>
                <w:sz w:val="20"/>
                <w:szCs w:val="20"/>
                <w:color w:val="auto"/>
              </w:rPr>
            </w:pPr>
            <w:r>
              <w:rPr>
                <w:rFonts w:ascii="Calibri" w:cs="Calibri" w:eastAsia="Calibri" w:hAnsi="Calibri"/>
                <w:sz w:val="14"/>
                <w:szCs w:val="14"/>
                <w:b w:val="1"/>
                <w:bCs w:val="1"/>
                <w:color w:val="auto"/>
              </w:rPr>
              <w:t>Intrinsic</w:t>
            </w:r>
          </w:p>
        </w:tc>
      </w:tr>
      <w:tr>
        <w:trPr>
          <w:trHeight w:val="170"/>
        </w:trPr>
        <w:tc>
          <w:tcPr>
            <w:tcW w:w="5040" w:type="dxa"/>
            <w:vAlign w:val="bottom"/>
          </w:tcPr>
          <w:p>
            <w:pPr>
              <w:spacing w:after="0"/>
              <w:rPr>
                <w:sz w:val="14"/>
                <w:szCs w:val="14"/>
                <w:color w:val="auto"/>
              </w:rPr>
            </w:pPr>
          </w:p>
        </w:tc>
        <w:tc>
          <w:tcPr>
            <w:tcW w:w="1560" w:type="dxa"/>
            <w:vAlign w:val="bottom"/>
            <w:gridSpan w:val="2"/>
          </w:tcPr>
          <w:p>
            <w:pPr>
              <w:ind w:left="500"/>
              <w:spacing w:after="0"/>
              <w:rPr>
                <w:sz w:val="20"/>
                <w:szCs w:val="20"/>
                <w:color w:val="auto"/>
              </w:rPr>
            </w:pPr>
            <w:r>
              <w:rPr>
                <w:rFonts w:ascii="Calibri" w:cs="Calibri" w:eastAsia="Calibri" w:hAnsi="Calibri"/>
                <w:sz w:val="14"/>
                <w:szCs w:val="14"/>
                <w:b w:val="1"/>
                <w:bCs w:val="1"/>
                <w:color w:val="auto"/>
              </w:rPr>
              <w:t>Optons</w:t>
            </w:r>
          </w:p>
        </w:tc>
        <w:tc>
          <w:tcPr>
            <w:tcW w:w="16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Calibri" w:cs="Calibri" w:eastAsia="Calibri" w:hAnsi="Calibri"/>
                <w:sz w:val="14"/>
                <w:szCs w:val="14"/>
                <w:b w:val="1"/>
                <w:bCs w:val="1"/>
                <w:color w:val="auto"/>
              </w:rPr>
              <w:t>Per Share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(in years)</w:t>
            </w:r>
          </w:p>
        </w:tc>
        <w:tc>
          <w:tcPr>
            <w:tcW w:w="2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Calibri" w:cs="Calibri" w:eastAsia="Calibri" w:hAnsi="Calibri"/>
                <w:sz w:val="14"/>
                <w:szCs w:val="14"/>
                <w:b w:val="1"/>
                <w:bCs w:val="1"/>
                <w:color w:val="auto"/>
                <w:w w:val="96"/>
              </w:rPr>
              <w:t>Value</w:t>
            </w:r>
          </w:p>
        </w:tc>
      </w:tr>
      <w:tr>
        <w:trPr>
          <w:trHeight w:val="47"/>
        </w:trPr>
        <w:tc>
          <w:tcPr>
            <w:tcW w:w="50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23"/>
        </w:trPr>
        <w:tc>
          <w:tcPr>
            <w:tcW w:w="50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Outstanding at December 31, 2023</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458,982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2"/>
        </w:trPr>
        <w:tc>
          <w:tcPr>
            <w:tcW w:w="5040" w:type="dxa"/>
            <w:vAlign w:val="bottom"/>
          </w:tcPr>
          <w:p>
            <w:pPr>
              <w:ind w:left="240"/>
              <w:spacing w:after="0" w:line="215" w:lineRule="exact"/>
              <w:rPr>
                <w:sz w:val="20"/>
                <w:szCs w:val="20"/>
                <w:color w:val="auto"/>
              </w:rPr>
            </w:pPr>
            <w:r>
              <w:rPr>
                <w:rFonts w:ascii="Calibri" w:cs="Calibri" w:eastAsia="Calibri" w:hAnsi="Calibri"/>
                <w:sz w:val="18"/>
                <w:szCs w:val="18"/>
                <w:color w:val="auto"/>
              </w:rPr>
              <w:t>Granted</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25,000</w:t>
            </w:r>
          </w:p>
        </w:tc>
        <w:tc>
          <w:tcPr>
            <w:tcW w:w="8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50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3"/>
        </w:trPr>
        <w:tc>
          <w:tcPr>
            <w:tcW w:w="504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Expired</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64.01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29"/>
        </w:trPr>
        <w:tc>
          <w:tcPr>
            <w:tcW w:w="50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Outstanding at September 30, 2024</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482,892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15.79</w:t>
            </w:r>
          </w:p>
        </w:tc>
        <w:tc>
          <w:tcPr>
            <w:tcW w:w="1580" w:type="dxa"/>
            <w:vAlign w:val="bottom"/>
            <w:gridSpan w:val="2"/>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06"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ind w:left="980"/>
              <w:spacing w:after="0" w:line="206" w:lineRule="exact"/>
              <w:rPr>
                <w:sz w:val="20"/>
                <w:szCs w:val="20"/>
                <w:color w:val="auto"/>
              </w:rPr>
            </w:pPr>
            <w:r>
              <w:rPr>
                <w:rFonts w:ascii="Calibri" w:cs="Calibri" w:eastAsia="Calibri" w:hAnsi="Calibri"/>
                <w:sz w:val="18"/>
                <w:szCs w:val="18"/>
                <w:color w:val="auto"/>
              </w:rPr>
              <w:t>—</w:t>
            </w:r>
          </w:p>
        </w:tc>
      </w:tr>
      <w:tr>
        <w:trPr>
          <w:trHeight w:val="215"/>
        </w:trPr>
        <w:tc>
          <w:tcPr>
            <w:tcW w:w="5040" w:type="dxa"/>
            <w:vAlign w:val="bottom"/>
          </w:tcPr>
          <w:p>
            <w:pPr>
              <w:ind w:left="20"/>
              <w:spacing w:after="0" w:line="215" w:lineRule="exact"/>
              <w:rPr>
                <w:sz w:val="20"/>
                <w:szCs w:val="20"/>
                <w:color w:val="auto"/>
              </w:rPr>
            </w:pPr>
            <w:r>
              <w:rPr>
                <w:rFonts w:ascii="Calibri" w:cs="Calibri" w:eastAsia="Calibri" w:hAnsi="Calibri"/>
                <w:sz w:val="18"/>
                <w:szCs w:val="18"/>
                <w:color w:val="auto"/>
              </w:rPr>
              <w:t>Exercisable as of September 30, 2024</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234,372</w:t>
            </w:r>
          </w:p>
        </w:tc>
        <w:tc>
          <w:tcPr>
            <w:tcW w:w="8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23.13</w:t>
            </w:r>
          </w:p>
        </w:tc>
        <w:tc>
          <w:tcPr>
            <w:tcW w:w="1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7.67</w:t>
            </w:r>
          </w:p>
        </w:tc>
        <w:tc>
          <w:tcPr>
            <w:tcW w:w="10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ind w:left="980"/>
              <w:spacing w:after="0" w:line="215" w:lineRule="exact"/>
              <w:rPr>
                <w:sz w:val="20"/>
                <w:szCs w:val="20"/>
                <w:color w:val="auto"/>
              </w:rPr>
            </w:pPr>
            <w:r>
              <w:rPr>
                <w:rFonts w:ascii="Calibri" w:cs="Calibri" w:eastAsia="Calibri" w:hAnsi="Calibri"/>
                <w:sz w:val="18"/>
                <w:szCs w:val="18"/>
                <w:color w:val="auto"/>
              </w:rPr>
              <w:t>—</w:t>
            </w:r>
          </w:p>
        </w:tc>
      </w:tr>
    </w:tbl>
    <w:p>
      <w:pPr>
        <w:spacing w:after="0" w:line="28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value of common stock opton grants is measured based on their fair market value on the date of grant and amortzed over their requisite service periods. At September 30, 2024, there was approximately $1.0 million of total unrecognized compensaton cost related to unvested common stock optons, which is expected to be recognized over a remaining weighted-average vestng period of approximately 1.54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p>
      <w:pPr>
        <w:ind w:right="120"/>
        <w:spacing w:after="0" w:line="252" w:lineRule="auto"/>
        <w:rPr>
          <w:sz w:val="20"/>
          <w:szCs w:val="20"/>
          <w:color w:val="auto"/>
        </w:rPr>
      </w:pPr>
      <w:r>
        <w:rPr>
          <w:rFonts w:ascii="Calibri" w:cs="Calibri" w:eastAsia="Calibri" w:hAnsi="Calibri"/>
          <w:sz w:val="17"/>
          <w:szCs w:val="17"/>
          <w:color w:val="auto"/>
        </w:rPr>
        <w:t>On April 26, 2024, the Company entered into a Release Agreement with a former employee to allow for an acceleraton of vestng of remaining unvested optons and extended post terminaton exercise period. The stock opton modifcaton resulted in $0.2 million of incremental compensaton cost for the nine months ended September 30, 2024, which was calculated using the Black-Scholes opton-pricing model. The following assumptons were used for the Black-Scholes valuaton: risk-free rate of 4.67%, expected life of 8.46 years, exercise price of $13.20, annualized volatlity of 133.96%, and a dividend rate of 0%.</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Company recognized stock-based compensaton expense of $0.4 million and $0.5 million during the three months ended September 30, 2024 and 2023,</w:t>
      </w:r>
    </w:p>
    <w:p>
      <w:pPr>
        <w:spacing w:after="0" w:line="6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respectvely and $1.8 million and $1.5 million during the nine months ended September 30, 2024 and 2023, respectvely. Stock-based compensaton expense is included in selling, general and administratve expenses in the accompanying unaudited condensed consolidated statements of operatons and comprehensive loss.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INCOME TAXES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income tax provision for interim periods is determined using an estmate of the annual efectve tax rate, adjusted for discrete items, if any, that are taken into account in the relevant period. Each quarter, the estmate of the annual efectve tax rate is updated, and if the estmated efectve tax rate changes, a cumulatve adjustment is made. In additon, the efect of changes in enacted tax laws or rates or tax status is recognized in the interim period in which the change occurs.</w:t>
      </w:r>
    </w:p>
    <w:p>
      <w:pPr>
        <w:spacing w:after="0" w:line="165"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efectve tax rate for the three and nine months ended September 30, 2024 was a tax beneft of 2% and 1%, respectvely, which was lower than the statutory rate of 21% because the Company has recognized a full valuaton allowance on its deferred tax assets, as well as an adjustment for the New York State income tax receivable upon completon of the 2023 tax return. The Company contnued to evaluate the realizability of deferred tax assets, due to contnued reduced proftability, concluded that a valuaton allowance should contnue to be recognized for any deferred tax assets generated during the quarter. The 2%, or $0.1 million beneft for the three months ended September 30, 2024 was the result of an adjustment for the New York State income tax receivable upon completon of the Company's 2023 tax return.</w:t>
      </w:r>
    </w:p>
    <w:p>
      <w:pPr>
        <w:spacing w:after="0" w:line="22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efectve tax rate for the three and nine months ended September 30, 2023 was 0% which was lower than the statutory rate of 21% due to contnued reduced proftability. The Company concluded that a valuaton allowance should contnue to be recognized for any deferred tax assets generated during the quarter. As a result, there was no net income tax beneft recorded for pre-tax losses of the U.S. operatons for the three and nine months ended September 30, 2023.</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STOCKHOLDERS’ DEFICIT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Purchase Agreement with B. Riley Principal Capital, LLC</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On September 15, 2021, as amended on April 7, 2022, Greenidge entered into the Equity Purchase Agreement with B. Riley Principal. Pursuant to the Equity Purchase Agreement, Greenidge had the right to sell to B. Riley Principal up to $500 million in shares of its Class A common stock, subject to certain limitatons and the satsfacton of specifed conditons in the Equity Purchase Agreement, from tme to tme over the 24-month period commencing on April 28, 2022.</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connecton with the Equity Purchase Agreement, Greenidge entered into a registraton rights agreement with B. Riley Principal, pursuant to which Greenidge agreed to prepare and fle a registraton statement registering the resale by the Investor of those shares of Greenidge’s Class A common stock to be issued under the Equity Purchase Agreement. The registraton statement became efectve on the April 2022 Efectve Date, relatng to the resale of 572,095 shares of Greenidge’s Class A common stock in connecton with the Equity Purchase Agreement.</w:t>
      </w:r>
    </w:p>
    <w:p>
      <w:pPr>
        <w:spacing w:after="0" w:line="219"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From the April 2022 Efectve Date to April 28, 2024, Greenidge issued 549,285 shares of Class A common stock to B. Riley Principal pursuant to the Equity Purchase Agreement for aggregate proceeds of $8.0 million, net of discounts, of which there were 45,269 shares issued for aggregate proceeds of $0.3 million, net of discounts, from January 1, 2024 through April 28, 2024. The Equity Purchase Agreement automatcally terminated pursuant to its terms on April 28,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Purchase Agreement with B. Riley Principal Capital II,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ind w:right="160"/>
        <w:spacing w:after="0" w:line="235" w:lineRule="auto"/>
        <w:rPr>
          <w:sz w:val="20"/>
          <w:szCs w:val="20"/>
          <w:color w:val="auto"/>
        </w:rPr>
      </w:pPr>
      <w:r>
        <w:rPr>
          <w:rFonts w:ascii="Calibri" w:cs="Calibri" w:eastAsia="Calibri" w:hAnsi="Calibri"/>
          <w:sz w:val="18"/>
          <w:szCs w:val="18"/>
          <w:color w:val="auto"/>
        </w:rPr>
        <w:t>On July 30, 2024, Greenidge entered into the Common Stock Purchase Agreement with B. Riley Principal II, an afliate of B. Riley Principal. Pursuant to the Common Stock Purchase Agreement, Greenidge has the right to sell to B. Riley Principal II up to $20 million in shares of its Class A common stock, subject to certain limitatons and the satsfacton of specifed conditons in the Common Stock Purchase Agreement, from tme to tme over the 36-month period commencing September 24, 2024.</w:t>
      </w:r>
    </w:p>
    <w:p>
      <w:pPr>
        <w:spacing w:after="0" w:line="219"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In connecton with the Common Stock Purchase Agreement, Greenidge entered into a registraton rights agreement with B. Riley Principal II, pursuant to which Greenidge agreed to prepare and fle a registraton statement registering the resale by B. Riley Principal II of those shares of Greenidge's Class A common stock to be issued under the Common Stock Purchase Agreement. The registraton statement became efectve on September 24, 2024 (the "Efectve Date"), relatng to the resale of 7,300,000 shares of Greenidge's Class A common stock in connecton with the Common Stock Purchase Agreement.</w:t>
      </w:r>
    </w:p>
    <w:p>
      <w:pPr>
        <w:spacing w:after="0" w:line="20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From the Efectve Date through November 6, 2024, Greenidge issued 424,156 shares under the Common Stock Purchase Agreement for net proceeds of $1.0 million, of which no shares were issued for the three and nine months ended September 30,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 The Market Issuance Sales Agreement with B. Riley Securites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September 19, 2022, as amended on October 3, 2022, Greenidge entered into the ATM Agreement with B. Riley and Northland, relatng to shares of Greenidge’s Class A common stock. Under the ATM Agreement, B. Riley will use its commercially reasonable eforts to sell on Greenidge’s behalf the shares of Greenidge’s Class A common stock requested to be sold by Greenidge, consistent with B. Riley’s normal trading and sales practces, under the terms and subject to the conditons set forth in the ATM Agreement. Greenidge has the discreton, subject to market demand, to vary the tming, prices and number of shares sold in accordance with the ATM Agreement. B. Riley may sell the Company’s Class A common stock by any method permited by law deemed to be an "at the market ofering" as defned in Rule 415(a)(4) promulgated under the Securites Act. Greenidge pays B. Riley commissions for its services in actng as sales agent, in an amount to up to 3.0% of the gross proceeds of all Class A common stock sold through it as sales agent under the ATM Agreement. Pursuant to the registraton statement fled registering shares to be sold in accordance with the terms of the ATM Agreement, Greenidge may ofer and sell shares of its Class A common stock up to a maximum aggregate ofering price of $22,800,000.</w:t>
      </w:r>
    </w:p>
    <w:p>
      <w:pPr>
        <w:spacing w:after="0" w:line="22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From October 1, 2022 through November 6, 2024, Greenidge issued 4,167,463 shares under the ATM Agreement for net proceeds of $20.7 million, of which no shares were issued for the three or nine months ended September 30,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Armistce Capital Agreement</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February 12, 2024, the Company entered into a SPA with Armistce. Pursuant to the SPA, Armistce purchased (i) 450,300 shares (the “Shares”) of the Company’s Class A common stock, and (ii) a pre-funded Class A common stock purchase warrant (the “Pre-Funded Warrant”) for 810,205 shares of the Company’s Class A common stock (the “Pre-Funded Warrant Shares”). The per share purchase price of the Shares and the Pre-Funded Warrant Shares was $4.76, resultng in aggregate gross proceeds of $6.0 million, and afer giving efect to the exercise price of $0.0001 per Pre-Funded Warrant Share, the Company received net proceeds of $6.0 million. The Pre-Funded Warrant, which had an inital exercise date of February 14, 2024, was exercised in full during the nine months ended September 30, 2024, which resulted in the issuance of 810,205 Class A shares of common stock. In additon, the Company issued to Armistce a fve-year Class A common stock purchase warrant (the "Armistce Warrant") enttling Armistce, commencing on August 14, 2024, to acquire up to 1,260,505 shares of the Company’s Class A common stock from tme to tme at an exercise price of $5.25 per share (the “Warrant Shares”).</w:t>
      </w:r>
    </w:p>
    <w:p>
      <w:pPr>
        <w:spacing w:after="0" w:line="223"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Pre-Funded Warrant and Armistce Warrant were classifed as a component of permanent stockholders’ equity within additonal paid-in capital and were recorded at the issuance date using a relatve fair value allocaton method. The Company valued the Pre-Funded Warrant at issuance, concluding that its sale price approximated their fair value, and allocated the aggregate net proceeds from the sale proportonately to the Armistce Warrant and Pre-Funded Warrant, including approximately $2.0 million allocated to the Pre-Funded Warrant and recorded as a component of additonal paid-in capital. The Company valued the Armistce Warrant using the Black-Scholes-Merton opton pricing model and recorded as a component of additonal paid-in capital with an allocated amount of $2.8 million. By analogy to ASC 505-20-30-3, the Company would have recorded a charge to retained earnings, however, as the Company is in a defcit positon it was recorded as a component of additonal paid-in capital.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color w:val="auto"/>
        </w:rPr>
        <w:t>Warrants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Company’s warrant actvity: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vMerge w:val="restart"/>
            <w:shd w:val="clear" w:color="auto" w:fill="CCEEFF"/>
          </w:tcPr>
          <w:p>
            <w:pPr>
              <w:jc w:val="right"/>
              <w:ind w:right="290"/>
              <w:spacing w:after="0"/>
              <w:rPr>
                <w:sz w:val="20"/>
                <w:szCs w:val="20"/>
                <w:color w:val="auto"/>
              </w:rPr>
            </w:pPr>
            <w:r>
              <w:rPr>
                <w:rFonts w:ascii="Calibri" w:cs="Calibri" w:eastAsia="Calibri" w:hAnsi="Calibri"/>
                <w:sz w:val="18"/>
                <w:szCs w:val="18"/>
                <w:b w:val="1"/>
                <w:bCs w:val="1"/>
                <w:color w:val="auto"/>
              </w:rPr>
              <w:t>Number of warrants</w:t>
            </w:r>
          </w:p>
        </w:tc>
        <w:tc>
          <w:tcPr>
            <w:tcW w:w="140" w:type="dxa"/>
            <w:vAlign w:val="bottom"/>
            <w:tcBorders>
              <w:top w:val="single" w:sz="8" w:color="CCEEFF"/>
            </w:tcBorders>
            <w:vMerge w:val="restart"/>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right"/>
              <w:ind w:right="50"/>
              <w:spacing w:after="0" w:line="180" w:lineRule="exact"/>
              <w:rPr>
                <w:sz w:val="20"/>
                <w:szCs w:val="20"/>
                <w:color w:val="auto"/>
              </w:rPr>
            </w:pPr>
            <w:r>
              <w:rPr>
                <w:rFonts w:ascii="Calibri" w:cs="Calibri" w:eastAsia="Calibri" w:hAnsi="Calibri"/>
                <w:sz w:val="18"/>
                <w:szCs w:val="18"/>
                <w:b w:val="1"/>
                <w:bCs w:val="1"/>
                <w:color w:val="auto"/>
                <w:w w:val="96"/>
              </w:rPr>
              <w:t>Weighted Average Exercise</w:t>
            </w:r>
          </w:p>
        </w:tc>
        <w:tc>
          <w:tcPr>
            <w:tcW w:w="0" w:type="dxa"/>
            <w:vAlign w:val="bottom"/>
          </w:tcPr>
          <w:p>
            <w:pPr>
              <w:spacing w:after="0"/>
              <w:rPr>
                <w:sz w:val="1"/>
                <w:szCs w:val="1"/>
                <w:color w:val="auto"/>
              </w:rPr>
            </w:pPr>
          </w:p>
        </w:tc>
      </w:tr>
      <w:tr>
        <w:trPr>
          <w:trHeight w:val="134"/>
        </w:trPr>
        <w:tc>
          <w:tcPr>
            <w:tcW w:w="4540" w:type="dxa"/>
            <w:vAlign w:val="bottom"/>
            <w:shd w:val="clear" w:color="auto" w:fill="CCEEFF"/>
          </w:tcPr>
          <w:p>
            <w:pPr>
              <w:spacing w:after="0"/>
              <w:rPr>
                <w:sz w:val="11"/>
                <w:szCs w:val="11"/>
                <w:color w:val="auto"/>
              </w:rPr>
            </w:pPr>
          </w:p>
        </w:tc>
        <w:tc>
          <w:tcPr>
            <w:tcW w:w="224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20" w:type="dxa"/>
            <w:vAlign w:val="bottom"/>
            <w:vMerge w:val="restart"/>
            <w:shd w:val="clear" w:color="auto" w:fill="CCEEFF"/>
          </w:tcPr>
          <w:p>
            <w:pPr>
              <w:jc w:val="right"/>
              <w:ind w:right="850"/>
              <w:spacing w:after="0" w:line="215" w:lineRule="exact"/>
              <w:rPr>
                <w:sz w:val="20"/>
                <w:szCs w:val="20"/>
                <w:color w:val="auto"/>
              </w:rPr>
            </w:pPr>
            <w:r>
              <w:rPr>
                <w:rFonts w:ascii="Calibri" w:cs="Calibri" w:eastAsia="Calibri" w:hAnsi="Calibri"/>
                <w:sz w:val="18"/>
                <w:szCs w:val="18"/>
                <w:b w:val="1"/>
                <w:bCs w:val="1"/>
                <w:color w:val="auto"/>
              </w:rPr>
              <w:t>Price</w:t>
            </w:r>
          </w:p>
        </w:tc>
        <w:tc>
          <w:tcPr>
            <w:tcW w:w="0" w:type="dxa"/>
            <w:vAlign w:val="bottom"/>
          </w:tcPr>
          <w:p>
            <w:pPr>
              <w:spacing w:after="0"/>
              <w:rPr>
                <w:sz w:val="1"/>
                <w:szCs w:val="1"/>
                <w:color w:val="auto"/>
              </w:rPr>
            </w:pPr>
          </w:p>
        </w:tc>
      </w:tr>
      <w:tr>
        <w:trPr>
          <w:trHeight w:val="118"/>
        </w:trPr>
        <w:tc>
          <w:tcPr>
            <w:tcW w:w="4540" w:type="dxa"/>
            <w:vAlign w:val="bottom"/>
            <w:tcBorders>
              <w:bottom w:val="single" w:sz="8" w:color="CCEEFF"/>
            </w:tcBorders>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1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line="199" w:lineRule="exact"/>
              <w:rPr>
                <w:sz w:val="20"/>
                <w:szCs w:val="20"/>
                <w:color w:val="auto"/>
              </w:rPr>
            </w:pPr>
            <w:r>
              <w:rPr>
                <w:rFonts w:ascii="Calibri" w:cs="Calibri" w:eastAsia="Calibri" w:hAnsi="Calibri"/>
                <w:sz w:val="18"/>
                <w:szCs w:val="18"/>
                <w:color w:val="auto"/>
              </w:rPr>
              <w:t>Warrants outstanding at December 31, 2023</w:t>
            </w:r>
          </w:p>
        </w:tc>
        <w:tc>
          <w:tcPr>
            <w:tcW w:w="22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180,000</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1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7.00</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Issued</w:t>
            </w: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2,070,710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Exercised</w:t>
            </w:r>
          </w:p>
        </w:tc>
        <w:tc>
          <w:tcPr>
            <w:tcW w:w="2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(810,205)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0.0001</w:t>
            </w:r>
          </w:p>
        </w:tc>
        <w:tc>
          <w:tcPr>
            <w:tcW w:w="0" w:type="dxa"/>
            <w:vAlign w:val="bottom"/>
          </w:tcPr>
          <w:p>
            <w:pPr>
              <w:spacing w:after="0"/>
              <w:rPr>
                <w:sz w:val="1"/>
                <w:szCs w:val="1"/>
                <w:color w:val="auto"/>
              </w:rPr>
            </w:pPr>
          </w:p>
        </w:tc>
      </w:tr>
      <w:tr>
        <w:trPr>
          <w:trHeight w:val="254"/>
        </w:trPr>
        <w:tc>
          <w:tcPr>
            <w:tcW w:w="4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Warrants outstanding at September 30, 2024</w:t>
            </w:r>
          </w:p>
        </w:tc>
        <w:tc>
          <w:tcPr>
            <w:tcW w:w="2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1,440,505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2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about warrants outstanding at September 30,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80" w:lineRule="exact"/>
              <w:rPr>
                <w:sz w:val="20"/>
                <w:szCs w:val="20"/>
                <w:color w:val="auto"/>
              </w:rPr>
            </w:pPr>
            <w:r>
              <w:rPr>
                <w:rFonts w:ascii="Calibri" w:cs="Calibri" w:eastAsia="Calibri" w:hAnsi="Calibri"/>
                <w:sz w:val="18"/>
                <w:szCs w:val="18"/>
                <w:b w:val="1"/>
                <w:bCs w:val="1"/>
                <w:color w:val="auto"/>
                <w:w w:val="96"/>
              </w:rPr>
              <w:t>Number of Warrants</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0" w:lineRule="exact"/>
              <w:rPr>
                <w:sz w:val="20"/>
                <w:szCs w:val="20"/>
                <w:color w:val="auto"/>
              </w:rPr>
            </w:pPr>
            <w:r>
              <w:rPr>
                <w:rFonts w:ascii="Calibri" w:cs="Calibri" w:eastAsia="Calibri" w:hAnsi="Calibri"/>
                <w:sz w:val="18"/>
                <w:szCs w:val="18"/>
                <w:b w:val="1"/>
                <w:bCs w:val="1"/>
                <w:color w:val="auto"/>
                <w:w w:val="98"/>
              </w:rPr>
              <w:t>Number of Warrants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Calibri" w:cs="Calibri" w:eastAsia="Calibri" w:hAnsi="Calibri"/>
                <w:sz w:val="18"/>
                <w:szCs w:val="18"/>
                <w:b w:val="1"/>
                <w:bCs w:val="1"/>
                <w:color w:val="auto"/>
              </w:rPr>
              <w:t>Exercise Price</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19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Calibri" w:cs="Calibri" w:eastAsia="Calibri" w:hAnsi="Calibri"/>
                <w:sz w:val="18"/>
                <w:szCs w:val="18"/>
                <w:b w:val="1"/>
                <w:bCs w:val="1"/>
                <w:color w:val="auto"/>
              </w:rPr>
              <w:t>Expiraton Date</w:t>
            </w:r>
          </w:p>
        </w:tc>
        <w:tc>
          <w:tcPr>
            <w:tcW w:w="0" w:type="dxa"/>
            <w:vAlign w:val="bottom"/>
          </w:tcPr>
          <w:p>
            <w:pPr>
              <w:spacing w:after="0"/>
              <w:rPr>
                <w:sz w:val="1"/>
                <w:szCs w:val="1"/>
                <w:color w:val="auto"/>
              </w:rPr>
            </w:pPr>
          </w:p>
        </w:tc>
      </w:tr>
      <w:tr>
        <w:trPr>
          <w:trHeight w:val="134"/>
        </w:trPr>
        <w:tc>
          <w:tcPr>
            <w:tcW w:w="346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jc w:val="center"/>
              <w:ind w:right="100"/>
              <w:spacing w:after="0" w:line="215" w:lineRule="exact"/>
              <w:rPr>
                <w:sz w:val="20"/>
                <w:szCs w:val="20"/>
                <w:color w:val="auto"/>
              </w:rPr>
            </w:pPr>
            <w:r>
              <w:rPr>
                <w:rFonts w:ascii="Calibri" w:cs="Calibri" w:eastAsia="Calibri" w:hAnsi="Calibri"/>
                <w:sz w:val="18"/>
                <w:szCs w:val="18"/>
                <w:b w:val="1"/>
                <w:bCs w:val="1"/>
                <w:color w:val="auto"/>
                <w:w w:val="97"/>
              </w:rPr>
              <w:t>Outstanding</w:t>
            </w:r>
          </w:p>
        </w:tc>
        <w:tc>
          <w:tcPr>
            <w:tcW w:w="1580" w:type="dxa"/>
            <w:vAlign w:val="bottom"/>
            <w:vMerge w:val="restart"/>
            <w:shd w:val="clear" w:color="auto" w:fill="CCEEFF"/>
          </w:tcPr>
          <w:p>
            <w:pPr>
              <w:jc w:val="right"/>
              <w:ind w:right="290"/>
              <w:spacing w:after="0" w:line="215" w:lineRule="exact"/>
              <w:rPr>
                <w:sz w:val="20"/>
                <w:szCs w:val="20"/>
                <w:color w:val="auto"/>
              </w:rPr>
            </w:pPr>
            <w:r>
              <w:rPr>
                <w:rFonts w:ascii="Calibri" w:cs="Calibri" w:eastAsia="Calibri" w:hAnsi="Calibri"/>
                <w:sz w:val="18"/>
                <w:szCs w:val="18"/>
                <w:b w:val="1"/>
                <w:bCs w:val="1"/>
                <w:color w:val="auto"/>
              </w:rPr>
              <w:t>Exercisable</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460" w:type="dxa"/>
            <w:vAlign w:val="bottom"/>
            <w:tcBorders>
              <w:bottom w:val="single" w:sz="8" w:color="CCEEFF"/>
            </w:tcBorders>
            <w:shd w:val="clear" w:color="auto" w:fill="CCEEFF"/>
          </w:tcPr>
          <w:p>
            <w:pPr>
              <w:spacing w:after="0"/>
              <w:rPr>
                <w:sz w:val="10"/>
                <w:szCs w:val="10"/>
                <w:color w:val="auto"/>
              </w:rPr>
            </w:pPr>
          </w:p>
        </w:tc>
        <w:tc>
          <w:tcPr>
            <w:tcW w:w="1680" w:type="dxa"/>
            <w:vAlign w:val="bottom"/>
            <w:tcBorders>
              <w:bottom w:val="single" w:sz="8" w:color="CCEEFF"/>
            </w:tcBorders>
            <w:gridSpan w:val="2"/>
            <w:vMerge w:val="continue"/>
            <w:shd w:val="clear" w:color="auto" w:fill="CCEEFF"/>
          </w:tcPr>
          <w:p>
            <w:pPr>
              <w:spacing w:after="0"/>
              <w:rPr>
                <w:sz w:val="10"/>
                <w:szCs w:val="10"/>
                <w:color w:val="auto"/>
              </w:rPr>
            </w:pPr>
          </w:p>
        </w:tc>
        <w:tc>
          <w:tcPr>
            <w:tcW w:w="1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line="199" w:lineRule="exact"/>
              <w:rPr>
                <w:sz w:val="20"/>
                <w:szCs w:val="20"/>
                <w:color w:val="auto"/>
              </w:rPr>
            </w:pPr>
            <w:r>
              <w:rPr>
                <w:rFonts w:ascii="Calibri" w:cs="Calibri" w:eastAsia="Calibri" w:hAnsi="Calibri"/>
                <w:sz w:val="18"/>
                <w:szCs w:val="18"/>
                <w:color w:val="auto"/>
              </w:rPr>
              <w:t>December 2023 Warrants</w:t>
            </w: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180,000</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7.00</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December 11, 2024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February 2024 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1,260,505</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1,260,505</w:t>
            </w:r>
          </w:p>
        </w:tc>
        <w:tc>
          <w:tcPr>
            <w:tcW w:w="300" w:type="dxa"/>
            <w:vAlign w:val="bottom"/>
            <w:gridSpan w:val="2"/>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5.25</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August 14, 2029</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1,440,505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1,440,505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COMMITMENTS AND CONTINGENCIES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Legal Maters</w:t>
      </w:r>
    </w:p>
    <w:p>
      <w:pPr>
        <w:spacing w:after="0" w:line="244" w:lineRule="exact"/>
        <w:rPr>
          <w:sz w:val="20"/>
          <w:szCs w:val="20"/>
          <w:color w:val="auto"/>
        </w:rPr>
      </w:pPr>
    </w:p>
    <w:p>
      <w:pPr>
        <w:ind w:right="60"/>
        <w:spacing w:after="0" w:line="228" w:lineRule="auto"/>
        <w:rPr>
          <w:sz w:val="20"/>
          <w:szCs w:val="20"/>
          <w:color w:val="auto"/>
        </w:rPr>
      </w:pPr>
      <w:r>
        <w:rPr>
          <w:rFonts w:ascii="Calibri" w:cs="Calibri" w:eastAsia="Calibri" w:hAnsi="Calibri"/>
          <w:sz w:val="18"/>
          <w:szCs w:val="18"/>
          <w:color w:val="auto"/>
        </w:rPr>
        <w:t>From tme to tme, the Company may be involved in various lawsuits and legal proceedings that arise in the ordinary course of business. However, litgaton is subject to inherent uncertaintes, and an adverse result in such maters may arise and harm the Company’s business. Except as otherwise disclosed in this Note 10, "</w:t>
      </w:r>
      <w:r>
        <w:rPr>
          <w:rFonts w:ascii="Calibri" w:cs="Calibri" w:eastAsia="Calibri" w:hAnsi="Calibri"/>
          <w:sz w:val="18"/>
          <w:szCs w:val="18"/>
          <w:i w:val="1"/>
          <w:iCs w:val="1"/>
          <w:color w:val="auto"/>
        </w:rPr>
        <w:t>Commitments and Contngencies—Legal Maters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t</w:t>
      </w:r>
      <w:r>
        <w:rPr>
          <w:rFonts w:ascii="Calibri" w:cs="Calibri" w:eastAsia="Calibri" w:hAnsi="Calibri"/>
          <w:sz w:val="18"/>
          <w:szCs w:val="18"/>
          <w:color w:val="auto"/>
        </w:rPr>
        <w:t>he Company is currently not aware of any such legal proceedings or claims that it believes will have a material adverse efect on its business, fnancial conditon, or operatng results.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Title V Air Permit Renewal Litgaton</w:t>
      </w:r>
    </w:p>
    <w:p>
      <w:pPr>
        <w:spacing w:after="0" w:line="35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late June 2022, the New York State Department of Environmental Conservaton ("NYSDEC") announced its denial of the Title V Air Permit renewal for our New York Facility. We fled a notce with NYSDEC in July 2022 requestng a hearing on NYSDEC’s decision. In September 2023, the administratve law judge presiding over the hearing issued a ruling with respect to the status of the partes and certain issues to be adjudicated in the hearing. We submited an interim appeal with NYSDEC thereafer challenging such ruling with a moton to stay the broader appeals process while the interim appeal was being resolved. On May 8, 2024, our interim appeal to NYSDEC and request for an adjudicatory hearing were ultmately denied, and the June 2022 non-renewal of our Title V Air Permit was afrmed by NYSDEC’s Regional Director for Region 7, which rendered NYSDEC’s decision fnal for purposes of seeking judicial review. On August 15, 2024, we fled a verifed petton and complaint pursuant to Artcle 78 of the New York Civil Practce Law and Rules against NYSDEC in New York Supreme Court, Yates County (the "Court"), seeking declaratory and injunctve relief relatng to NYSDEC's denial of our renewal applicaton for our New York Facility, including, among other things, to (i) annul NYSDEC's June 2022 denial of our renewal applicaton and the May 8, 2024 afrmaton of such denial by NYSDEC's Regional Director for Region 7; (ii) issue certain declaratory judgments with respect to NYSDEC's interpretaton of the New York Climate Leadership and Community Protecton Act on which the denial of our renewal applicaton was predicated; and (iii) enjoin NYSDEC from taking any acton to request that the New York Facility cease operatons. On August 20, 2024, we submited a moton to the Court by Order to Show Cause seeking a temporary restraining and preliminary injuncton (the “TRO Request”) permitng the Facility to contnue operatons during the pendency of the Artcle 78 proceeding. Subsequent to submission of the TRO Request, Greenidge and NYSDEC agreed to a briefng schedule with the respect to the TRO Request, with a hearing before the Court which occurred in late October 2024. In connecton with the agreed-upon briefng schedule, NYSDEC agreed that Greenidge need not (i) cease operatons of any air contaminaton sources located at the Facility, (ii) render such air contaminaton sources inoperable, or (iii) relinquish the Title V Air Permit untl November 1, 2024 (the "November 1 Stay"). On October 29, 2024, a hearing was held before the Court and a stpulaton on the record was entered into between the Company and NYSDEC, agreeing to extend the November 1 Stay through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3" w:name="page24"/>
    <w:bookmarkEnd w:id="23"/>
    <w:p>
      <w:pPr>
        <w:ind w:right="180"/>
        <w:spacing w:after="0" w:line="235" w:lineRule="auto"/>
        <w:rPr>
          <w:sz w:val="20"/>
          <w:szCs w:val="20"/>
          <w:color w:val="auto"/>
        </w:rPr>
      </w:pPr>
      <w:r>
        <w:rPr>
          <w:rFonts w:ascii="Calibri" w:cs="Calibri" w:eastAsia="Calibri" w:hAnsi="Calibri"/>
          <w:sz w:val="18"/>
          <w:szCs w:val="18"/>
          <w:color w:val="auto"/>
        </w:rPr>
        <w:t>November 14, 2024 (the “November 14 Stay”). The Company expects that the Court will render a decision on the TRO Request or, alternatvely, the Company's Artcle 78 challenge of the denial of the permit renewal applicaton in total, prior to the expiraton of the November 14 Stay. This challenge has, and will contnue, to cause us to incur additonal costs and result in the diversion of management atenton, which could adversely afect our business, fnancial conditon and results of operatons. We expect that the judicial proceedings related to the challenge of NYSDEC’s denial of our Title V Air Permit renewal applicaton may take a number of years to fully resolve, and there can be no assurance that our eforts will be successful. Our inability to secure a temporary restraining order or preliminary injuncton to allow the New York Facility to contnue operatng during the pendency of the litgaton or to otherwise succeed in securing a renewal of our Title V Air Permit for the New York Facility could have a material adverse efect on our business, fnancial conditon, and operatng results, and our ability to contnue operatng as a going concern. See Note 2, “Summary of Signifcant Accountng Policies,” in the Notes to Condensed Consolidated Financial Statements.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Environmental Liabilites</w:t>
      </w:r>
    </w:p>
    <w:p>
      <w:pPr>
        <w:spacing w:after="0" w:line="231"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The Company has a CCR liability associated with the closure of a coal ash pond located on the Company’s property in the Town of Torrey, New York. In accordance with ASC 410-30, the Company has a liability of $17.3 million as of September 30, 2024 and December 31, 2023, respectvely. CCRs are subject to federal and state requirements. In October 2023, the Company completed the necessary steps to ofcially cease use of the coal ash pond. Following this occurring, the Company is required to complete the remediaton of the coal ash pond CCR by November 2028 and will perform the work in stages over the next fve years. Current estmates are based on various assumptons including, but not limited to, closure and post-closure cost estmates, tming of expenditures, escalaton factors, and requirements of granted permits. Additonal adjustments to the environment liability may occur periodically due to changes in remediaton requirements regarding CCRs, which may lead to material changes in estmates and assumptons.</w:t>
      </w:r>
    </w:p>
    <w:p>
      <w:pPr>
        <w:spacing w:after="0" w:line="246" w:lineRule="exact"/>
        <w:rPr>
          <w:sz w:val="20"/>
          <w:szCs w:val="20"/>
          <w:color w:val="auto"/>
        </w:rPr>
      </w:pPr>
    </w:p>
    <w:p>
      <w:pPr>
        <w:ind w:right="60"/>
        <w:spacing w:after="0" w:line="226" w:lineRule="auto"/>
        <w:rPr>
          <w:sz w:val="20"/>
          <w:szCs w:val="20"/>
          <w:color w:val="auto"/>
        </w:rPr>
      </w:pPr>
      <w:r>
        <w:rPr>
          <w:rFonts w:ascii="Calibri" w:cs="Calibri" w:eastAsia="Calibri" w:hAnsi="Calibri"/>
          <w:sz w:val="18"/>
          <w:szCs w:val="18"/>
          <w:color w:val="auto"/>
        </w:rPr>
        <w:t>The Company owns and operates a fully permited landfll that also acts as a leachate treatment facility. In accordance with ASC 410-30, Environmental Obligatons ("ASC 410-30"), the Company has recorded an environmental liability of $12.9 million as of September 30, 2024 and December 31, 2023. As required by NYSDEC, companies with landflls are required to fund a trust to cover closure costs and expenses afer the landfll has stopped operatng or, in lieu of a trust, may negotate to maintain a leter of credit guaranteeing the payment of the liability. Estmates are based on various assumptons including, but not limited to, closure and post-closure cost estmates, tming of expenditures, escalaton factors, and requirements of granted permits. Additonal adjustments to the environment liability may occur periodically due to potental changes in estmates and assumptons. The liability has been determined based on estmated costs to remediate as well as post-closure costs which are assumed over an approximate 30-year period and assumes an annual infaton rate of 2.4%.</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Commitments</w:t>
      </w:r>
    </w:p>
    <w:p>
      <w:pPr>
        <w:spacing w:after="0" w:line="244" w:lineRule="exact"/>
        <w:rPr>
          <w:sz w:val="20"/>
          <w:szCs w:val="20"/>
          <w:color w:val="auto"/>
        </w:rPr>
      </w:pPr>
    </w:p>
    <w:p>
      <w:pPr>
        <w:ind w:right="80"/>
        <w:spacing w:after="0" w:line="225" w:lineRule="auto"/>
        <w:rPr>
          <w:sz w:val="20"/>
          <w:szCs w:val="20"/>
          <w:color w:val="auto"/>
        </w:rPr>
      </w:pPr>
      <w:r>
        <w:rPr>
          <w:rFonts w:ascii="Calibri" w:cs="Calibri" w:eastAsia="Calibri" w:hAnsi="Calibri"/>
          <w:sz w:val="18"/>
          <w:szCs w:val="18"/>
          <w:color w:val="auto"/>
        </w:rPr>
        <w:t>The Company entered into a contract with Empire Pipeline Incorporated in September 2020 which provides for the transportaton to its pipeline of 15,000 dekatherms of natural gas per day, approximately $0.2 million per month. The contract ends in September 2030 and may be terminated by either party with 12 months’ notce afer the inital 10-year period.</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CONCENTRATIONS</w:t>
      </w:r>
    </w:p>
    <w:p>
      <w:pPr>
        <w:spacing w:after="0" w:line="1" w:lineRule="exact"/>
        <w:rPr>
          <w:sz w:val="20"/>
          <w:szCs w:val="20"/>
          <w:color w:val="auto"/>
        </w:rPr>
      </w:pPr>
    </w:p>
    <w:p>
      <w:pPr>
        <w:ind w:right="40"/>
        <w:spacing w:after="0" w:line="242" w:lineRule="auto"/>
        <w:rPr>
          <w:sz w:val="20"/>
          <w:szCs w:val="20"/>
          <w:color w:val="auto"/>
        </w:rPr>
      </w:pPr>
      <w:r>
        <w:rPr>
          <w:rFonts w:ascii="Calibri" w:cs="Calibri" w:eastAsia="Calibri" w:hAnsi="Calibri"/>
          <w:sz w:val="17"/>
          <w:szCs w:val="17"/>
          <w:color w:val="auto"/>
        </w:rPr>
        <w:t>The Company has a single hostng customer that accounted for 53% and 58% of the Company’s revenue during the three months ended September 30, 2024 and 2023, respectvely, as well as 50% and 57% of the Company’s revenue during the nine months ended September 30, 2024 and 2023, respectvely.</w:t>
      </w:r>
    </w:p>
    <w:p>
      <w:pPr>
        <w:spacing w:after="0" w:line="20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For the Company’s self-mining operatons, Greenidge considers its mining pool operators to be its customers. Greenidge has historically used a limited number of pool operators that have operated under contracts with a one-day term, which allows Greenidge the opton to change pool operators at any tme. Revenue from one of the Company’s pool operator customers accounted for approximately 26% and 32% of total revenue for the three months ended September 30, 2024 and 2023, respectvely, and 34% and 31% for the nine months ended September 30, 2024 and 2023, respectvely.</w:t>
      </w:r>
    </w:p>
    <w:p>
      <w:pPr>
        <w:spacing w:after="0" w:line="11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Company has one major power customer, NYISO, that accounted for 21% and 10% of its revenue for the three months ended September 30, 2024 and 2023, respectvely, and 16% and 10% for the nine months ended September 30, 2024 and 2023, respectvely.</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one natural gas vendor that accounted for approximately 33% and 19% of cost of revenue for the three months ended September 30, 2024 and 2023, respectvely, and 36% and 26% for the nine months ended September 30, 2024 and 2023, respectvely.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24" w:name="page25"/>
    <w:bookmarkEnd w:id="24"/>
    <w:p>
      <w:pPr>
        <w:ind w:right="20"/>
        <w:spacing w:after="0" w:line="235" w:lineRule="auto"/>
        <w:rPr>
          <w:sz w:val="20"/>
          <w:szCs w:val="20"/>
          <w:color w:val="auto"/>
        </w:rPr>
      </w:pPr>
      <w:r>
        <w:rPr>
          <w:rFonts w:ascii="Calibri" w:cs="Calibri" w:eastAsia="Calibri" w:hAnsi="Calibri"/>
          <w:sz w:val="18"/>
          <w:szCs w:val="18"/>
          <w:color w:val="auto"/>
        </w:rPr>
        <w:t>The Company previously had one major provider of hostng services for its self-mining operaton that accounted for approximately 0% and 24% of cost of revenue for the three months ended September 30, 2024 and 2023, respectvely, and 12% and 15% of cost of revenue for the nine months ended September 30, 2024 and 2023, respectvely. During the nine months ended September 30, 2024, the contract with the Company’s major provider of hostng services for its self-mining operaton was terminated. As a result, the Company deployed the miners operated at the host’s site to sites they operate as part of its self-mining operatons.</w:t>
      </w: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RELATED PARTY TRANSACTIONS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Leters of Credit</w:t>
      </w:r>
    </w:p>
    <w:p>
      <w:pPr>
        <w:spacing w:after="0" w:line="4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Atlas Holdings LLC, our controlling shareholder and a related party (collectvely with its afliates, "Atlas"), obtained a leter of credit from a fnancial insttuton in the amount of $5.0 million at September 30, 2024 and December 31, 2023, payable to the NYSDEC. This leter of credit guarantees the current value of the Company’s landfll environmental trust liability. See Note 10, "Commitments and Contngencies" for further details.</w:t>
      </w:r>
    </w:p>
    <w:p>
      <w:pPr>
        <w:spacing w:after="0" w:line="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Atlas also has a leter of credit from a fnancial insttuton in the amount of $3.6 million at September 30, 2024 and December 31, 2023, payable to Empire Pipeline Incorporated (“Empire”) in the event the Company should not make contracted payments for costs related to a pipeline interconnecton project the Company has entered into with Empire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Mississippi Expansion</w:t>
      </w:r>
    </w:p>
    <w:p>
      <w:pPr>
        <w:spacing w:after="0" w:line="5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portolio company of Atlas. The purchase price was $1.45 million, which was paid during the nine months ended September 30, 2024. This property provides us with access to 32.5 MW of additonal power capacity. The transacton closed in April 2024 and we deployed 8.5 MW of miners on the property as of September 30,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Co-Defendant Endorsement</w:t>
      </w:r>
    </w:p>
    <w:p>
      <w:pPr>
        <w:spacing w:after="0" w:line="4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October 14, 2024, the Company agreed to include a co-defendant endorsement under its directors and ofcers liability insurance policy (the "D&amp;O Policy") with respect to Atlas and certain of its afliates, which, in certain circumstances, extends coverage to claims for losses atributable to a wrongful act of the Company or any of our insured persons jointly made and contnuously maintained against the Company and/or any of our insured persons under the D&amp;O Policy, on the one hand, and Atlas and/or certain of its afliates, on the other. The inclusion of such co-defendant endorsement resulted in no change to the Company's premiums with respect to its D&amp;O insurance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w:t>
      </w:r>
    </w:p>
    <w:p>
      <w:pPr>
        <w:spacing w:after="0" w:line="42"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Afliates of Atlas from tme to tme incur certain costs for the beneft of Greenidge, which are fully reimbursed by Greenidge. Greenidge did not reimburse Atlas or its afliates for any such costs during the quarter ended September 30, 2024.</w:t>
      </w:r>
    </w:p>
    <w:p>
      <w:pPr>
        <w:spacing w:after="0" w:line="218" w:lineRule="exact"/>
        <w:rPr>
          <w:sz w:val="20"/>
          <w:szCs w:val="20"/>
          <w:color w:val="auto"/>
        </w:rPr>
      </w:pPr>
    </w:p>
    <w:p>
      <w:pPr>
        <w:ind w:right="6220" w:firstLine="8"/>
        <w:spacing w:after="0" w:line="466" w:lineRule="auto"/>
        <w:tabs>
          <w:tab w:leader="none" w:pos="264" w:val="left"/>
        </w:tabs>
        <w:numPr>
          <w:ilvl w:val="0"/>
          <w:numId w:val="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SUPPLEMENTAL BALANCE SHEET AND CASH FLOW INFORMATION Contract liabilites</w:t>
      </w:r>
    </w:p>
    <w:p>
      <w:pPr>
        <w:spacing w:after="0" w:line="1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At tmes, we receive payments from customers before revenue is recognized, resultng in the recogniton of a contract liability presented on the 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20" w:type="dxa"/>
            <w:vAlign w:val="bottom"/>
          </w:tcPr>
          <w:p>
            <w:pPr>
              <w:spacing w:after="0"/>
              <w:rPr>
                <w:sz w:val="20"/>
                <w:szCs w:val="20"/>
                <w:color w:val="auto"/>
              </w:rPr>
            </w:pPr>
            <w:r>
              <w:rPr>
                <w:rFonts w:ascii="Calibri" w:cs="Calibri" w:eastAsia="Calibri" w:hAnsi="Calibri"/>
                <w:sz w:val="18"/>
                <w:szCs w:val="18"/>
                <w:color w:val="auto"/>
              </w:rPr>
              <w:t>Changes in the Contract liability balance for the nine months ended September 30, 2024 are as follows: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6"/>
        </w:trPr>
        <w:tc>
          <w:tcPr>
            <w:tcW w:w="9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b w:val="1"/>
                <w:bCs w:val="1"/>
                <w:color w:val="auto"/>
                <w:w w:val="99"/>
              </w:rPr>
              <w:t>Contract Liabilites</w:t>
            </w:r>
          </w:p>
        </w:tc>
      </w:tr>
      <w:tr>
        <w:trPr>
          <w:trHeight w:val="216"/>
        </w:trPr>
        <w:tc>
          <w:tcPr>
            <w:tcW w:w="9620" w:type="dxa"/>
            <w:vAlign w:val="bottom"/>
          </w:tcPr>
          <w:p>
            <w:pPr>
              <w:ind w:left="20"/>
              <w:spacing w:after="0" w:line="199" w:lineRule="exact"/>
              <w:rPr>
                <w:sz w:val="20"/>
                <w:szCs w:val="20"/>
                <w:color w:val="auto"/>
              </w:rPr>
            </w:pPr>
            <w:r>
              <w:rPr>
                <w:rFonts w:ascii="Calibri" w:cs="Calibri" w:eastAsia="Calibri" w:hAnsi="Calibri"/>
                <w:sz w:val="18"/>
                <w:szCs w:val="18"/>
                <w:color w:val="auto"/>
              </w:rPr>
              <w:t>Balance as of December 31, 2023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96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Revenue recognized</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96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Deposits received</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2,200</w:t>
            </w:r>
          </w:p>
        </w:tc>
      </w:tr>
      <w:tr>
        <w:trPr>
          <w:trHeight w:val="255"/>
        </w:trPr>
        <w:tc>
          <w:tcPr>
            <w:tcW w:w="9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Balance as of September 30, 2024</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2,200</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color w:val="auto"/>
        </w:rPr>
        <w:t>Prepaid expenses and accrued expenses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720" w:type="dxa"/>
            <w:vAlign w:val="bottom"/>
            <w:gridSpan w:val="4"/>
          </w:tcPr>
          <w:p>
            <w:pPr>
              <w:jc w:val="right"/>
              <w:ind w:right="300"/>
              <w:spacing w:after="0"/>
              <w:rPr>
                <w:sz w:val="20"/>
                <w:szCs w:val="20"/>
                <w:color w:val="auto"/>
              </w:rPr>
            </w:pPr>
            <w:r>
              <w:rPr>
                <w:rFonts w:ascii="Calibri" w:cs="Calibri" w:eastAsia="Calibri" w:hAnsi="Calibri"/>
                <w:sz w:val="14"/>
                <w:szCs w:val="14"/>
                <w:b w:val="1"/>
                <w:bCs w:val="1"/>
                <w:color w:val="auto"/>
              </w:rPr>
              <w:t>September 30, 2024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47"/>
        </w:trPr>
        <w:tc>
          <w:tcPr>
            <w:tcW w:w="790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Prepaid expenses:</w:t>
            </w: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Electric deposits</w:t>
            </w:r>
          </w:p>
        </w:tc>
        <w:tc>
          <w:tcPr>
            <w:tcW w:w="280" w:type="dxa"/>
            <w:vAlign w:val="bottom"/>
            <w:shd w:val="clear" w:color="auto" w:fill="CCEEFF"/>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588</w:t>
            </w:r>
          </w:p>
        </w:tc>
        <w:tc>
          <w:tcPr>
            <w:tcW w:w="10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insurance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Warrant asset</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CEEFF"/>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3"/>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auto"/>
              </w:rPr>
              <w:t>Accrued expenses: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Accrued interest</w:t>
            </w:r>
          </w:p>
        </w:tc>
        <w:tc>
          <w:tcPr>
            <w:tcW w:w="280" w:type="dxa"/>
            <w:vAlign w:val="bottom"/>
            <w:shd w:val="clear" w:color="auto" w:fill="CCEEFF"/>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1,026</w:t>
            </w:r>
          </w:p>
        </w:tc>
        <w:tc>
          <w:tcPr>
            <w:tcW w:w="10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3,145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CEEFF"/>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4,171</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3"/>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6,116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color w:val="auto"/>
              </w:rPr>
              <w:t>Greenidge had the following noncash investng and fnancing actvites: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9"/>
          </w:tcPr>
          <w:p>
            <w:pPr>
              <w:ind w:left="200"/>
              <w:spacing w:after="0"/>
              <w:rPr>
                <w:sz w:val="20"/>
                <w:szCs w:val="20"/>
                <w:color w:val="auto"/>
              </w:rPr>
            </w:pPr>
            <w:r>
              <w:rPr>
                <w:rFonts w:ascii="Calibri" w:cs="Calibri" w:eastAsia="Calibri" w:hAnsi="Calibri"/>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Cumulatve-efect adjustment due to the adopton of ASU 2023-08</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and equipment purchases in accounts payable</w:t>
            </w: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Common stock issued for amendment fee to lender</w:t>
            </w:r>
          </w:p>
        </w:tc>
        <w:tc>
          <w:tcPr>
            <w:tcW w:w="560" w:type="dxa"/>
            <w:vAlign w:val="bottom"/>
            <w:gridSpan w:val="2"/>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line="215" w:lineRule="exact"/>
              <w:rPr>
                <w:sz w:val="20"/>
                <w:szCs w:val="20"/>
                <w:color w:val="auto"/>
              </w:rPr>
            </w:pPr>
            <w:r>
              <w:rPr>
                <w:rFonts w:ascii="Calibri" w:cs="Calibri" w:eastAsia="Calibri" w:hAnsi="Calibri"/>
                <w:sz w:val="18"/>
                <w:szCs w:val="18"/>
                <w:color w:val="auto"/>
              </w:rPr>
              <w:t>Sale of equipment in exchange for receivable</w:t>
            </w: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Exchange of assets for reducton in debt</w:t>
            </w:r>
          </w:p>
        </w:tc>
        <w:tc>
          <w:tcPr>
            <w:tcW w:w="560" w:type="dxa"/>
            <w:vAlign w:val="bottom"/>
            <w:gridSpan w:val="2"/>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49,950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line="215" w:lineRule="exact"/>
              <w:rPr>
                <w:sz w:val="20"/>
                <w:szCs w:val="20"/>
                <w:color w:val="auto"/>
              </w:rPr>
            </w:pPr>
            <w:r>
              <w:rPr>
                <w:rFonts w:ascii="Calibri" w:cs="Calibri" w:eastAsia="Calibri" w:hAnsi="Calibri"/>
                <w:sz w:val="18"/>
                <w:szCs w:val="18"/>
                <w:color w:val="auto"/>
              </w:rPr>
              <w:t>Exchange of coupons for reducton in debt</w:t>
            </w: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Exchange of equipment deposits for reducton in debt</w:t>
            </w:r>
          </w:p>
        </w:tc>
        <w:tc>
          <w:tcPr>
            <w:tcW w:w="560" w:type="dxa"/>
            <w:vAlign w:val="bottom"/>
            <w:gridSpan w:val="2"/>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7,381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interest added to debt principal</w:t>
            </w: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Right-of-use asset obtained in exchange for operatng lease liability</w:t>
            </w:r>
          </w:p>
        </w:tc>
        <w:tc>
          <w:tcPr>
            <w:tcW w:w="560" w:type="dxa"/>
            <w:vAlign w:val="bottom"/>
            <w:gridSpan w:val="2"/>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156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490"/>
        </w:trPr>
        <w:tc>
          <w:tcPr>
            <w:tcW w:w="7900" w:type="dxa"/>
            <w:vAlign w:val="bottom"/>
          </w:tcPr>
          <w:p>
            <w:pPr>
              <w:spacing w:after="0"/>
              <w:rPr>
                <w:sz w:val="20"/>
                <w:szCs w:val="20"/>
                <w:color w:val="auto"/>
              </w:rPr>
            </w:pPr>
            <w:r>
              <w:rPr>
                <w:rFonts w:ascii="Calibri" w:cs="Calibri" w:eastAsia="Calibri" w:hAnsi="Calibri"/>
                <w:sz w:val="18"/>
                <w:szCs w:val="18"/>
                <w:color w:val="auto"/>
              </w:rPr>
              <w:t>The following table provides supplemental cash fow informaton for cash paid for interest: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9"/>
          </w:tcPr>
          <w:p>
            <w:pPr>
              <w:jc w:val="center"/>
              <w:ind w:right="300"/>
              <w:spacing w:after="0"/>
              <w:rPr>
                <w:sz w:val="20"/>
                <w:szCs w:val="20"/>
                <w:color w:val="auto"/>
              </w:rPr>
            </w:pPr>
            <w:r>
              <w:rPr>
                <w:rFonts w:ascii="Calibri" w:cs="Calibri" w:eastAsia="Calibri" w:hAnsi="Calibri"/>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Cash paid for interest</w:t>
            </w: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4,603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color w:val="auto"/>
        </w:rPr>
        <w:t>14. DIGITAL ASSETS</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our bitcoin holdings as of September 30, 2024 and December 31, 2023 (in thousands, except bitcoin held):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0"/>
              <w:spacing w:after="0"/>
              <w:rPr>
                <w:sz w:val="20"/>
                <w:szCs w:val="20"/>
                <w:color w:val="auto"/>
              </w:rPr>
            </w:pPr>
            <w:r>
              <w:rPr>
                <w:rFonts w:ascii="Calibri" w:cs="Calibri" w:eastAsia="Calibri" w:hAnsi="Calibri"/>
                <w:sz w:val="18"/>
                <w:szCs w:val="18"/>
                <w:b w:val="1"/>
                <w:bCs w:val="1"/>
                <w:color w:val="auto"/>
              </w:rPr>
              <w:t>September 30,</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2"/>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b w:val="1"/>
                <w:bCs w:val="1"/>
                <w:color w:val="auto"/>
              </w:rPr>
              <w:t>Digital assets holdings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7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Calibri" w:cs="Calibri" w:eastAsia="Calibri" w:hAnsi="Calibri"/>
                <w:sz w:val="18"/>
                <w:szCs w:val="18"/>
                <w:b w:val="1"/>
                <w:bCs w:val="1"/>
                <w:color w:val="auto"/>
                <w:w w:val="98"/>
              </w:rPr>
              <w:t>December 31, 2023</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Number of bitcoin held</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60.7</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8.7</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Carrying basis of bitcoin</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3,721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347</w:t>
            </w: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Fair Value of bitcoin</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3,845</w:t>
            </w:r>
          </w:p>
        </w:tc>
        <w:tc>
          <w:tcPr>
            <w:tcW w:w="100" w:type="dxa"/>
            <w:vAlign w:val="bottom"/>
          </w:tcPr>
          <w:p>
            <w:pPr>
              <w:spacing w:after="0"/>
              <w:rPr>
                <w:sz w:val="18"/>
                <w:szCs w:val="18"/>
                <w:color w:val="auto"/>
              </w:rPr>
            </w:pPr>
          </w:p>
        </w:tc>
        <w:tc>
          <w:tcPr>
            <w:tcW w:w="62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369</w:t>
            </w:r>
          </w:p>
        </w:tc>
      </w:tr>
    </w:tbl>
    <w:p>
      <w:pPr>
        <w:spacing w:after="0" w:line="30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carrying basis represents the valuaton of bitcoin at the tme the Company earns the bitcoin through mining actvites. The carrying amount for 8.7 bitcoin held as of December 31, 2023 was determined on the "cost-less-impairment" basis prior to the adopton of ASU 2023-08.</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a reconciliaton of the fair values of our digital assets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ind w:right="70"/>
              <w:spacing w:after="0" w:line="180" w:lineRule="exact"/>
              <w:rPr>
                <w:sz w:val="20"/>
                <w:szCs w:val="20"/>
                <w:color w:val="auto"/>
              </w:rPr>
            </w:pPr>
            <w:r>
              <w:rPr>
                <w:rFonts w:ascii="Calibri" w:cs="Calibri" w:eastAsia="Calibri" w:hAnsi="Calibri"/>
                <w:sz w:val="18"/>
                <w:szCs w:val="18"/>
                <w:b w:val="1"/>
                <w:bCs w:val="1"/>
                <w:color w:val="auto"/>
                <w:w w:val="98"/>
              </w:rPr>
              <w:t>Three Months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75"/>
        </w:trPr>
        <w:tc>
          <w:tcPr>
            <w:tcW w:w="8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80"/>
              <w:spacing w:after="0" w:line="175" w:lineRule="exact"/>
              <w:rPr>
                <w:sz w:val="20"/>
                <w:szCs w:val="20"/>
                <w:color w:val="auto"/>
              </w:rPr>
            </w:pPr>
            <w:r>
              <w:rPr>
                <w:rFonts w:ascii="Calibri" w:cs="Calibri" w:eastAsia="Calibri" w:hAnsi="Calibri"/>
                <w:sz w:val="18"/>
                <w:szCs w:val="18"/>
                <w:b w:val="1"/>
                <w:bCs w:val="1"/>
                <w:color w:val="auto"/>
                <w:w w:val="98"/>
              </w:rPr>
              <w:t>Ended</w:t>
            </w:r>
          </w:p>
        </w:tc>
        <w:tc>
          <w:tcPr>
            <w:tcW w:w="1480" w:type="dxa"/>
            <w:vAlign w:val="bottom"/>
            <w:gridSpan w:val="2"/>
            <w:shd w:val="clear" w:color="auto" w:fill="CCEEFF"/>
          </w:tcPr>
          <w:p>
            <w:pPr>
              <w:ind w:left="20"/>
              <w:spacing w:after="0" w:line="175" w:lineRule="exact"/>
              <w:rPr>
                <w:sz w:val="20"/>
                <w:szCs w:val="20"/>
                <w:color w:val="auto"/>
              </w:rPr>
            </w:pPr>
            <w:r>
              <w:rPr>
                <w:rFonts w:ascii="Calibri" w:cs="Calibri" w:eastAsia="Calibri" w:hAnsi="Calibri"/>
                <w:sz w:val="18"/>
                <w:szCs w:val="18"/>
                <w:b w:val="1"/>
                <w:bCs w:val="1"/>
                <w:color w:val="auto"/>
                <w:w w:val="97"/>
              </w:rPr>
              <w:t>Nine Months Ended</w:t>
            </w:r>
          </w:p>
        </w:tc>
      </w:tr>
      <w:tr>
        <w:trPr>
          <w:trHeight w:val="176"/>
        </w:trPr>
        <w:tc>
          <w:tcPr>
            <w:tcW w:w="8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60"/>
              <w:spacing w:after="0" w:line="175" w:lineRule="exact"/>
              <w:rPr>
                <w:sz w:val="20"/>
                <w:szCs w:val="20"/>
                <w:color w:val="auto"/>
              </w:rPr>
            </w:pPr>
            <w:r>
              <w:rPr>
                <w:rFonts w:ascii="Calibri" w:cs="Calibri" w:eastAsia="Calibri" w:hAnsi="Calibri"/>
                <w:sz w:val="18"/>
                <w:szCs w:val="18"/>
                <w:b w:val="1"/>
                <w:bCs w:val="1"/>
                <w:color w:val="auto"/>
                <w:w w:val="98"/>
              </w:rPr>
              <w:t>September 30,</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30"/>
              <w:spacing w:after="0" w:line="175" w:lineRule="exact"/>
              <w:rPr>
                <w:sz w:val="20"/>
                <w:szCs w:val="20"/>
                <w:color w:val="auto"/>
              </w:rPr>
            </w:pPr>
            <w:r>
              <w:rPr>
                <w:rFonts w:ascii="Calibri" w:cs="Calibri" w:eastAsia="Calibri" w:hAnsi="Calibri"/>
                <w:sz w:val="18"/>
                <w:szCs w:val="18"/>
                <w:b w:val="1"/>
                <w:bCs w:val="1"/>
                <w:color w:val="auto"/>
                <w:w w:val="98"/>
              </w:rPr>
              <w:t>September 30,</w:t>
            </w:r>
          </w:p>
        </w:tc>
      </w:tr>
      <w:tr>
        <w:trPr>
          <w:trHeight w:val="252"/>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Digital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70"/>
              <w:spacing w:after="0"/>
              <w:rPr>
                <w:sz w:val="20"/>
                <w:szCs w:val="20"/>
                <w:color w:val="auto"/>
              </w:rPr>
            </w:pPr>
            <w:r>
              <w:rPr>
                <w:rFonts w:ascii="Calibri" w:cs="Calibri" w:eastAsia="Calibri" w:hAnsi="Calibri"/>
                <w:sz w:val="18"/>
                <w:szCs w:val="18"/>
                <w:b w:val="1"/>
                <w:bCs w:val="1"/>
                <w:color w:val="auto"/>
                <w:w w:val="98"/>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70"/>
              <w:spacing w:after="0" w:line="215" w:lineRule="exact"/>
              <w:rPr>
                <w:sz w:val="20"/>
                <w:szCs w:val="20"/>
                <w:color w:val="auto"/>
              </w:rPr>
            </w:pPr>
            <w:r>
              <w:rPr>
                <w:rFonts w:ascii="Calibri" w:cs="Calibri" w:eastAsia="Calibri" w:hAnsi="Calibri"/>
                <w:sz w:val="18"/>
                <w:szCs w:val="18"/>
                <w:b w:val="1"/>
                <w:bCs w:val="1"/>
                <w:color w:val="auto"/>
              </w:rPr>
              <w:t>2024</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Beginning balance at fair value</w:t>
            </w:r>
          </w:p>
        </w:tc>
        <w:tc>
          <w:tcPr>
            <w:tcW w:w="1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961</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369</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Additons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15,041</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Dispositons</w:t>
            </w:r>
          </w:p>
        </w:tc>
        <w:tc>
          <w:tcPr>
            <w:tcW w:w="1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(11,769)</w:t>
            </w:r>
          </w:p>
        </w:tc>
      </w:tr>
      <w:tr>
        <w:trPr>
          <w:trHeight w:val="230"/>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Gain (loss) on digital assets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204</w:t>
            </w:r>
          </w:p>
        </w:tc>
      </w:tr>
      <w:tr>
        <w:trPr>
          <w:trHeight w:val="230"/>
        </w:trPr>
        <w:tc>
          <w:tcPr>
            <w:tcW w:w="8180" w:type="dxa"/>
            <w:vAlign w:val="bottom"/>
          </w:tcPr>
          <w:p>
            <w:pPr>
              <w:ind w:left="20"/>
              <w:spacing w:after="0"/>
              <w:rPr>
                <w:sz w:val="20"/>
                <w:szCs w:val="20"/>
                <w:color w:val="auto"/>
              </w:rPr>
            </w:pPr>
            <w:r>
              <w:rPr>
                <w:rFonts w:ascii="Calibri" w:cs="Calibri" w:eastAsia="Calibri" w:hAnsi="Calibri"/>
                <w:sz w:val="18"/>
                <w:szCs w:val="18"/>
                <w:color w:val="auto"/>
              </w:rPr>
              <w:t>Ending balance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3,845</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bitcoin holdings are not subject to contractual sale restrictons. As of September 30, 2024, the Company held no other digital assets.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b w:val="1"/>
          <w:bCs w:val="1"/>
          <w:color w:val="auto"/>
        </w:rPr>
        <w:t>15. FAIR VALUE</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The Company follows the guidance in ASC Topic 820, </w:t>
      </w:r>
      <w:r>
        <w:rPr>
          <w:rFonts w:ascii="Calibri" w:cs="Calibri" w:eastAsia="Calibri" w:hAnsi="Calibri"/>
          <w:sz w:val="18"/>
          <w:szCs w:val="18"/>
          <w:i w:val="1"/>
          <w:iCs w:val="1"/>
          <w:color w:val="auto"/>
        </w:rPr>
        <w:t>Fair Value Measurement</w:t>
      </w:r>
      <w:r>
        <w:rPr>
          <w:rFonts w:ascii="Calibri" w:cs="Calibri" w:eastAsia="Calibri" w:hAnsi="Calibri"/>
          <w:sz w:val="18"/>
          <w:szCs w:val="18"/>
          <w:color w:val="auto"/>
        </w:rPr>
        <w:t>. For assets and liabilites measured at fair value on a recurring and nonrecurring basis, a three-level hierarchy based upon observable and unobservable inputs is used to arrive at fair value. The Company uses valuaton approaches that maximize the use of observable inputs and minimize the use of unobservable inputs to the extent possible. The Company determines fair value based on assumptons that market partcipants would use in pricing an asset or liability in the principal or most advantageous market. When considering market partcipant assumptons in fair value measurements, the following fair value hierarchy distnguishes between observable and unobservable inputs, which are categorized in one of the following levels:</w:t>
      </w:r>
    </w:p>
    <w:p>
      <w:pPr>
        <w:spacing w:after="0" w:line="221" w:lineRule="exact"/>
        <w:rPr>
          <w:sz w:val="20"/>
          <w:szCs w:val="20"/>
          <w:color w:val="auto"/>
        </w:rPr>
      </w:pPr>
    </w:p>
    <w:p>
      <w:pPr>
        <w:ind w:left="660" w:right="340" w:hanging="328"/>
        <w:spacing w:after="0" w:line="235"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Level 1 inputs: Unadjusted quoted prices in actve markets for identcal assets or liabilites accessible to the reportng entty at the measurement date.</w:t>
      </w:r>
    </w:p>
    <w:p>
      <w:pPr>
        <w:spacing w:after="0" w:line="217" w:lineRule="exact"/>
        <w:rPr>
          <w:rFonts w:ascii="Calibri" w:cs="Calibri" w:eastAsia="Calibri" w:hAnsi="Calibri"/>
          <w:sz w:val="18"/>
          <w:szCs w:val="18"/>
          <w:color w:val="auto"/>
        </w:rPr>
      </w:pPr>
    </w:p>
    <w:p>
      <w:pPr>
        <w:ind w:left="660" w:right="540" w:hanging="328"/>
        <w:spacing w:after="0" w:line="235"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Level 2 inputs: Other than quoted prices included in Level 1 inputs that are observable for the asset or liability, either directly or indirectly, for substantally the full term of the asset or liability.</w:t>
      </w:r>
    </w:p>
    <w:p>
      <w:pPr>
        <w:spacing w:after="0" w:line="217" w:lineRule="exact"/>
        <w:rPr>
          <w:rFonts w:ascii="Calibri" w:cs="Calibri" w:eastAsia="Calibri" w:hAnsi="Calibri"/>
          <w:sz w:val="18"/>
          <w:szCs w:val="18"/>
          <w:color w:val="auto"/>
        </w:rPr>
      </w:pPr>
    </w:p>
    <w:p>
      <w:pPr>
        <w:ind w:left="660" w:right="600" w:hanging="328"/>
        <w:spacing w:after="0" w:line="235"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Level 3 inputs: Unobservable inputs for the asset or liability used to measure fair value to the extent that observable inputs are not available, thereby allowing for situatons in which there is litle, if any, market actvity for the asset or liability at measurement date.</w:t>
      </w:r>
    </w:p>
    <w:p>
      <w:pPr>
        <w:spacing w:after="0" w:line="164"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As of September 30, 2024, and December 31, 2023, the carrying amount of accounts receivable, prepaid expenses and other assets, income tax receivable, emissions and carbon ofset credits, income tax receivable, accounts payable,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color w:val="auto"/>
        </w:rPr>
        <w:t>accrued expenses, accrued emissions expense, and other short-term liabilites approximated their fair value due to their relatvely short maturites.</w:t>
      </w:r>
    </w:p>
    <w:p>
      <w:pPr>
        <w:spacing w:after="0" w:line="21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tables present informaton about the Company’s assets and liabilites that are measured at fair value on a recurring basis and indicate the fair value hierarchy of the valuaton inputs the Company utlized to determine such fair value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5"/>
            <w:shd w:val="clear" w:color="auto" w:fill="CCEEFF"/>
          </w:tcPr>
          <w:p>
            <w:pPr>
              <w:ind w:left="420"/>
              <w:spacing w:after="0"/>
              <w:rPr>
                <w:sz w:val="20"/>
                <w:szCs w:val="20"/>
                <w:color w:val="auto"/>
              </w:rPr>
            </w:pPr>
            <w:r>
              <w:rPr>
                <w:rFonts w:ascii="Calibri" w:cs="Calibri" w:eastAsia="Calibri" w:hAnsi="Calibri"/>
                <w:sz w:val="18"/>
                <w:szCs w:val="18"/>
                <w:b w:val="1"/>
                <w:bCs w:val="1"/>
                <w:color w:val="auto"/>
              </w:rPr>
              <w:t>As of December 31, 2023</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17"/>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ind w:left="220"/>
              <w:spacing w:after="0" w:line="215" w:lineRule="exact"/>
              <w:rPr>
                <w:sz w:val="20"/>
                <w:szCs w:val="20"/>
                <w:color w:val="auto"/>
              </w:rPr>
            </w:pPr>
            <w:r>
              <w:rPr>
                <w:rFonts w:ascii="Calibri" w:cs="Calibri" w:eastAsia="Calibri" w:hAnsi="Calibri"/>
                <w:sz w:val="18"/>
                <w:szCs w:val="18"/>
                <w:b w:val="1"/>
                <w:bCs w:val="1"/>
                <w:color w:val="auto"/>
              </w:rPr>
              <w:t>Level 1</w:t>
            </w:r>
          </w:p>
        </w:tc>
        <w:tc>
          <w:tcPr>
            <w:tcW w:w="1700" w:type="dxa"/>
            <w:vAlign w:val="bottom"/>
            <w:gridSpan w:val="3"/>
          </w:tcPr>
          <w:p>
            <w:pPr>
              <w:ind w:left="220"/>
              <w:spacing w:after="0" w:line="215" w:lineRule="exact"/>
              <w:rPr>
                <w:sz w:val="20"/>
                <w:szCs w:val="20"/>
                <w:color w:val="auto"/>
              </w:rPr>
            </w:pPr>
            <w:r>
              <w:rPr>
                <w:rFonts w:ascii="Calibri" w:cs="Calibri" w:eastAsia="Calibri" w:hAnsi="Calibri"/>
                <w:sz w:val="18"/>
                <w:szCs w:val="18"/>
                <w:b w:val="1"/>
                <w:bCs w:val="1"/>
                <w:color w:val="auto"/>
              </w:rPr>
              <w:t>Level 2</w:t>
            </w:r>
          </w:p>
        </w:tc>
        <w:tc>
          <w:tcPr>
            <w:tcW w:w="136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Level 3</w:t>
            </w:r>
          </w:p>
        </w:tc>
        <w:tc>
          <w:tcPr>
            <w:tcW w:w="380" w:type="dxa"/>
            <w:vAlign w:val="bottom"/>
          </w:tcPr>
          <w:p>
            <w:pPr>
              <w:spacing w:after="0"/>
              <w:rPr>
                <w:sz w:val="18"/>
                <w:szCs w:val="18"/>
                <w:color w:val="auto"/>
              </w:rPr>
            </w:pPr>
          </w:p>
        </w:tc>
        <w:tc>
          <w:tcPr>
            <w:tcW w:w="1240" w:type="dxa"/>
            <w:vAlign w:val="bottom"/>
          </w:tcPr>
          <w:p>
            <w:pPr>
              <w:jc w:val="right"/>
              <w:ind w:right="530"/>
              <w:spacing w:after="0" w:line="215" w:lineRule="exact"/>
              <w:rPr>
                <w:sz w:val="20"/>
                <w:szCs w:val="20"/>
                <w:color w:val="auto"/>
              </w:rPr>
            </w:pPr>
            <w:r>
              <w:rPr>
                <w:rFonts w:ascii="Calibri" w:cs="Calibri" w:eastAsia="Calibri" w:hAnsi="Calibri"/>
                <w:sz w:val="18"/>
                <w:szCs w:val="18"/>
                <w:b w:val="1"/>
                <w:bCs w:val="1"/>
                <w:color w:val="auto"/>
              </w:rPr>
              <w:t>Total</w:t>
            </w:r>
          </w:p>
        </w:tc>
      </w:tr>
      <w:tr>
        <w:trPr>
          <w:trHeight w:val="216"/>
        </w:trPr>
        <w:tc>
          <w:tcPr>
            <w:tcW w:w="446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2"/>
        </w:trPr>
        <w:tc>
          <w:tcPr>
            <w:tcW w:w="446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current other assets: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7"/>
        </w:trPr>
        <w:tc>
          <w:tcPr>
            <w:tcW w:w="4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Warrant asset</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700" w:type="dxa"/>
            <w:vAlign w:val="bottom"/>
            <w:gridSpan w:val="3"/>
            <w:shd w:val="clear" w:color="auto" w:fill="CCEEFF"/>
          </w:tcPr>
          <w:p>
            <w:pPr>
              <w:ind w:left="1040"/>
              <w:spacing w:after="0"/>
              <w:rPr>
                <w:sz w:val="20"/>
                <w:szCs w:val="20"/>
                <w:color w:val="auto"/>
              </w:rPr>
            </w:pPr>
            <w:r>
              <w:rPr>
                <w:rFonts w:ascii="Calibri" w:cs="Calibri" w:eastAsia="Calibri" w:hAnsi="Calibri"/>
                <w:sz w:val="18"/>
                <w:szCs w:val="18"/>
                <w:color w:val="auto"/>
              </w:rPr>
              <w:t>—  $</w:t>
            </w:r>
          </w:p>
        </w:tc>
        <w:tc>
          <w:tcPr>
            <w:tcW w:w="1700" w:type="dxa"/>
            <w:vAlign w:val="bottom"/>
            <w:gridSpan w:val="3"/>
            <w:shd w:val="clear" w:color="auto" w:fill="CCEEFF"/>
          </w:tcPr>
          <w:p>
            <w:pPr>
              <w:ind w:left="1040"/>
              <w:spacing w:after="0"/>
              <w:rPr>
                <w:sz w:val="20"/>
                <w:szCs w:val="20"/>
                <w:color w:val="auto"/>
              </w:rPr>
            </w:pPr>
            <w:r>
              <w:rPr>
                <w:rFonts w:ascii="Calibri" w:cs="Calibri" w:eastAsia="Calibri" w:hAnsi="Calibri"/>
                <w:sz w:val="18"/>
                <w:szCs w:val="18"/>
                <w:color w:val="auto"/>
              </w:rPr>
              <w:t>—  $</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5"/>
            <w:shd w:val="clear" w:color="auto" w:fill="CCEEFF"/>
          </w:tcPr>
          <w:p>
            <w:pPr>
              <w:ind w:left="400"/>
              <w:spacing w:after="0"/>
              <w:rPr>
                <w:sz w:val="20"/>
                <w:szCs w:val="20"/>
                <w:color w:val="auto"/>
              </w:rPr>
            </w:pPr>
            <w:r>
              <w:rPr>
                <w:rFonts w:ascii="Calibri" w:cs="Calibri" w:eastAsia="Calibri" w:hAnsi="Calibri"/>
                <w:sz w:val="18"/>
                <w:szCs w:val="18"/>
                <w:b w:val="1"/>
                <w:bCs w:val="1"/>
                <w:color w:val="auto"/>
              </w:rPr>
              <w:t>As of September 30, 2024</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17"/>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Level 1</w:t>
            </w:r>
          </w:p>
        </w:tc>
        <w:tc>
          <w:tcPr>
            <w:tcW w:w="340" w:type="dxa"/>
            <w:vAlign w:val="bottom"/>
          </w:tcPr>
          <w:p>
            <w:pPr>
              <w:spacing w:after="0"/>
              <w:rPr>
                <w:sz w:val="18"/>
                <w:szCs w:val="18"/>
                <w:color w:val="auto"/>
              </w:rPr>
            </w:pPr>
          </w:p>
        </w:tc>
        <w:tc>
          <w:tcPr>
            <w:tcW w:w="136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Level 2</w:t>
            </w:r>
          </w:p>
        </w:tc>
        <w:tc>
          <w:tcPr>
            <w:tcW w:w="340" w:type="dxa"/>
            <w:vAlign w:val="bottom"/>
          </w:tcPr>
          <w:p>
            <w:pPr>
              <w:spacing w:after="0"/>
              <w:rPr>
                <w:sz w:val="18"/>
                <w:szCs w:val="18"/>
                <w:color w:val="auto"/>
              </w:rPr>
            </w:pPr>
          </w:p>
        </w:tc>
        <w:tc>
          <w:tcPr>
            <w:tcW w:w="136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Level 3</w:t>
            </w:r>
          </w:p>
        </w:tc>
        <w:tc>
          <w:tcPr>
            <w:tcW w:w="380" w:type="dxa"/>
            <w:vAlign w:val="bottom"/>
          </w:tcPr>
          <w:p>
            <w:pPr>
              <w:spacing w:after="0"/>
              <w:rPr>
                <w:sz w:val="18"/>
                <w:szCs w:val="18"/>
                <w:color w:val="auto"/>
              </w:rPr>
            </w:pPr>
          </w:p>
        </w:tc>
        <w:tc>
          <w:tcPr>
            <w:tcW w:w="1240" w:type="dxa"/>
            <w:vAlign w:val="bottom"/>
          </w:tcPr>
          <w:p>
            <w:pPr>
              <w:jc w:val="right"/>
              <w:ind w:right="530"/>
              <w:spacing w:after="0" w:line="215" w:lineRule="exact"/>
              <w:rPr>
                <w:sz w:val="20"/>
                <w:szCs w:val="20"/>
                <w:color w:val="auto"/>
              </w:rPr>
            </w:pPr>
            <w:r>
              <w:rPr>
                <w:rFonts w:ascii="Calibri" w:cs="Calibri" w:eastAsia="Calibri" w:hAnsi="Calibri"/>
                <w:sz w:val="18"/>
                <w:szCs w:val="18"/>
                <w:b w:val="1"/>
                <w:bCs w:val="1"/>
                <w:color w:val="auto"/>
              </w:rPr>
              <w:t>Total</w:t>
            </w:r>
          </w:p>
        </w:tc>
      </w:tr>
      <w:tr>
        <w:trPr>
          <w:trHeight w:val="216"/>
        </w:trPr>
        <w:tc>
          <w:tcPr>
            <w:tcW w:w="446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2"/>
        </w:trPr>
        <w:tc>
          <w:tcPr>
            <w:tcW w:w="4460" w:type="dxa"/>
            <w:vAlign w:val="bottom"/>
          </w:tcPr>
          <w:p>
            <w:pPr>
              <w:ind w:left="20"/>
              <w:spacing w:after="0" w:line="215" w:lineRule="exact"/>
              <w:rPr>
                <w:sz w:val="20"/>
                <w:szCs w:val="20"/>
                <w:color w:val="auto"/>
              </w:rPr>
            </w:pPr>
            <w:r>
              <w:rPr>
                <w:rFonts w:ascii="Calibri" w:cs="Calibri" w:eastAsia="Calibri" w:hAnsi="Calibri"/>
                <w:sz w:val="18"/>
                <w:szCs w:val="18"/>
                <w:color w:val="auto"/>
              </w:rPr>
              <w:t>Digital assets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3,845</w:t>
            </w:r>
          </w:p>
        </w:tc>
        <w:tc>
          <w:tcPr>
            <w:tcW w:w="100" w:type="dxa"/>
            <w:vAlign w:val="bottom"/>
          </w:tcPr>
          <w:p>
            <w:pPr>
              <w:spacing w:after="0"/>
              <w:rPr>
                <w:sz w:val="19"/>
                <w:szCs w:val="19"/>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ind w:left="10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3,845</w:t>
            </w:r>
          </w:p>
        </w:tc>
      </w:tr>
      <w:tr>
        <w:trPr>
          <w:trHeight w:val="237"/>
        </w:trPr>
        <w:tc>
          <w:tcPr>
            <w:tcW w:w="4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Prepaid expenses and current other assets: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4460" w:type="dxa"/>
            <w:vAlign w:val="bottom"/>
          </w:tcPr>
          <w:p>
            <w:pPr>
              <w:ind w:left="20"/>
              <w:spacing w:after="0" w:line="215" w:lineRule="exact"/>
              <w:rPr>
                <w:sz w:val="20"/>
                <w:szCs w:val="20"/>
                <w:color w:val="auto"/>
              </w:rPr>
            </w:pPr>
            <w:r>
              <w:rPr>
                <w:rFonts w:ascii="Calibri" w:cs="Calibri" w:eastAsia="Calibri" w:hAnsi="Calibri"/>
                <w:sz w:val="18"/>
                <w:szCs w:val="18"/>
                <w:color w:val="auto"/>
              </w:rPr>
              <w:t>Warrant asset</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ind w:left="10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80" w:type="dxa"/>
            <w:vAlign w:val="bottom"/>
          </w:tcPr>
          <w:p>
            <w:pPr>
              <w:spacing w:after="0"/>
              <w:rPr>
                <w:sz w:val="18"/>
                <w:szCs w:val="18"/>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r>
    </w:tbl>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Warrant Asset</w:t>
      </w:r>
    </w:p>
    <w:p>
      <w:pPr>
        <w:spacing w:after="0" w:line="217"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The fair value of the warrant asset was estmated by utlizing a Black-Scholes-Merton opton pricing model. The inputs into the Black-Scholes-Merton opton pricing model included signifcant unobservable inputs. The following table provides quanttatve informaton regarding the Level 3 fair value inputs: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00"/>
              <w:spacing w:after="0"/>
              <w:rPr>
                <w:sz w:val="20"/>
                <w:szCs w:val="20"/>
                <w:color w:val="auto"/>
              </w:rPr>
            </w:pPr>
            <w:r>
              <w:rPr>
                <w:rFonts w:ascii="Calibri" w:cs="Calibri" w:eastAsia="Calibri" w:hAnsi="Calibri"/>
                <w:sz w:val="18"/>
                <w:szCs w:val="18"/>
                <w:b w:val="1"/>
                <w:bCs w:val="1"/>
                <w:color w:val="auto"/>
              </w:rPr>
              <w:t>September 30, 2024</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250"/>
              <w:spacing w:after="0"/>
              <w:rPr>
                <w:sz w:val="20"/>
                <w:szCs w:val="20"/>
                <w:color w:val="auto"/>
              </w:rPr>
            </w:pPr>
            <w:r>
              <w:rPr>
                <w:rFonts w:ascii="Calibri" w:cs="Calibri" w:eastAsia="Calibri" w:hAnsi="Calibri"/>
                <w:sz w:val="18"/>
                <w:szCs w:val="18"/>
                <w:b w:val="1"/>
                <w:bCs w:val="1"/>
                <w:color w:val="auto"/>
              </w:rPr>
              <w:t>December 31, 2023</w:t>
            </w:r>
          </w:p>
        </w:tc>
      </w:tr>
      <w:tr>
        <w:trPr>
          <w:trHeight w:val="216"/>
        </w:trPr>
        <w:tc>
          <w:tcPr>
            <w:tcW w:w="2340" w:type="dxa"/>
            <w:vAlign w:val="bottom"/>
          </w:tcPr>
          <w:p>
            <w:pPr>
              <w:ind w:left="20"/>
              <w:spacing w:after="0" w:line="199" w:lineRule="exact"/>
              <w:rPr>
                <w:sz w:val="20"/>
                <w:szCs w:val="20"/>
                <w:color w:val="auto"/>
              </w:rPr>
            </w:pPr>
            <w:r>
              <w:rPr>
                <w:rFonts w:ascii="Calibri" w:cs="Calibri" w:eastAsia="Calibri" w:hAnsi="Calibri"/>
                <w:sz w:val="18"/>
                <w:szCs w:val="18"/>
                <w:color w:val="auto"/>
              </w:rPr>
              <w:t>Stock Price</w:t>
            </w:r>
          </w:p>
        </w:tc>
        <w:tc>
          <w:tcPr>
            <w:tcW w:w="220" w:type="dxa"/>
            <w:vAlign w:val="bottom"/>
            <w:tcBorders>
              <w:top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880" w:type="dxa"/>
            <w:vAlign w:val="bottom"/>
            <w:tcBorders>
              <w:top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3.10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880" w:type="dxa"/>
            <w:vAlign w:val="bottom"/>
            <w:tcBorders>
              <w:top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4.83</w:t>
            </w:r>
          </w:p>
        </w:tc>
      </w:tr>
      <w:tr>
        <w:trPr>
          <w:trHeight w:val="237"/>
        </w:trPr>
        <w:tc>
          <w:tcPr>
            <w:tcW w:w="23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Risk-free interest rate</w:t>
            </w: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5.21 %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5.14 %</w:t>
            </w:r>
          </w:p>
        </w:tc>
      </w:tr>
      <w:tr>
        <w:trPr>
          <w:trHeight w:val="222"/>
        </w:trPr>
        <w:tc>
          <w:tcPr>
            <w:tcW w:w="2340" w:type="dxa"/>
            <w:vAlign w:val="bottom"/>
          </w:tcPr>
          <w:p>
            <w:pPr>
              <w:ind w:left="20"/>
              <w:spacing w:after="0" w:line="215" w:lineRule="exact"/>
              <w:rPr>
                <w:sz w:val="20"/>
                <w:szCs w:val="20"/>
                <w:color w:val="auto"/>
              </w:rPr>
            </w:pPr>
            <w:r>
              <w:rPr>
                <w:rFonts w:ascii="Calibri" w:cs="Calibri" w:eastAsia="Calibri" w:hAnsi="Calibri"/>
                <w:sz w:val="18"/>
                <w:szCs w:val="18"/>
                <w:color w:val="auto"/>
              </w:rPr>
              <w:t>Volatlity</w:t>
            </w:r>
          </w:p>
        </w:tc>
        <w:tc>
          <w:tcPr>
            <w:tcW w:w="220" w:type="dxa"/>
            <w:vAlign w:val="bottom"/>
          </w:tcPr>
          <w:p>
            <w:pPr>
              <w:spacing w:after="0"/>
              <w:rPr>
                <w:sz w:val="19"/>
                <w:szCs w:val="19"/>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color w:val="auto"/>
              </w:rPr>
              <w:t>67.09 %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color w:val="auto"/>
              </w:rPr>
              <w:t>172.64 %</w:t>
            </w:r>
          </w:p>
        </w:tc>
      </w:tr>
      <w:tr>
        <w:trPr>
          <w:trHeight w:val="237"/>
        </w:trPr>
        <w:tc>
          <w:tcPr>
            <w:tcW w:w="23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Remaining term (in years)</w:t>
            </w: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0.75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r>
      <w:tr>
        <w:trPr>
          <w:trHeight w:val="215"/>
        </w:trPr>
        <w:tc>
          <w:tcPr>
            <w:tcW w:w="234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220" w:type="dxa"/>
            <w:vAlign w:val="bottom"/>
          </w:tcPr>
          <w:p>
            <w:pPr>
              <w:spacing w:after="0"/>
              <w:rPr>
                <w:sz w:val="18"/>
                <w:szCs w:val="18"/>
                <w:color w:val="auto"/>
              </w:rPr>
            </w:pPr>
          </w:p>
        </w:tc>
        <w:tc>
          <w:tcPr>
            <w:tcW w:w="20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 %</w:t>
            </w:r>
          </w:p>
        </w:tc>
        <w:tc>
          <w:tcPr>
            <w:tcW w:w="220" w:type="dxa"/>
            <w:vAlign w:val="bottom"/>
          </w:tcPr>
          <w:p>
            <w:pPr>
              <w:spacing w:after="0"/>
              <w:rPr>
                <w:sz w:val="18"/>
                <w:szCs w:val="18"/>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r>
    </w:tbl>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Assets Measured on a Nonrecurring Basis</w:t>
      </w:r>
    </w:p>
    <w:p>
      <w:pPr>
        <w:spacing w:after="0" w:line="21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Assets that are measured at fair value on a nonrecurring basis are remeasured when carrying value exceeds fair value. This includes the evaluaton of long-lived assets. Where an indicaton of an impairment exists, the Company’s estmates of fair value of long-lived assets require the use of signifcant unobservable inputs, representatve of Level 3 fair value measurements, including numerous assumptons with respect to future circumstances that might impact the long-lived assets’ operatons in the future and are therefore uncertain.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estmated future undiscounted net cash fows, based on prevailing market conditons, from the asset are less than its carrying amount. If impairment is indicated, the long-lived asset is writen down to fair value.</w:t>
      </w:r>
    </w:p>
    <w:p>
      <w:pPr>
        <w:spacing w:after="0" w:line="246" w:lineRule="exact"/>
        <w:rPr>
          <w:sz w:val="20"/>
          <w:szCs w:val="20"/>
          <w:color w:val="auto"/>
        </w:rPr>
      </w:pPr>
    </w:p>
    <w:p>
      <w:pPr>
        <w:jc w:val="both"/>
        <w:ind w:right="320"/>
        <w:spacing w:after="0" w:line="230" w:lineRule="auto"/>
        <w:rPr>
          <w:sz w:val="20"/>
          <w:szCs w:val="20"/>
          <w:color w:val="auto"/>
        </w:rPr>
      </w:pPr>
      <w:r>
        <w:rPr>
          <w:rFonts w:ascii="Calibri" w:cs="Calibri" w:eastAsia="Calibri" w:hAnsi="Calibri"/>
          <w:sz w:val="18"/>
          <w:szCs w:val="18"/>
          <w:color w:val="auto"/>
        </w:rPr>
        <w:t>There were no impairment charges for the three months ended September 30, 2024 and impairment charges of $4.0 million for the three months ended September 30, 2023. During the nine months ended September 30, 2024, the Company recognized an impairment charge of $0.2 million of property and equipment, net. There were impairment charges of $4.0 million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2" w:right="39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16. SUBSEQUENT EVENTS</w:t>
      </w:r>
    </w:p>
    <w:p>
      <w:pPr>
        <w:spacing w:after="0" w:line="217" w:lineRule="exact"/>
        <w:rPr>
          <w:sz w:val="20"/>
          <w:szCs w:val="20"/>
          <w:color w:val="auto"/>
        </w:rPr>
      </w:pPr>
    </w:p>
    <w:p>
      <w:pPr>
        <w:ind w:right="80"/>
        <w:spacing w:after="0" w:line="258" w:lineRule="auto"/>
        <w:rPr>
          <w:sz w:val="20"/>
          <w:szCs w:val="20"/>
          <w:color w:val="auto"/>
        </w:rPr>
      </w:pPr>
      <w:r>
        <w:rPr>
          <w:rFonts w:ascii="Calibri" w:cs="Calibri" w:eastAsia="Calibri" w:hAnsi="Calibri"/>
          <w:sz w:val="17"/>
          <w:szCs w:val="17"/>
          <w:color w:val="auto"/>
        </w:rPr>
        <w:t>Subsequent events have been evaluated through November 7, 2024, the date at which the condensed consolidated fnancial statements were available to be issued, and the Company has concluded that no such events or transactons took place that would require disclosure herein except as stated directly below.</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Delistng Notce</w:t>
      </w:r>
    </w:p>
    <w:p>
      <w:pPr>
        <w:spacing w:after="0" w:line="217" w:lineRule="exact"/>
        <w:rPr>
          <w:sz w:val="20"/>
          <w:szCs w:val="20"/>
          <w:color w:val="auto"/>
        </w:rPr>
      </w:pPr>
    </w:p>
    <w:p>
      <w:pPr>
        <w:spacing w:after="0" w:line="226" w:lineRule="auto"/>
        <w:rPr>
          <w:sz w:val="20"/>
          <w:szCs w:val="20"/>
          <w:color w:val="auto"/>
        </w:rPr>
      </w:pPr>
      <w:r>
        <w:rPr>
          <w:rFonts w:ascii="Calibri" w:cs="Calibri" w:eastAsia="Calibri" w:hAnsi="Calibri"/>
          <w:sz w:val="18"/>
          <w:szCs w:val="18"/>
          <w:color w:val="auto"/>
        </w:rPr>
        <w:t>On October 14, 2024, the Company received writen notce from the Listng Qualifcatons Department of The Nasdaq Stock Market LLC (“Nasdaq”) notfying the Company that, based on the staf’s review of the market value of publicly held shares (the “MVPHS”) of the Company’s Class A common stock, for 30 consecutve business days, the Company no longer complied with Nasdaq’s minimum MVPHS requirement of at least $15,000,000 for contnued listng on The Nasdaq Global Select Market. The notce provided that the Company had 180 days, or untl April 14, 2025, to regain compliance with the minimum MVPHS requirement for 10 consecutve business days.</w:t>
      </w:r>
    </w:p>
    <w:p>
      <w:pPr>
        <w:spacing w:after="0" w:line="248" w:lineRule="exact"/>
        <w:rPr>
          <w:sz w:val="20"/>
          <w:szCs w:val="20"/>
          <w:color w:val="auto"/>
        </w:rPr>
      </w:pPr>
    </w:p>
    <w:p>
      <w:pPr>
        <w:ind w:right="100"/>
        <w:spacing w:after="0" w:line="239" w:lineRule="auto"/>
        <w:rPr>
          <w:sz w:val="20"/>
          <w:szCs w:val="20"/>
          <w:color w:val="auto"/>
        </w:rPr>
      </w:pPr>
      <w:r>
        <w:rPr>
          <w:rFonts w:ascii="Calibri" w:cs="Calibri" w:eastAsia="Calibri" w:hAnsi="Calibri"/>
          <w:sz w:val="17"/>
          <w:szCs w:val="17"/>
          <w:color w:val="auto"/>
        </w:rPr>
        <w:t>On October 25, 2024, the Company received writen notce from Nasdaq notfying the Company that the staf has determined that for the 10 consecutve business days preceding October 25, 2024, the Company’s MVPHS has been $15,000,000 or greater. Accordingly, the Company has regained compliance with Nasdaq’s minimum MVPHS requirement for contnued listng on The Nasdaq Global Select Market, and the staf indicated that the mater has been closed.</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Exchange Agreements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October 24, 2024 and November 5, 2024, the Company entered into privately negotated exchange agreements, pursuant to which it issued an aggregate of 57,582 shares of the Company's Class A common stock, in exchange for $0.3 million aggregate principal amount of its 8.50% Senior Notes due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color w:val="auto"/>
        </w:rPr>
        <w:t>Item 2. Management’s Discussion and Analysis of Financial Conditon and Results of Operatons</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i w:val="1"/>
          <w:iCs w:val="1"/>
          <w:color w:val="auto"/>
        </w:rPr>
        <w:t xml:space="preserve">The following discussion should be read together with the audited fnancial statements and the related notes thereto of Greenidge Generaton Holdings Inc., together with its consolidated subsidiaries ("Greenidge" or the “Company”) for the years ended December 31, 2023 and 2022 included in our Annual Report on Form 10-K and the unaudited interim fnancial statements and related notes thereto of the Company for the three and nine months ended September 30, 2024 included elsewhere in this Quarterly Report on Form 10-Q. This discussion contains certain forward-looking statements that refect plans, estmates and beliefs and involve numerous risks and uncertaintes, including but not limited to those described in the “Risk Factors” disclosed in Item 1A to Part I of Greenidge's Annual Report on Form 10-K for the year ended December 31, 2023 </w:t>
      </w:r>
      <w:r>
        <w:rPr>
          <w:rFonts w:ascii="Calibri" w:cs="Calibri" w:eastAsia="Calibri" w:hAnsi="Calibri"/>
          <w:sz w:val="17"/>
          <w:szCs w:val="17"/>
          <w:color w:val="auto"/>
        </w:rPr>
        <w:t>and in this Quarterly Report on Form 10-Q,</w:t>
      </w:r>
      <w:r>
        <w:rPr>
          <w:rFonts w:ascii="Calibri" w:cs="Calibri" w:eastAsia="Calibri" w:hAnsi="Calibri"/>
          <w:sz w:val="17"/>
          <w:szCs w:val="17"/>
          <w:i w:val="1"/>
          <w:iCs w:val="1"/>
          <w:color w:val="auto"/>
        </w:rPr>
        <w:t xml:space="preserve"> and “Cautonary Statement Regarding Forward-Looking Statements” sectons of this Quarterly Report on Form 10-Q. Actual results may difer materially from those contained in any forward-looking statements. For purposes of this secton, “Greenidge“, “the Company,” “we,” “us” and “our” refer to Greenidge Generaton Holdings Inc. together with its consolidated subsidiaries. You should carefully read “Cautonary Statement Regarding Forward-Looking Statements” in this Quarterly Report on Form 10-Q.</w:t>
      </w: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own cryptocurrency datacenter operatons in the Town of Torrey, New York (the "New York Facility"), the Town of Columbia, Mississippi (the "Mississippi Facility"), lease property for purposes of operatng a cryptocurrency datacenter in the Town of Underwood, North Dakota (the "North Dakota Facility") and previously owned and operated a facility in Spartanburg, South Carolina (the "South Carolina Facility", and, collectvely, the "facilites"). The New York Facility is a vertcally integrated cryptocurrency datacenter and power generaton facility with an approximately 106 megawat ("MW") nameplate capacity, natural gas power generaton facility. We generate revenue from four primary sources: (1) datacenter hostng, which we commenced on January 30, 2023, (2) cryptocurrency mining, (3) power and capacity, and (4) engineering procurement and constructon management.</w:t>
      </w:r>
    </w:p>
    <w:p>
      <w:pPr>
        <w:spacing w:after="0" w:line="11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generate all the power we require for operatons in the New York Facility, where we enjoy relatvely lower market prices for natural gas due to our access to the Millennium Gas Pipeline price hub. We believe our compettve advantages include efciently designed mining infrastructure and in-house operatonal expertse that we believe is capable of maintaining a higher operatonal uptme of miners. We are mining bitcoin and hostng bitcoin miners, which contributes to the security and transactability of the bitcoin ecosystem while concurrently supplying power to assist in meetng the power needs of homes and businesses in the region served by our New York Facility.</w:t>
      </w:r>
    </w:p>
    <w:p>
      <w:pPr>
        <w:spacing w:after="0" w:line="11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Our datacenter operatons consists of approximately 29,200 miners with approximately 3.1 EH/S of combined capacity for both datacenter hostng and cryptocurrency mining, of which 18,200 miners or 1.8 EH/s, is associated with datacenter hostng and 11,000 miners, or 1.3 EH/s is associated with our cryptocurrency mining. In 2023, prior to the South Carolina transacton, our datacenter operatons consisted of approximately 42,300 miners with approximately 4.6 EH/s of combined capacity for both datacenter hostng and cryptocurrency mining, of which 32,100 miners, or 3.4 EH/s, were associated with datacenter hostng and 10,200 miners, or 1.2 EH/s, were associated with Greenidge’s cryptocurrency mining.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Developments</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the frst nine months of 2024, Greenidge made signifcant eforts to reduce costs, leading to selling, general and administratve expense reductons of $9.3 million compared to the same period in 2023. Greenidge also reported a reducton in overall operatng costs for its Bitcoin mining operatons in the third quarter of 2024, when compared to the same period of 2024, while expanding its footprint.</w:t>
      </w:r>
    </w:p>
    <w:p>
      <w:pPr>
        <w:spacing w:after="0" w:line="1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April 10, 2024, we closed on the purchase of a parcel of land containing approximately 12 acres located in Columbus, Mississippi, including over 73,000 square feet of industrial warehouse space, from a subsidiary of Motus Pivot Inc., a portolio company of Atlas, our controlling shareholder and a related party. The purchase price was $1.45 million, all of which was paid during the nine months ended September 30, 2024. This property provides us with access to 32.5 MW of additonal power capacity. The transacton closed in April 2024, and we deployed 8.5 MW of miners on the property as of September 30, 2024. We have also deployed additonal miners in conjuncton with a 7.5 MW mining capacity lease in North Dakota, which has a term of fve years and provides us with energy to power mining.</w:t>
      </w:r>
    </w:p>
    <w:p>
      <w:pPr>
        <w:spacing w:after="0" w:line="100"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Our successful executon of the June 2024 planned maintenance outage of the New York Facility and relocaton of owned miners from third-party operated sites to Company-operated facilites in the second quarter of 2024 resulted in our miners being non-operatonal for a period. We antcipate such actons will positvely impact its proftability in the near term by reducing operatonal costs and maintaining elevated uptme levels. We also contnue to explore additonal opportunites to further streamline operatons and improve efciency across its business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spacing w:after="0" w:line="227" w:lineRule="auto"/>
        <w:rPr>
          <w:sz w:val="20"/>
          <w:szCs w:val="20"/>
          <w:color w:val="auto"/>
        </w:rPr>
      </w:pPr>
      <w:r>
        <w:rPr>
          <w:rFonts w:ascii="Calibri" w:cs="Calibri" w:eastAsia="Calibri" w:hAnsi="Calibri"/>
          <w:sz w:val="18"/>
          <w:szCs w:val="18"/>
          <w:color w:val="auto"/>
        </w:rPr>
        <w:t>In July 2024, we announced the launch of our Pod X portable cryptocurrency mining infrastructure soluton, which is deployed at our facilites across the United States and refects a culminaton of our experience in maintaining optmal temperature control and uptme using portable mining equipment.</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August 1, 2024, we announced our new bitcoin self-mining retenton strategy, which enables us to accumulate bitcoin from our owned miners in order to increase our bitcoin holdings.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Discontnued Operatons</w:t>
      </w:r>
    </w:p>
    <w:p>
      <w:pPr>
        <w:spacing w:after="0" w:line="204"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The contract with Support.com’s largest customer expired on December 31, 2022 and was not renewed. As a result, we have classifed the Support.com business as held for sale and discontnued operatons in these condensed consolidated fnancial statements as a result of management and the board of directors making a decision to pursue alternatves for the Support.com business and to strictly focus on its cryptocurrency mining, datacenter hostng and power generaton operatons. See Note 3, "</w:t>
      </w:r>
      <w:r>
        <w:rPr>
          <w:rFonts w:ascii="Calibri" w:cs="Calibri" w:eastAsia="Calibri" w:hAnsi="Calibri"/>
          <w:sz w:val="18"/>
          <w:szCs w:val="18"/>
          <w:i w:val="1"/>
          <w:iCs w:val="1"/>
          <w:color w:val="auto"/>
        </w:rPr>
        <w:t>Discontnued Operatons"</w:t>
      </w:r>
      <w:r>
        <w:rPr>
          <w:rFonts w:ascii="Calibri" w:cs="Calibri" w:eastAsia="Calibri" w:hAnsi="Calibri"/>
          <w:sz w:val="18"/>
          <w:szCs w:val="18"/>
          <w:color w:val="auto"/>
        </w:rPr>
        <w:t xml:space="preserve"> of our unaudited condensed consolidated fnancial statements for additonal informaton.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Title V Air Permit</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late June 2022, NYSDEC announced its denial of the Title V Air Permit renewal for our New York Facility. We fled a notce with NYSDEC in July 2022 requestng a hearing on NYSDEC’s decision. In September 2023, the administratve law judge presiding over the hearing issued a ruling with respect to the status of the partes and certain issues to be adjudicated in the hearing. We submited an interim appeal with NYSDEC thereafer challenging such ruling with a moton to stay the broader appeals process while the interim appeal was being resolved. On May 8, 2024, our interim appeal to NYSDEC and request for an adjudicatory hearing were ultmately denied, and the June 2022 non-renewal of our Title V Air Permit was afrmed by NYSDEC’s Regional Director for Region 7, which rendered NYSDEC’s decision fnal for purposes of seeking judicial review.</w:t>
      </w:r>
    </w:p>
    <w:p>
      <w:pPr>
        <w:spacing w:after="0" w:line="35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August 15, 2024, we fled a verifed petton and complaint pursuant to Artcle 78 of the New York Civil Practce Law and Rules against NYSDEC in the New York Supreme Court, Yates County (the "Court"), seeking declaratory and injunctve relief relatng to NYSDEC's denial of our renewal applicaton for our New York Facility, including, among other things, to (i) annul NYSDEC's June 2022 denial of our renewal applicaton and the May 8, 2024 afrmaton of such denial by NYSDEC's Regional Director for Region 7, (ii) issue certain declaratory judgments with respect to NYSDEC's interpretaton of the New York Climate Leadership and Community Protecton Act on which the denial of our renewal applicaton was predicated, and (iii) enjoin NYSDEC from taking any acton to request that the New York Facility cease operatons.</w:t>
      </w:r>
    </w:p>
    <w:p>
      <w:pPr>
        <w:spacing w:after="0" w:line="248"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On August 20, 2024, we submited a moton to the Court by Order to Show Cause seeking a temporary restraining and preliminary injuncton (the “TRO Request”) permitng the Facility to contnue operatons during the pendency of the Artcle 78 proceeding. Subsequent to submission of the TRO Request, Greenidge and NYSDEC agreed to a briefng schedule with the respect to the TRO Request, with a hearing before the Court expected to occur in late October 2024. In connecton with the agreed-upon briefng schedule, NYSDEC agreed that Greenidge does not need to (i) cease operatons of any air contaminaton sources located at the New York Facility, (ii) render such air contaminaton sources inoperable, or (iii) relinquish the Title V Air Permit untl November 1, 2024, which was subsequently extended through November 14, 2024 (the “November 14 Stay”). We expect that the Court will render a decision on the TRO Request or, alternatvely, our Artcle 78 challenge of the denial of the permit renewal applicaton in total, prior to the expiraton of the November 14 Stay.</w:t>
      </w:r>
    </w:p>
    <w:p>
      <w:pPr>
        <w:spacing w:after="0" w:line="10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This challenge has, and will contnue, to cause us to incur additonal costs and result in the diversion of management atenton, which could adversely afect our business, fnancial conditon and results of operatons. We expect that the judicial proceedings related to the challenge of NYSDEC’s denial of our Title V Air Permit renewal applicaton may take a number of years to fully resolve, and there can be no assurance that our eforts will be successful. Our inability to secure a temporary restraining order or preliminary injuncton to allow the New York Facility to contnue operatng during the pendency of the litgaton or to otherwise succeed in securing a renewal of our Title V Air Permit for the New York Facility could have a material adverse efect on us and our ability to contnue operatng as a going concern. See Note 2, “Summary of Signifcant Accountng Policies,” in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u w:val="single" w:color="auto"/>
          <w:color w:val="auto"/>
        </w:rPr>
        <w:t>Results from Contnuing Operatons - Three Months Ended September 30, 2024</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(in thousands) sets forth key components of our results from contnuing operatons and should be read in conjuncton with our condensed consolidated fnancial statements and related notes. All comparisons below refer to the three months ended September 30, 2024 versus the three months ended September 30, 2023, unless otherwise specifed.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5"/>
          </w:tcPr>
          <w:p>
            <w:pPr>
              <w:ind w:left="200"/>
              <w:spacing w:after="0"/>
              <w:rPr>
                <w:sz w:val="20"/>
                <w:szCs w:val="20"/>
                <w:color w:val="auto"/>
              </w:rPr>
            </w:pPr>
            <w:r>
              <w:rPr>
                <w:rFonts w:ascii="Calibri" w:cs="Calibri" w:eastAsia="Calibri" w:hAnsi="Calibri"/>
                <w:sz w:val="14"/>
                <w:szCs w:val="14"/>
                <w:b w:val="1"/>
                <w:bCs w:val="1"/>
                <w:color w:val="auto"/>
              </w:rPr>
              <w:t>Three Months Ended September 30,</w:t>
            </w:r>
          </w:p>
        </w:tc>
        <w:tc>
          <w:tcPr>
            <w:tcW w:w="400" w:type="dxa"/>
            <w:vAlign w:val="bottom"/>
          </w:tcPr>
          <w:p>
            <w:pPr>
              <w:spacing w:after="0"/>
              <w:rPr>
                <w:sz w:val="14"/>
                <w:szCs w:val="14"/>
                <w:color w:val="auto"/>
              </w:rPr>
            </w:pPr>
          </w:p>
        </w:tc>
        <w:tc>
          <w:tcPr>
            <w:tcW w:w="162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r>
      <w:tr>
        <w:trPr>
          <w:trHeight w:val="203"/>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592"/>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w:t>
            </w:r>
          </w:p>
        </w:tc>
      </w:tr>
      <w:tr>
        <w:trPr>
          <w:trHeight w:val="47"/>
        </w:trPr>
        <w:tc>
          <w:tcPr>
            <w:tcW w:w="48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48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4860" w:type="dxa"/>
            <w:vAlign w:val="bottom"/>
          </w:tcPr>
          <w:p>
            <w:pPr>
              <w:ind w:left="180"/>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6,490</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12,136</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(5,646)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Cryptocurrency mining</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3,267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6,602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(3,335)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w:t>
            </w:r>
          </w:p>
        </w:tc>
      </w:tr>
      <w:tr>
        <w:trPr>
          <w:trHeight w:val="223"/>
        </w:trPr>
        <w:tc>
          <w:tcPr>
            <w:tcW w:w="4860" w:type="dxa"/>
            <w:vAlign w:val="bottom"/>
            <w:tcBorders>
              <w:bottom w:val="single" w:sz="8" w:color="CCEEFF"/>
            </w:tcBorders>
          </w:tcPr>
          <w:p>
            <w:pPr>
              <w:ind w:left="180"/>
              <w:spacing w:after="0" w:line="215" w:lineRule="exact"/>
              <w:rPr>
                <w:sz w:val="20"/>
                <w:szCs w:val="20"/>
                <w:color w:val="auto"/>
              </w:rPr>
            </w:pPr>
            <w:r>
              <w:rPr>
                <w:rFonts w:ascii="Calibri" w:cs="Calibri" w:eastAsia="Calibri" w:hAnsi="Calibri"/>
                <w:sz w:val="18"/>
                <w:szCs w:val="18"/>
                <w:color w:val="auto"/>
              </w:rPr>
              <w:t>Power and capacity</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2,141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21 %</w:t>
            </w:r>
          </w:p>
        </w:tc>
      </w:tr>
      <w:tr>
        <w:trPr>
          <w:trHeight w:val="229"/>
        </w:trPr>
        <w:tc>
          <w:tcPr>
            <w:tcW w:w="486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revenue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12,351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20,879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(41)%</w:t>
            </w:r>
          </w:p>
        </w:tc>
      </w:tr>
      <w:tr>
        <w:trPr>
          <w:trHeight w:val="202"/>
        </w:trPr>
        <w:tc>
          <w:tcPr>
            <w:tcW w:w="4860" w:type="dxa"/>
            <w:vAlign w:val="bottom"/>
          </w:tcPr>
          <w:p>
            <w:pPr>
              <w:ind w:left="20"/>
              <w:spacing w:after="0" w:line="195" w:lineRule="exact"/>
              <w:rPr>
                <w:sz w:val="20"/>
                <w:szCs w:val="20"/>
                <w:color w:val="auto"/>
              </w:rPr>
            </w:pPr>
            <w:r>
              <w:rPr>
                <w:rFonts w:ascii="Calibri" w:cs="Calibri" w:eastAsia="Calibri" w:hAnsi="Calibri"/>
                <w:sz w:val="18"/>
                <w:szCs w:val="18"/>
                <w:color w:val="auto"/>
              </w:rPr>
              <w:t>OPERATING COSTS AND EXPENSES: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Cost of revenue (exclusive of depreciaton)</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9,304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15,355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(6,051)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w:t>
            </w:r>
          </w:p>
        </w:tc>
      </w:tr>
      <w:tr>
        <w:trPr>
          <w:trHeight w:val="222"/>
        </w:trPr>
        <w:tc>
          <w:tcPr>
            <w:tcW w:w="4860" w:type="dxa"/>
            <w:vAlign w:val="bottom"/>
          </w:tcPr>
          <w:p>
            <w:pPr>
              <w:ind w:left="18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2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6,662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(2,932)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Depreciaton</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3,390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3,383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 %</w:t>
            </w:r>
          </w:p>
        </w:tc>
      </w:tr>
      <w:tr>
        <w:trPr>
          <w:trHeight w:val="222"/>
        </w:trPr>
        <w:tc>
          <w:tcPr>
            <w:tcW w:w="4860" w:type="dxa"/>
            <w:vAlign w:val="bottom"/>
          </w:tcPr>
          <w:p>
            <w:pPr>
              <w:ind w:left="180"/>
              <w:spacing w:after="0" w:line="215" w:lineRule="exact"/>
              <w:rPr>
                <w:sz w:val="20"/>
                <w:szCs w:val="20"/>
                <w:color w:val="auto"/>
              </w:rPr>
            </w:pPr>
            <w:r>
              <w:rPr>
                <w:rFonts w:ascii="Calibri" w:cs="Calibri" w:eastAsia="Calibri" w:hAnsi="Calibri"/>
                <w:sz w:val="18"/>
                <w:szCs w:val="18"/>
                <w:color w:val="auto"/>
              </w:rPr>
              <w:t>Impairment of long-lived assets</w:t>
            </w:r>
          </w:p>
        </w:tc>
        <w:tc>
          <w:tcPr>
            <w:tcW w:w="320" w:type="dxa"/>
            <w:vAlign w:val="bottom"/>
          </w:tcPr>
          <w:p>
            <w:pPr>
              <w:spacing w:after="0"/>
              <w:rPr>
                <w:sz w:val="19"/>
                <w:szCs w:val="19"/>
                <w:color w:val="auto"/>
              </w:rPr>
            </w:pPr>
          </w:p>
        </w:tc>
        <w:tc>
          <w:tcPr>
            <w:tcW w:w="13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Gain on digital assets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1"/>
              <w:spacing w:after="0"/>
              <w:rPr>
                <w:sz w:val="20"/>
                <w:szCs w:val="20"/>
                <w:color w:val="auto"/>
              </w:rPr>
            </w:pPr>
            <w:r>
              <w:rPr>
                <w:rFonts w:ascii="Calibri" w:cs="Calibri" w:eastAsia="Calibri" w:hAnsi="Calibri"/>
                <w:sz w:val="18"/>
                <w:szCs w:val="18"/>
                <w:color w:val="auto"/>
              </w:rPr>
              <w:t>(156)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22"/>
        </w:trPr>
        <w:tc>
          <w:tcPr>
            <w:tcW w:w="4860" w:type="dxa"/>
            <w:vAlign w:val="bottom"/>
          </w:tcPr>
          <w:p>
            <w:pPr>
              <w:ind w:left="180"/>
              <w:spacing w:after="0" w:line="215" w:lineRule="exact"/>
              <w:rPr>
                <w:sz w:val="20"/>
                <w:szCs w:val="20"/>
                <w:color w:val="auto"/>
              </w:rPr>
            </w:pPr>
            <w:r>
              <w:rPr>
                <w:rFonts w:ascii="Calibri" w:cs="Calibri" w:eastAsia="Calibri" w:hAnsi="Calibri"/>
                <w:sz w:val="18"/>
                <w:szCs w:val="18"/>
                <w:color w:val="auto"/>
              </w:rPr>
              <w:t>Loss on sale of assets</w:t>
            </w:r>
          </w:p>
        </w:tc>
        <w:tc>
          <w:tcPr>
            <w:tcW w:w="32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Remeasurement of environmental liability</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r>
      <w:tr>
        <w:trPr>
          <w:trHeight w:val="217"/>
        </w:trPr>
        <w:tc>
          <w:tcPr>
            <w:tcW w:w="486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operatng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16,961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31,000</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(14,039)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line="199" w:lineRule="exact"/>
              <w:rPr>
                <w:sz w:val="20"/>
                <w:szCs w:val="20"/>
                <w:color w:val="auto"/>
              </w:rPr>
            </w:pPr>
            <w:r>
              <w:rPr>
                <w:rFonts w:ascii="Calibri" w:cs="Calibri" w:eastAsia="Calibri" w:hAnsi="Calibri"/>
                <w:sz w:val="18"/>
                <w:szCs w:val="18"/>
                <w:color w:val="auto"/>
              </w:rPr>
              <w:t>(45)%</w:t>
            </w:r>
          </w:p>
        </w:tc>
      </w:tr>
      <w:tr>
        <w:trPr>
          <w:trHeight w:val="229"/>
        </w:trPr>
        <w:tc>
          <w:tcPr>
            <w:tcW w:w="486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loss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(4,610)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(10,121)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(54)%</w:t>
            </w: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 NET: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4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Interest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Calibri" w:cs="Calibri" w:eastAsia="Calibri" w:hAnsi="Calibri"/>
                <w:sz w:val="18"/>
                <w:szCs w:val="18"/>
                <w:color w:val="auto"/>
              </w:rPr>
              <w:t>(1,832)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Calibri" w:cs="Calibri" w:eastAsia="Calibri" w:hAnsi="Calibri"/>
                <w:sz w:val="18"/>
                <w:szCs w:val="18"/>
                <w:color w:val="auto"/>
              </w:rPr>
              <w:t>(3,040)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1,208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w:t>
            </w:r>
          </w:p>
        </w:tc>
      </w:tr>
      <w:tr>
        <w:trPr>
          <w:trHeight w:val="217"/>
        </w:trPr>
        <w:tc>
          <w:tcPr>
            <w:tcW w:w="486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other expense, net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(1,832)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(3,040)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1,208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line="199" w:lineRule="exact"/>
              <w:rPr>
                <w:sz w:val="20"/>
                <w:szCs w:val="20"/>
                <w:color w:val="auto"/>
              </w:rPr>
            </w:pPr>
            <w:r>
              <w:rPr>
                <w:rFonts w:ascii="Calibri" w:cs="Calibri" w:eastAsia="Calibri" w:hAnsi="Calibri"/>
                <w:sz w:val="18"/>
                <w:szCs w:val="18"/>
                <w:color w:val="auto"/>
              </w:rPr>
              <w:t>(40)%</w:t>
            </w:r>
          </w:p>
        </w:tc>
      </w:tr>
      <w:tr>
        <w:trPr>
          <w:trHeight w:val="230"/>
        </w:trPr>
        <w:tc>
          <w:tcPr>
            <w:tcW w:w="486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Loss from contnuing operatons before income taxes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(6,442)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(13,161)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(51)%</w:t>
            </w:r>
          </w:p>
        </w:tc>
      </w:tr>
      <w:tr>
        <w:trPr>
          <w:trHeight w:val="223"/>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320" w:type="dxa"/>
            <w:vAlign w:val="bottom"/>
          </w:tcPr>
          <w:p>
            <w:pPr>
              <w:spacing w:after="0"/>
              <w:rPr>
                <w:sz w:val="19"/>
                <w:szCs w:val="19"/>
                <w:color w:val="auto"/>
              </w:rPr>
            </w:pP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54"/>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32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(6,324)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(13,161)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6,837</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i w:val="1"/>
                <w:iCs w:val="1"/>
                <w:color w:val="auto"/>
              </w:rPr>
              <w:t>Adjusted Amounts (a)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operatng loss from contnuing operatons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(3,917)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(3,852)</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2 %</w:t>
            </w: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Adjusted operatng margin from contnuing operatons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net loss from contnuing operatons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(5,631)</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(6,892)</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i w:val="1"/>
                <w:iCs w:val="1"/>
                <w:color w:val="auto"/>
              </w:rPr>
              <w:t>Other Financial Data (a)</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EBITDA (loss) from contnuing operatons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(1,220)</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(6,738)</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5,518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 (loss) from contnuing operatons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(110)</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(946)%</w:t>
            </w: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bl>
    <w:p>
      <w:pPr>
        <w:spacing w:after="0" w:line="288" w:lineRule="exact"/>
        <w:rPr>
          <w:sz w:val="20"/>
          <w:szCs w:val="20"/>
          <w:color w:val="auto"/>
        </w:rPr>
      </w:pPr>
    </w:p>
    <w:p>
      <w:pPr>
        <w:ind w:right="20" w:firstLine="8"/>
        <w:spacing w:after="0" w:line="235" w:lineRule="auto"/>
        <w:tabs>
          <w:tab w:leader="none" w:pos="636"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Adjusted Amounts and Other Financial Data are non-GAAP performance measures. A reconciliaton of reported amounts to adjusted amounts can be found in the "Non-GAAP Measures and Reconciliatons" secton of this Management’s Discussion and Analysis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color w:val="auto"/>
        </w:rPr>
        <w:t>Key Metrics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a summary of key metrics related to the three months ended September 30, 2024 and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ind w:left="220"/>
              <w:spacing w:after="0"/>
              <w:rPr>
                <w:sz w:val="20"/>
                <w:szCs w:val="20"/>
                <w:color w:val="auto"/>
              </w:rPr>
            </w:pPr>
            <w:r>
              <w:rPr>
                <w:rFonts w:ascii="Calibri" w:cs="Calibri" w:eastAsia="Calibri" w:hAnsi="Calibri"/>
                <w:sz w:val="14"/>
                <w:szCs w:val="14"/>
                <w:b w:val="1"/>
                <w:bCs w:val="1"/>
                <w:color w:val="auto"/>
              </w:rPr>
              <w:t>Three Months Ended September 30,</w:t>
            </w:r>
          </w:p>
        </w:tc>
        <w:tc>
          <w:tcPr>
            <w:tcW w:w="360" w:type="dxa"/>
            <w:vAlign w:val="bottom"/>
          </w:tcPr>
          <w:p>
            <w:pPr>
              <w:spacing w:after="0"/>
              <w:rPr>
                <w:sz w:val="14"/>
                <w:szCs w:val="14"/>
                <w:color w:val="auto"/>
              </w:rPr>
            </w:pPr>
          </w:p>
        </w:tc>
        <w:tc>
          <w:tcPr>
            <w:tcW w:w="1660" w:type="dxa"/>
            <w:vAlign w:val="bottom"/>
            <w:gridSpan w:val="2"/>
          </w:tcPr>
          <w:p>
            <w:pPr>
              <w:ind w:left="92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3"/>
          </w:tcPr>
          <w:p>
            <w:pPr>
              <w:spacing w:after="0"/>
              <w:rPr>
                <w:sz w:val="20"/>
                <w:szCs w:val="20"/>
                <w:color w:val="auto"/>
              </w:rPr>
            </w:pPr>
            <w:r>
              <w:rPr>
                <w:rFonts w:ascii="Calibri" w:cs="Calibri" w:eastAsia="Calibri" w:hAnsi="Calibri"/>
                <w:sz w:val="14"/>
                <w:szCs w:val="14"/>
                <w:b w:val="1"/>
                <w:bCs w:val="1"/>
                <w:color w:val="auto"/>
              </w:rPr>
              <w:t>$ in thousands, except $ per MWh and average bitcoin price</w:t>
            </w:r>
          </w:p>
        </w:tc>
        <w:tc>
          <w:tcPr>
            <w:tcW w:w="320" w:type="dxa"/>
            <w:vAlign w:val="bottom"/>
          </w:tcPr>
          <w:p>
            <w:pPr>
              <w:spacing w:after="0"/>
              <w:rPr>
                <w:sz w:val="17"/>
                <w:szCs w:val="17"/>
                <w:color w:val="auto"/>
              </w:rPr>
            </w:pPr>
          </w:p>
        </w:tc>
        <w:tc>
          <w:tcPr>
            <w:tcW w:w="124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591"/>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6,490</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12,136</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(5,646)</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3,267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6,602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(3,335)</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2,141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453</w:t>
            </w:r>
          </w:p>
        </w:tc>
        <w:tc>
          <w:tcPr>
            <w:tcW w:w="5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20"/>
              <w:spacing w:after="0"/>
              <w:rPr>
                <w:sz w:val="20"/>
                <w:szCs w:val="20"/>
                <w:color w:val="auto"/>
              </w:rPr>
            </w:pPr>
            <w:r>
              <w:rPr>
                <w:rFonts w:ascii="Calibri" w:cs="Calibri" w:eastAsia="Calibri" w:hAnsi="Calibri"/>
                <w:sz w:val="18"/>
                <w:szCs w:val="18"/>
                <w:color w:val="auto"/>
              </w:rPr>
              <w:t>Total revenue</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12,351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20,879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(8,528)</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20" w:type="dxa"/>
            <w:vAlign w:val="bottom"/>
            <w:tcBorders>
              <w:top w:val="single" w:sz="8" w:color="CCEEFF"/>
              <w:bottom w:val="single" w:sz="8" w:color="CCEEFF"/>
            </w:tcBorders>
            <w:gridSpan w:val="3"/>
            <w:vMerge w:val="restart"/>
          </w:tcPr>
          <w:p>
            <w:pPr>
              <w:spacing w:after="0" w:line="209" w:lineRule="exact"/>
              <w:rPr>
                <w:sz w:val="20"/>
                <w:szCs w:val="20"/>
                <w:color w:val="auto"/>
              </w:rPr>
            </w:pPr>
            <w:r>
              <w:rPr>
                <w:rFonts w:ascii="Calibri" w:cs="Calibri" w:eastAsia="Calibri" w:hAnsi="Calibri"/>
                <w:sz w:val="18"/>
                <w:szCs w:val="18"/>
                <w:b w:val="1"/>
                <w:bCs w:val="1"/>
                <w:color w:val="auto"/>
              </w:rPr>
              <w:t>Components of revenue as % of total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Datacenter hostng</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58 %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Cryptocurrency mining</w:t>
            </w:r>
          </w:p>
        </w:tc>
        <w:tc>
          <w:tcPr>
            <w:tcW w:w="32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21 %</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160"/>
              <w:spacing w:after="0"/>
              <w:rPr>
                <w:sz w:val="20"/>
                <w:szCs w:val="20"/>
                <w:color w:val="auto"/>
              </w:rPr>
            </w:pPr>
            <w:r>
              <w:rPr>
                <w:rFonts w:ascii="Calibri" w:cs="Calibri" w:eastAsia="Calibri" w:hAnsi="Calibri"/>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line="142" w:lineRule="exact"/>
              <w:rPr>
                <w:sz w:val="20"/>
                <w:szCs w:val="20"/>
                <w:color w:val="auto"/>
              </w:rPr>
            </w:pPr>
            <w:r>
              <w:rPr>
                <w:rFonts w:ascii="Calibri" w:cs="Calibri" w:eastAsia="Calibri" w:hAnsi="Calibri"/>
                <w:sz w:val="15"/>
                <w:szCs w:val="15"/>
                <w:b w:val="1"/>
                <w:bCs w:val="1"/>
                <w:color w:val="auto"/>
              </w:rPr>
              <w:t>MWh</w:t>
            </w:r>
          </w:p>
        </w:tc>
        <w:tc>
          <w:tcPr>
            <w:tcW w:w="440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spacing w:after="0"/>
              <w:rPr>
                <w:sz w:val="19"/>
                <w:szCs w:val="19"/>
                <w:color w:val="auto"/>
              </w:rPr>
            </w:pP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115,307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187,843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(72,536)</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48,859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66,502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(17,643)</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20" w:type="dxa"/>
            <w:vAlign w:val="bottom"/>
          </w:tcPr>
          <w:p>
            <w:pPr>
              <w:spacing w:after="0"/>
              <w:rPr>
                <w:sz w:val="19"/>
                <w:szCs w:val="19"/>
                <w:color w:val="auto"/>
              </w:rPr>
            </w:pP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42,554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46,008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(3,454)</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b w:val="1"/>
                <w:bCs w:val="1"/>
                <w:color w:val="auto"/>
              </w:rPr>
              <w:t>Revenue per MWh</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47</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30 %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b w:val="1"/>
                <w:bCs w:val="1"/>
                <w:color w:val="auto"/>
              </w:rPr>
              <w:t>Cost of revenue (exclusive of depreciaton)</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4,941</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9,432</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(4,491)</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2,599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4,458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(1,859)</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1,764</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1,465</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299</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EPCM consultng services</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Cost of revenue per MWh (exclusive of depreciaton)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Datacenter hostng</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Cryptocurrency mining</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53</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67</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gridSpan w:val="3"/>
          </w:tcPr>
          <w:p>
            <w:pPr>
              <w:spacing w:after="0" w:line="175" w:lineRule="exact"/>
              <w:rPr>
                <w:sz w:val="20"/>
                <w:szCs w:val="20"/>
                <w:color w:val="auto"/>
              </w:rPr>
            </w:pPr>
            <w:r>
              <w:rPr>
                <w:rFonts w:ascii="Calibri" w:cs="Calibri" w:eastAsia="Calibri" w:hAnsi="Calibri"/>
                <w:sz w:val="18"/>
                <w:szCs w:val="18"/>
                <w:b w:val="1"/>
                <w:bCs w:val="1"/>
                <w:color w:val="auto"/>
              </w:rPr>
              <w:t>Cryptocurrency Mining Metrics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Bitcoins produced: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20"/>
              <w:spacing w:after="0" w:line="215" w:lineRule="exact"/>
              <w:rPr>
                <w:sz w:val="20"/>
                <w:szCs w:val="20"/>
                <w:color w:val="auto"/>
              </w:rPr>
            </w:pPr>
            <w:r>
              <w:rPr>
                <w:rFonts w:ascii="Calibri" w:cs="Calibri" w:eastAsia="Calibri" w:hAnsi="Calibri"/>
                <w:sz w:val="18"/>
                <w:szCs w:val="18"/>
                <w:color w:val="auto"/>
              </w:rPr>
              <w:t>Datacenter hostng</w:t>
            </w:r>
          </w:p>
        </w:tc>
        <w:tc>
          <w:tcPr>
            <w:tcW w:w="32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(509)</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ind w:left="220"/>
              <w:spacing w:after="0"/>
              <w:rPr>
                <w:sz w:val="20"/>
                <w:szCs w:val="20"/>
                <w:color w:val="auto"/>
              </w:rPr>
            </w:pPr>
            <w:r>
              <w:rPr>
                <w:rFonts w:ascii="Calibri" w:cs="Calibri" w:eastAsia="Calibri" w:hAnsi="Calibri"/>
                <w:sz w:val="18"/>
                <w:szCs w:val="18"/>
                <w:color w:val="auto"/>
              </w:rPr>
              <w:t>Cryptocurrency mining</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(182)</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Calibri" w:cs="Calibri" w:eastAsia="Calibri" w:hAnsi="Calibri"/>
                <w:sz w:val="18"/>
                <w:szCs w:val="18"/>
                <w:color w:val="auto"/>
              </w:rPr>
              <w:t>Total bitcoins produced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857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(691)</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bitcoin price</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61,023</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28,086</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32,937</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117 %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actve hash rate (EH/s) Company-owned miners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791,533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1,069,816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(278,283)</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actve hash rate (EH/s) Hosted miners</w:t>
            </w:r>
          </w:p>
        </w:tc>
        <w:tc>
          <w:tcPr>
            <w:tcW w:w="320" w:type="dxa"/>
            <w:vAlign w:val="bottom"/>
          </w:tcPr>
          <w:p>
            <w:pPr>
              <w:spacing w:after="0"/>
              <w:rPr>
                <w:sz w:val="19"/>
                <w:szCs w:val="19"/>
                <w:color w:val="auto"/>
              </w:rPr>
            </w:pPr>
          </w:p>
        </w:tc>
        <w:tc>
          <w:tcPr>
            <w:tcW w:w="124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1,663,884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2,829,274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(1,165,390)</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difculty</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800"/>
              <w:spacing w:after="0"/>
              <w:rPr>
                <w:sz w:val="20"/>
                <w:szCs w:val="20"/>
                <w:color w:val="auto"/>
              </w:rPr>
            </w:pPr>
            <w:r>
              <w:rPr>
                <w:rFonts w:ascii="Calibri" w:cs="Calibri" w:eastAsia="Calibri" w:hAnsi="Calibri"/>
                <w:sz w:val="18"/>
                <w:szCs w:val="18"/>
                <w:color w:val="auto"/>
              </w:rPr>
              <w:t>85.9 T</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53.8 T</w:t>
            </w:r>
          </w:p>
        </w:tc>
        <w:tc>
          <w:tcPr>
            <w:tcW w:w="3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640"/>
              <w:spacing w:after="0"/>
              <w:rPr>
                <w:sz w:val="20"/>
                <w:szCs w:val="20"/>
                <w:color w:val="auto"/>
              </w:rPr>
            </w:pPr>
            <w:r>
              <w:rPr>
                <w:rFonts w:ascii="Calibri" w:cs="Calibri" w:eastAsia="Calibri" w:hAnsi="Calibri"/>
                <w:sz w:val="18"/>
                <w:szCs w:val="18"/>
                <w:color w:val="auto"/>
              </w:rPr>
              <w:t>32.1 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60 %</w:t>
            </w: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b w:val="1"/>
          <w:bCs w:val="1"/>
          <w:i w:val="1"/>
          <w:iCs w:val="1"/>
          <w:u w:val="single" w:color="auto"/>
          <w:color w:val="auto"/>
        </w:rPr>
        <w:t>Revenue</w:t>
      </w:r>
    </w:p>
    <w:p>
      <w:pPr>
        <w:spacing w:after="0" w:line="298" w:lineRule="exact"/>
        <w:rPr>
          <w:sz w:val="20"/>
          <w:szCs w:val="20"/>
          <w:color w:val="auto"/>
        </w:rPr>
      </w:pPr>
    </w:p>
    <w:p>
      <w:pPr>
        <w:ind w:right="120"/>
        <w:spacing w:after="0" w:line="227" w:lineRule="auto"/>
        <w:rPr>
          <w:sz w:val="20"/>
          <w:szCs w:val="20"/>
          <w:color w:val="auto"/>
        </w:rPr>
      </w:pPr>
      <w:r>
        <w:rPr>
          <w:rFonts w:ascii="Calibri" w:cs="Calibri" w:eastAsia="Calibri" w:hAnsi="Calibri"/>
          <w:sz w:val="18"/>
          <w:szCs w:val="18"/>
          <w:color w:val="auto"/>
        </w:rPr>
        <w:t>On January 30, 2023, upon entering into the NYDIG Hostng Agreement, we transitoned the majority of the capacity of our owned datacenter facilites to datacenter hostng operatons. In November 2023, we sold the South Carolina Facility, which was part of our datacenter hostng operatons. We entered into hostng arrangements at third party sites for the majority of our remaining owned miners in the second quarter of 2023. In the second quarter of 2024, the hostng agreements to operate miners at third party sites were terminated. As a result, we deployed miners operated at the host’s sites to our own self-mining sites. At September 30, 2024, Greenidge datacenter operatons consisted of approximately 29,200 miners with approximately 3.1 EH/s of combined capacity for both datacenter hostng and cryptocurrency mining, of which 18,200 miners, or 1.8 EH/s, is associated with datacenter hostng and 11,000 miners, or 1.3 EH/s, is associated with Greenidge’s cryptocurrency mining.</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Cryptocurrency mining revenue</w:t>
      </w:r>
    </w:p>
    <w:p>
      <w:pPr>
        <w:spacing w:after="0" w:line="244"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For our cryptocurrency mining revenue, we generate revenue in the form of bitcoin by earning bitcoin as rewards and transacton fees for supportng the global bitcoin network with applicaton-specifc integrated circuit computers ("ASICs" or "miners") owned or leased by the Company. Our cryptocurrency mining revenue decreased $3.3 million, or 51%, to $3.3 million. We estmate that approximately 77% of the decrease was due to increases in the global bitcoin mining difculty factor and the bitcoin halving that occurred in April 2024, which was partally ofset by 26% due to the increase in the average price of bitcoin. Bitcoin mining difculty was 60% higher compared to the prior year due to increases in the difculty index associated with the complexity of the algorithmic soluton required to create a block and receive a bitcoin award, the average bitcoin price was 117% higher and our average hash rate decreased 26%. The decline in average hashrate is atributable to the Company's focus on maximizing proftability by prioritzing operatons of its most efcient miners, curtailing operatons of less efcient miners during periods of decreased proftability, and the ongoing eforts to redeploy miners previously hosted at third party locatons.</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color w:val="auto"/>
        </w:rPr>
        <w:t>The miners associated with Greenidge’s cryptocurrency mining were comprised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Calibri" w:cs="Calibri" w:eastAsia="Calibri" w:hAnsi="Calibri"/>
                <w:sz w:val="18"/>
                <w:szCs w:val="18"/>
                <w:b w:val="1"/>
                <w:bCs w:val="1"/>
                <w:color w:val="auto"/>
              </w:rPr>
              <w:t>Vendor and Model</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Calibri" w:cs="Calibri" w:eastAsia="Calibri" w:hAnsi="Calibri"/>
                <w:sz w:val="18"/>
                <w:szCs w:val="18"/>
                <w:b w:val="1"/>
                <w:bCs w:val="1"/>
                <w:color w:val="auto"/>
              </w:rPr>
              <w:t>Number of Miners</w:t>
            </w:r>
          </w:p>
        </w:tc>
      </w:tr>
      <w:tr>
        <w:trPr>
          <w:trHeight w:val="216"/>
        </w:trPr>
        <w:tc>
          <w:tcPr>
            <w:tcW w:w="2820" w:type="dxa"/>
            <w:vAlign w:val="bottom"/>
            <w:tcBorders>
              <w:top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Bitmain S19</w:t>
            </w:r>
          </w:p>
        </w:tc>
        <w:tc>
          <w:tcPr>
            <w:tcW w:w="160" w:type="dxa"/>
            <w:vAlign w:val="bottom"/>
          </w:tcPr>
          <w:p>
            <w:pPr>
              <w:spacing w:after="0"/>
              <w:rPr>
                <w:sz w:val="18"/>
                <w:szCs w:val="18"/>
                <w:color w:val="auto"/>
              </w:rPr>
            </w:pPr>
          </w:p>
        </w:tc>
        <w:tc>
          <w:tcPr>
            <w:tcW w:w="16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29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w:t>
            </w:r>
          </w:p>
        </w:tc>
      </w:tr>
      <w:tr>
        <w:trPr>
          <w:trHeight w:val="222"/>
        </w:trPr>
        <w:tc>
          <w:tcPr>
            <w:tcW w:w="2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S19j Pro</w:t>
            </w: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900</w:t>
            </w:r>
          </w:p>
        </w:tc>
      </w:tr>
      <w:tr>
        <w:trPr>
          <w:trHeight w:val="237"/>
        </w:trPr>
        <w:tc>
          <w:tcPr>
            <w:tcW w:w="29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XP</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3,600</w:t>
            </w:r>
          </w:p>
        </w:tc>
      </w:tr>
      <w:tr>
        <w:trPr>
          <w:trHeight w:val="222"/>
        </w:trPr>
        <w:tc>
          <w:tcPr>
            <w:tcW w:w="2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 Hydro</w:t>
            </w: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200</w:t>
            </w:r>
          </w:p>
        </w:tc>
      </w:tr>
      <w:tr>
        <w:trPr>
          <w:trHeight w:val="26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S21 Pro</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300</w:t>
            </w:r>
          </w:p>
        </w:tc>
      </w:tr>
      <w:tr>
        <w:trPr>
          <w:trHeight w:val="21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11,000</w:t>
            </w: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right="260"/>
        <w:spacing w:after="0" w:line="228" w:lineRule="auto"/>
        <w:rPr>
          <w:sz w:val="20"/>
          <w:szCs w:val="20"/>
          <w:color w:val="auto"/>
        </w:rPr>
      </w:pPr>
      <w:r>
        <w:rPr>
          <w:rFonts w:ascii="Calibri" w:cs="Calibri" w:eastAsia="Calibri" w:hAnsi="Calibri"/>
          <w:sz w:val="18"/>
          <w:szCs w:val="18"/>
          <w:color w:val="auto"/>
        </w:rPr>
        <w:t>As of September 30, 2024, our feet of miners ranged in age from 0.1 to 3.1 years and had an average age of approximately 2.3 years. We do not have scheduled downtme for our miners. When we have unscheduled downtme, we may from tme to tme replace a miner with a substtute miner in order to minimize overall feet downtme. As of September 30, 2024, our feet of miners ranged in efciency from approximately 15.0 to 34.0 joules per terahash (“J/TH”) and had an average efciency of 27.1 J/TH.</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The table below presents the average cost of mining each bitcoin 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023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Pr>
          <w:p>
            <w:pPr>
              <w:ind w:left="20"/>
              <w:spacing w:after="0"/>
              <w:rPr>
                <w:sz w:val="20"/>
                <w:szCs w:val="20"/>
                <w:color w:val="auto"/>
              </w:rPr>
            </w:pPr>
            <w:r>
              <w:rPr>
                <w:rFonts w:ascii="Calibri" w:cs="Calibri" w:eastAsia="Calibri" w:hAnsi="Calibri"/>
                <w:sz w:val="18"/>
                <w:szCs w:val="18"/>
                <w:b w:val="1"/>
                <w:bCs w:val="1"/>
                <w:color w:val="auto"/>
              </w:rPr>
              <w:t>Cost of Mining - Analysis of Costs to Mine One Bitcoin</w:t>
            </w:r>
          </w:p>
        </w:tc>
        <w:tc>
          <w:tcPr>
            <w:tcW w:w="324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Three Months Ended September</w:t>
            </w:r>
          </w:p>
        </w:tc>
      </w:tr>
      <w:tr>
        <w:trPr>
          <w:trHeight w:val="216"/>
        </w:trPr>
        <w:tc>
          <w:tcPr>
            <w:tcW w:w="4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tcPr>
          <w:p>
            <w:pPr>
              <w:jc w:val="right"/>
              <w:ind w:right="850"/>
              <w:spacing w:after="0" w:line="216" w:lineRule="exact"/>
              <w:rPr>
                <w:sz w:val="20"/>
                <w:szCs w:val="20"/>
                <w:color w:val="auto"/>
              </w:rPr>
            </w:pPr>
            <w:r>
              <w:rPr>
                <w:rFonts w:ascii="Calibri" w:cs="Calibri" w:eastAsia="Calibri" w:hAnsi="Calibri"/>
                <w:sz w:val="18"/>
                <w:szCs w:val="18"/>
                <w:b w:val="1"/>
                <w:bCs w:val="1"/>
                <w:color w:val="auto"/>
              </w:rPr>
              <w:t>30, 2024</w:t>
            </w:r>
          </w:p>
        </w:tc>
      </w:tr>
      <w:tr>
        <w:trPr>
          <w:trHeight w:val="37"/>
        </w:trPr>
        <w:tc>
          <w:tcPr>
            <w:tcW w:w="46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23"/>
        </w:trPr>
        <w:tc>
          <w:tcPr>
            <w:tcW w:w="4680" w:type="dxa"/>
            <w:vAlign w:val="bottom"/>
            <w:shd w:val="clear" w:color="auto" w:fill="CCEEFF"/>
          </w:tcPr>
          <w:p>
            <w:pPr>
              <w:ind w:left="20"/>
              <w:spacing w:after="0" w:line="223" w:lineRule="exact"/>
              <w:rPr>
                <w:sz w:val="20"/>
                <w:szCs w:val="20"/>
                <w:color w:val="auto"/>
              </w:rPr>
            </w:pPr>
            <w:r>
              <w:rPr>
                <w:rFonts w:ascii="Calibri" w:cs="Calibri" w:eastAsia="Calibri" w:hAnsi="Calibri"/>
                <w:sz w:val="18"/>
                <w:szCs w:val="18"/>
                <w:color w:val="auto"/>
              </w:rPr>
              <w:t>Cost to mine one bitcoin</w:t>
            </w:r>
            <w:r>
              <w:rPr>
                <w:rFonts w:ascii="Calibri" w:cs="Calibri" w:eastAsia="Calibri" w:hAnsi="Calibri"/>
                <w:sz w:val="23"/>
                <w:szCs w:val="23"/>
                <w:color w:val="auto"/>
                <w:vertAlign w:val="superscript"/>
              </w:rPr>
              <w:t>(1)</w:t>
            </w:r>
          </w:p>
        </w:tc>
        <w:tc>
          <w:tcPr>
            <w:tcW w:w="1260" w:type="dxa"/>
            <w:vAlign w:val="bottom"/>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9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49,038</w:t>
            </w:r>
          </w:p>
        </w:tc>
      </w:tr>
      <w:tr>
        <w:trPr>
          <w:trHeight w:val="256"/>
        </w:trPr>
        <w:tc>
          <w:tcPr>
            <w:tcW w:w="4680" w:type="dxa"/>
            <w:vAlign w:val="bottom"/>
          </w:tcPr>
          <w:p>
            <w:pPr>
              <w:ind w:left="20"/>
              <w:spacing w:after="0" w:line="257" w:lineRule="exact"/>
              <w:rPr>
                <w:sz w:val="20"/>
                <w:szCs w:val="20"/>
                <w:color w:val="auto"/>
              </w:rPr>
            </w:pPr>
            <w:r>
              <w:rPr>
                <w:rFonts w:ascii="Calibri" w:cs="Calibri" w:eastAsia="Calibri" w:hAnsi="Calibri"/>
                <w:sz w:val="18"/>
                <w:szCs w:val="18"/>
                <w:color w:val="auto"/>
              </w:rPr>
              <w:t>Value of each bitcoin mined</w:t>
            </w:r>
            <w:r>
              <w:rPr>
                <w:rFonts w:ascii="Calibri" w:cs="Calibri" w:eastAsia="Calibri" w:hAnsi="Calibri"/>
                <w:sz w:val="23"/>
                <w:szCs w:val="23"/>
                <w:color w:val="auto"/>
                <w:vertAlign w:val="superscript"/>
              </w:rPr>
              <w:t>(2)</w:t>
            </w:r>
          </w:p>
        </w:tc>
        <w:tc>
          <w:tcPr>
            <w:tcW w:w="1260" w:type="dxa"/>
            <w:vAlign w:val="bottom"/>
          </w:tcPr>
          <w:p>
            <w:pPr>
              <w:jc w:val="right"/>
              <w:ind w:right="330"/>
              <w:spacing w:after="0"/>
              <w:rPr>
                <w:sz w:val="20"/>
                <w:szCs w:val="20"/>
                <w:color w:val="auto"/>
              </w:rPr>
            </w:pPr>
            <w:r>
              <w:rPr>
                <w:rFonts w:ascii="Calibri" w:cs="Calibri" w:eastAsia="Calibri" w:hAnsi="Calibri"/>
                <w:sz w:val="18"/>
                <w:szCs w:val="18"/>
                <w:color w:val="auto"/>
              </w:rPr>
              <w:t>$</w:t>
            </w:r>
          </w:p>
        </w:tc>
        <w:tc>
          <w:tcPr>
            <w:tcW w:w="1980" w:type="dxa"/>
            <w:vAlign w:val="bottom"/>
          </w:tcPr>
          <w:p>
            <w:pPr>
              <w:jc w:val="right"/>
              <w:ind w:right="90"/>
              <w:spacing w:after="0"/>
              <w:rPr>
                <w:sz w:val="20"/>
                <w:szCs w:val="20"/>
                <w:color w:val="auto"/>
              </w:rPr>
            </w:pPr>
            <w:r>
              <w:rPr>
                <w:rFonts w:ascii="Calibri" w:cs="Calibri" w:eastAsia="Calibri" w:hAnsi="Calibri"/>
                <w:sz w:val="18"/>
                <w:szCs w:val="18"/>
                <w:color w:val="auto"/>
              </w:rPr>
              <w:t>61,642</w:t>
            </w:r>
          </w:p>
        </w:tc>
      </w:tr>
      <w:tr>
        <w:trPr>
          <w:trHeight w:val="230"/>
        </w:trPr>
        <w:tc>
          <w:tcPr>
            <w:tcW w:w="46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to mine one bitcoin as % of value of bitcoin mined</w:t>
            </w:r>
          </w:p>
        </w:tc>
        <w:tc>
          <w:tcPr>
            <w:tcW w:w="1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79.6 %</w:t>
            </w:r>
          </w:p>
        </w:tc>
      </w:tr>
    </w:tbl>
    <w:p>
      <w:pPr>
        <w:spacing w:after="0" w:line="66" w:lineRule="exact"/>
        <w:rPr>
          <w:sz w:val="20"/>
          <w:szCs w:val="20"/>
          <w:color w:val="auto"/>
        </w:rPr>
      </w:pPr>
    </w:p>
    <w:p>
      <w:pPr>
        <w:ind w:left="200" w:hanging="192"/>
        <w:spacing w:after="0"/>
        <w:tabs>
          <w:tab w:leader="none" w:pos="20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Computed as cost of revenue of cryptocurrency mining divided by number of bitcoins produced from cryptocurrency mining.</w:t>
      </w:r>
    </w:p>
    <w:p>
      <w:pPr>
        <w:ind w:left="200" w:hanging="192"/>
        <w:spacing w:after="0" w:line="227" w:lineRule="auto"/>
        <w:tabs>
          <w:tab w:leader="none" w:pos="20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Computed as cryptocurrency mining revenue divided by number of bitcoins produced from cryptocurrency 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i w:val="1"/>
          <w:iCs w:val="1"/>
          <w:color w:val="auto"/>
        </w:rPr>
        <w:t>Datacenter hostng revenue</w:t>
      </w:r>
    </w:p>
    <w:p>
      <w:pPr>
        <w:spacing w:after="0" w:line="231" w:lineRule="exact"/>
        <w:rPr>
          <w:sz w:val="20"/>
          <w:szCs w:val="20"/>
          <w:color w:val="auto"/>
        </w:rPr>
      </w:pPr>
    </w:p>
    <w:p>
      <w:pPr>
        <w:ind w:right="40"/>
        <w:spacing w:after="0" w:line="227" w:lineRule="auto"/>
        <w:rPr>
          <w:sz w:val="20"/>
          <w:szCs w:val="20"/>
          <w:color w:val="auto"/>
        </w:rPr>
      </w:pPr>
      <w:r>
        <w:rPr>
          <w:rFonts w:ascii="Calibri" w:cs="Calibri" w:eastAsia="Calibri" w:hAnsi="Calibri"/>
          <w:sz w:val="18"/>
          <w:szCs w:val="18"/>
          <w:color w:val="auto"/>
        </w:rPr>
        <w:t>On January 30, 2023, we entered into the NYDIG Hostng Agreement to provide datacenter hostng services. Under the NYDIG Hostng Agreement, we generate revenue from a reimbursement fee that covers the cost of power and direct costs associated with management of the mining facilites, a hostng fee and a gross proft-sharing arrangement. The arrangement covers substantally all of our current mining capacity at the New York Facility and the South Carolina Facility during the 2023 comparatve period, prior to the sale of the facility on November 15, 2023. We generated revenue of $6.5 million for the three months ended September 30, 2024 and $12.1 million for the three months ended September 30, 2023. This decrease of $5.6 million was mainly due to the sale of the South Carolina Facility and partally ofset by a 117% increase in price of bitcoin. In additon, we managed approximately 1.7 EH/s of average actve hash rate in our hostng services, of which produced approximately 113 bitcoins.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Power and capacity revenue</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commitng to sell power to the NYISO when dispatched and (3) other ancillary service revenue received as compensaton for the provision of operatng reserves. Our power and capacity revenue increased $0.5 million, or 21%, to $2.6 million during the three months ended September 30, 2024. We estmate that higher average power and capacity prices caused revenue increases of approximately 29%, which was partally ofset by lower power and capacity sales volume of 8%, as compared to the prior period.</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Cost of revenue (exclusive of depreciaton)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5"/>
          </w:tcPr>
          <w:p>
            <w:pPr>
              <w:ind w:left="200"/>
              <w:spacing w:after="0"/>
              <w:rPr>
                <w:sz w:val="20"/>
                <w:szCs w:val="20"/>
                <w:color w:val="auto"/>
              </w:rPr>
            </w:pPr>
            <w:r>
              <w:rPr>
                <w:rFonts w:ascii="Calibri" w:cs="Calibri" w:eastAsia="Calibri" w:hAnsi="Calibri"/>
                <w:sz w:val="14"/>
                <w:szCs w:val="14"/>
                <w:b w:val="1"/>
                <w:bCs w:val="1"/>
                <w:color w:val="auto"/>
              </w:rPr>
              <w:t>Three Months Ended September 30,</w:t>
            </w:r>
          </w:p>
        </w:tc>
        <w:tc>
          <w:tcPr>
            <w:tcW w:w="400" w:type="dxa"/>
            <w:vAlign w:val="bottom"/>
          </w:tcPr>
          <w:p>
            <w:pPr>
              <w:spacing w:after="0"/>
              <w:rPr>
                <w:sz w:val="14"/>
                <w:szCs w:val="14"/>
                <w:color w:val="auto"/>
              </w:rPr>
            </w:pPr>
          </w:p>
        </w:tc>
        <w:tc>
          <w:tcPr>
            <w:tcW w:w="1640" w:type="dxa"/>
            <w:vAlign w:val="bottom"/>
            <w:gridSpan w:val="3"/>
          </w:tcPr>
          <w:p>
            <w:pPr>
              <w:ind w:left="90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r>
      <w:tr>
        <w:trPr>
          <w:trHeight w:val="253"/>
        </w:trPr>
        <w:tc>
          <w:tcPr>
            <w:tcW w:w="4860" w:type="dxa"/>
            <w:vAlign w:val="bottom"/>
          </w:tcPr>
          <w:p>
            <w:pPr>
              <w:ind w:left="20"/>
              <w:spacing w:after="0"/>
              <w:rPr>
                <w:sz w:val="20"/>
                <w:szCs w:val="20"/>
                <w:color w:val="auto"/>
              </w:rPr>
            </w:pPr>
            <w:r>
              <w:rPr>
                <w:rFonts w:ascii="Calibri" w:cs="Calibri" w:eastAsia="Calibri" w:hAnsi="Calibri"/>
                <w:sz w:val="18"/>
                <w:szCs w:val="18"/>
                <w:b w:val="1"/>
                <w:bCs w:val="1"/>
                <w:i w:val="1"/>
                <w:iCs w:val="1"/>
                <w:color w:val="auto"/>
              </w:rPr>
              <w:t>$ in thousands</w:t>
            </w:r>
          </w:p>
        </w:tc>
        <w:tc>
          <w:tcPr>
            <w:tcW w:w="320" w:type="dxa"/>
            <w:vAlign w:val="bottom"/>
          </w:tcPr>
          <w:p>
            <w:pPr>
              <w:spacing w:after="0"/>
              <w:rPr>
                <w:sz w:val="22"/>
                <w:szCs w:val="22"/>
                <w:color w:val="auto"/>
              </w:rPr>
            </w:pPr>
          </w:p>
        </w:tc>
        <w:tc>
          <w:tcPr>
            <w:tcW w:w="1220" w:type="dxa"/>
            <w:vAlign w:val="bottom"/>
          </w:tcPr>
          <w:p>
            <w:pPr>
              <w:jc w:val="right"/>
              <w:ind w:right="535"/>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53"/>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616"/>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ind w:right="634"/>
              <w:spacing w:after="0"/>
              <w:rPr>
                <w:sz w:val="20"/>
                <w:szCs w:val="20"/>
                <w:color w:val="auto"/>
              </w:rPr>
            </w:pPr>
            <w:r>
              <w:rPr>
                <w:rFonts w:ascii="Calibri" w:cs="Calibri" w:eastAsia="Calibri" w:hAnsi="Calibri"/>
                <w:sz w:val="14"/>
                <w:szCs w:val="14"/>
                <w:b w:val="1"/>
                <w:bCs w:val="1"/>
                <w:color w:val="auto"/>
              </w:rPr>
              <w:t>%</w:t>
            </w:r>
          </w:p>
        </w:tc>
      </w:tr>
      <w:tr>
        <w:trPr>
          <w:trHeight w:val="23"/>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8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Datacenter hostng</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ind w:right="95"/>
              <w:spacing w:after="0" w:line="215" w:lineRule="exact"/>
              <w:rPr>
                <w:sz w:val="20"/>
                <w:szCs w:val="20"/>
                <w:color w:val="auto"/>
              </w:rPr>
            </w:pPr>
            <w:r>
              <w:rPr>
                <w:rFonts w:ascii="Calibri" w:cs="Calibri" w:eastAsia="Calibri" w:hAnsi="Calibri"/>
                <w:sz w:val="18"/>
                <w:szCs w:val="18"/>
                <w:color w:val="auto"/>
              </w:rPr>
              <w:t>4,941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113"/>
              <w:spacing w:after="0" w:line="215" w:lineRule="exact"/>
              <w:rPr>
                <w:sz w:val="20"/>
                <w:szCs w:val="20"/>
                <w:color w:val="auto"/>
              </w:rPr>
            </w:pPr>
            <w:r>
              <w:rPr>
                <w:rFonts w:ascii="Calibri" w:cs="Calibri" w:eastAsia="Calibri" w:hAnsi="Calibri"/>
                <w:sz w:val="18"/>
                <w:szCs w:val="18"/>
                <w:color w:val="auto"/>
              </w:rPr>
              <w:t>9,432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w:t>
            </w: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Cryptocurrency mining</w:t>
            </w:r>
          </w:p>
        </w:tc>
        <w:tc>
          <w:tcPr>
            <w:tcW w:w="320" w:type="dxa"/>
            <w:vAlign w:val="bottom"/>
          </w:tcPr>
          <w:p>
            <w:pPr>
              <w:spacing w:after="0"/>
              <w:rPr>
                <w:sz w:val="19"/>
                <w:szCs w:val="19"/>
                <w:color w:val="auto"/>
              </w:rPr>
            </w:pPr>
          </w:p>
        </w:tc>
        <w:tc>
          <w:tcPr>
            <w:tcW w:w="1220" w:type="dxa"/>
            <w:vAlign w:val="bottom"/>
          </w:tcPr>
          <w:p>
            <w:pPr>
              <w:jc w:val="right"/>
              <w:ind w:right="95"/>
              <w:spacing w:after="0" w:line="215" w:lineRule="exact"/>
              <w:rPr>
                <w:sz w:val="20"/>
                <w:szCs w:val="20"/>
                <w:color w:val="auto"/>
              </w:rPr>
            </w:pPr>
            <w:r>
              <w:rPr>
                <w:rFonts w:ascii="Calibri" w:cs="Calibri" w:eastAsia="Calibri" w:hAnsi="Calibri"/>
                <w:sz w:val="18"/>
                <w:szCs w:val="18"/>
                <w:color w:val="auto"/>
              </w:rPr>
              <w:t>2,599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13"/>
              <w:spacing w:after="0" w:line="215" w:lineRule="exact"/>
              <w:rPr>
                <w:sz w:val="20"/>
                <w:szCs w:val="20"/>
                <w:color w:val="auto"/>
              </w:rPr>
            </w:pPr>
            <w:r>
              <w:rPr>
                <w:rFonts w:ascii="Calibri" w:cs="Calibri" w:eastAsia="Calibri" w:hAnsi="Calibri"/>
                <w:sz w:val="18"/>
                <w:szCs w:val="18"/>
                <w:color w:val="auto"/>
              </w:rPr>
              <w:t>4,458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(1,859)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Power and capacity</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Calibri" w:cs="Calibri" w:eastAsia="Calibri" w:hAnsi="Calibri"/>
                <w:sz w:val="18"/>
                <w:szCs w:val="18"/>
                <w:color w:val="auto"/>
              </w:rPr>
              <w:t>1,764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Calibri" w:cs="Calibri" w:eastAsia="Calibri" w:hAnsi="Calibri"/>
                <w:sz w:val="18"/>
                <w:szCs w:val="18"/>
                <w:color w:val="auto"/>
              </w:rPr>
              <w:t>1,465</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299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20 %</w:t>
            </w:r>
          </w:p>
        </w:tc>
      </w:tr>
      <w:tr>
        <w:trPr>
          <w:trHeight w:val="223"/>
        </w:trPr>
        <w:tc>
          <w:tcPr>
            <w:tcW w:w="4860" w:type="dxa"/>
            <w:vAlign w:val="bottom"/>
          </w:tcPr>
          <w:p>
            <w:pPr>
              <w:ind w:left="20"/>
              <w:spacing w:after="0"/>
              <w:rPr>
                <w:sz w:val="20"/>
                <w:szCs w:val="20"/>
                <w:color w:val="auto"/>
              </w:rPr>
            </w:pPr>
            <w:r>
              <w:rPr>
                <w:rFonts w:ascii="Calibri" w:cs="Calibri" w:eastAsia="Calibri" w:hAnsi="Calibri"/>
                <w:sz w:val="18"/>
                <w:szCs w:val="18"/>
                <w:color w:val="auto"/>
              </w:rPr>
              <w:t>Total cost of revenue (exclusive of depreciaton)</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tcPr>
          <w:p>
            <w:pPr>
              <w:jc w:val="right"/>
              <w:ind w:right="95"/>
              <w:spacing w:after="0" w:line="215" w:lineRule="exact"/>
              <w:rPr>
                <w:sz w:val="20"/>
                <w:szCs w:val="20"/>
                <w:color w:val="auto"/>
              </w:rPr>
            </w:pPr>
            <w:r>
              <w:rPr>
                <w:rFonts w:ascii="Calibri" w:cs="Calibri" w:eastAsia="Calibri" w:hAnsi="Calibri"/>
                <w:sz w:val="18"/>
                <w:szCs w:val="18"/>
                <w:color w:val="auto"/>
              </w:rPr>
              <w:t>9,304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tcPr>
          <w:p>
            <w:pPr>
              <w:jc w:val="right"/>
              <w:ind w:right="113"/>
              <w:spacing w:after="0" w:line="215" w:lineRule="exact"/>
              <w:rPr>
                <w:sz w:val="20"/>
                <w:szCs w:val="20"/>
                <w:color w:val="auto"/>
              </w:rPr>
            </w:pPr>
            <w:r>
              <w:rPr>
                <w:rFonts w:ascii="Calibri" w:cs="Calibri" w:eastAsia="Calibri" w:hAnsi="Calibri"/>
                <w:sz w:val="18"/>
                <w:szCs w:val="18"/>
                <w:color w:val="auto"/>
              </w:rPr>
              <w:t>15,355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(39)%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4"/>
        </w:trPr>
        <w:tc>
          <w:tcPr>
            <w:tcW w:w="4860" w:type="dxa"/>
            <w:vAlign w:val="bottom"/>
            <w:shd w:val="clear" w:color="auto" w:fill="CCEEFF"/>
          </w:tcPr>
          <w:p>
            <w:pPr>
              <w:ind w:left="360"/>
              <w:spacing w:after="0" w:line="200" w:lineRule="exact"/>
              <w:rPr>
                <w:sz w:val="20"/>
                <w:szCs w:val="20"/>
                <w:color w:val="auto"/>
              </w:rPr>
            </w:pPr>
            <w:r>
              <w:rPr>
                <w:rFonts w:ascii="Calibri" w:cs="Calibri" w:eastAsia="Calibri" w:hAnsi="Calibri"/>
                <w:sz w:val="18"/>
                <w:szCs w:val="18"/>
                <w:i w:val="1"/>
                <w:iCs w:val="1"/>
                <w:color w:val="auto"/>
              </w:rPr>
              <w:t>As a percentage of total revenue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75.3 %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73.5 %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75"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Total cost of revenue, exclusive of depreciaton, decreased $6.1 million, or 39%, to $9.3 million during the three months ended September 30, 2024 as compared to the prior year period. We estmate the decrease is comprised of approximately 22% due to the lower utlizaton of electricity involved in producton as a result of the sale of our South Carolina facility in the fourth quarter of 2023 and 17% due to our transiton away from third party hostng service agreements for our own miners, lower natural gas and electricity charges, and lower MWh power consumpton by our power plant and operatng miner feet.</w:t>
      </w:r>
    </w:p>
    <w:p>
      <w:pPr>
        <w:spacing w:after="0" w:line="220"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Our New York Facility allocates its cost of revenue between datacenter hostng, cryptocurrency mining and power and capacity based on their respectve MWh consumpton on a pro rata basis.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Selling, general and administratve expenses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Selling, general and administratve expenses decreased $2.9 million, or 44%, to $3.7 million for the three months ended September 30, 2024 as compared to the prior year period. The main drivers of the decrease in selling, general and administratve expenses were:</w:t>
      </w:r>
    </w:p>
    <w:p>
      <w:pPr>
        <w:spacing w:after="0" w:line="150" w:lineRule="exact"/>
        <w:rPr>
          <w:sz w:val="20"/>
          <w:szCs w:val="20"/>
          <w:color w:val="auto"/>
        </w:rPr>
      </w:pPr>
    </w:p>
    <w:p>
      <w:pPr>
        <w:ind w:left="660" w:right="60" w:hanging="328"/>
        <w:spacing w:after="0" w:line="227"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Total insurance expense decreased approximately $1.0 million in the third quarter of 2024 compared to the prior year period, as a result of a decline in coverage costs related to umbrella, property, and liability policies due to a lower asset base;</w:t>
      </w:r>
    </w:p>
    <w:p>
      <w:pPr>
        <w:spacing w:after="0" w:line="232" w:lineRule="exact"/>
        <w:rPr>
          <w:rFonts w:ascii="Calibri" w:cs="Calibri" w:eastAsia="Calibri" w:hAnsi="Calibri"/>
          <w:sz w:val="18"/>
          <w:szCs w:val="18"/>
          <w:color w:val="auto"/>
        </w:rPr>
      </w:pPr>
    </w:p>
    <w:p>
      <w:pPr>
        <w:ind w:left="660" w:right="260" w:hanging="328"/>
        <w:spacing w:after="0" w:line="225"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Total payroll and benefts and other employee costs decreased approximately $0.8 million in the third quarter of 2024 compared to the prior year period, as a result of declines in employee expenses related to the corporate overhead cost reducton eforts that occurred in 2023 as well as a decrease in incentve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6" w:name="page37"/>
    <w:bookmarkEnd w:id="36"/>
    <w:p>
      <w:pPr>
        <w:ind w:left="660" w:right="220" w:hanging="328"/>
        <w:spacing w:after="0" w:line="242" w:lineRule="auto"/>
        <w:tabs>
          <w:tab w:leader="none" w:pos="65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Decrease of approximately $0.8 million due to reductons in professional fees and consultng expenses caused by reductons in discretonary costs and higher regulatory costs in the prior year period associated with permit renewals and environmental maters at the New York Facility;</w:t>
      </w:r>
    </w:p>
    <w:p>
      <w:pPr>
        <w:spacing w:after="0" w:line="229" w:lineRule="exact"/>
        <w:rPr>
          <w:rFonts w:ascii="Calibri" w:cs="Calibri" w:eastAsia="Calibri" w:hAnsi="Calibri"/>
          <w:sz w:val="17"/>
          <w:szCs w:val="17"/>
          <w:color w:val="auto"/>
        </w:rPr>
      </w:pPr>
    </w:p>
    <w:p>
      <w:pPr>
        <w:ind w:left="660" w:right="180" w:hanging="328"/>
        <w:spacing w:after="0" w:line="227"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Total administratve overhead costs decreased approximately $0.2 million in the third quarter of 2024 compared to the prior year period, primarily related to reduced spending on informaton technology and business development; and</w:t>
      </w:r>
    </w:p>
    <w:p>
      <w:pPr>
        <w:spacing w:after="0" w:line="232" w:lineRule="exact"/>
        <w:rPr>
          <w:rFonts w:ascii="Calibri" w:cs="Calibri" w:eastAsia="Calibri" w:hAnsi="Calibri"/>
          <w:sz w:val="18"/>
          <w:szCs w:val="18"/>
          <w:color w:val="auto"/>
        </w:rPr>
      </w:pPr>
    </w:p>
    <w:p>
      <w:pPr>
        <w:jc w:val="both"/>
        <w:ind w:left="660" w:right="480" w:hanging="328"/>
        <w:spacing w:after="0" w:line="22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Total stock compensaton decreased approximately $0.1 million in the third quarter of 2024 compared to the prior year period, as a result of a decline in amortzed expense relatng to RSUs with a higher grant date fair value, as well as a decline in amortzed expense relatng to optons granted in prior periods.</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Depreciaton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was no change in depreciaton expense for the three months ended September 30, 2024 as compared to the prior year period.</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Gain on digital assets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recognized a gain on digital assets of $0.2 million for the three months ended September 30, 2024 as a result of measuring digital assets at fair value due to our adoptng ASU 2023-08 on January 1, 2024. There was no gain or loss on digital assets as a result of measuring digital assets at fair value for the three months ended September 30, 2023.</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Loss on sale of assets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recognized a loss on the sale of assets of $0.7 million for the three months ended September 30, 2024 as a result of selling long-lived assets. There was no gain or loss on the sale of assets for the three months ended September 30,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Operatng (loss) income from contnuing operatons</w:t>
      </w:r>
    </w:p>
    <w:p>
      <w:pPr>
        <w:spacing w:after="0" w:line="21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We reported an operatng loss for the three months ended September 30, 2024 of $4.6 million compared with an operatng loss of $10.1 million in the three months ended September 30, 2023. The favorable variance of $5.5 million is primarily related to the decrease in impairment expense of $4.0 million, as well as additonal cost savings related to selling, general, and administratve expenses.</w:t>
      </w:r>
    </w:p>
    <w:p>
      <w:pPr>
        <w:spacing w:after="0" w:line="219"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color w:val="auto"/>
        </w:rPr>
        <w:t>Adjusted loss from operatons was $3.9 million for the three months ended September 30, 2024 as compared to adjusted loss from operatons of $3.9 million in the three months ended September 30, 2023. The adjusted loss from operatons was driven by the same factors described above impactng loss from operatons. A reconciliaton of reported amounts to adjusted amounts can be found in the "Non-GAAP Measures and Reconciliatons" secton of this MD&amp;A.</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Total other expense, net</w:t>
      </w:r>
    </w:p>
    <w:p>
      <w:pPr>
        <w:spacing w:after="0" w:line="217" w:lineRule="exact"/>
        <w:rPr>
          <w:sz w:val="20"/>
          <w:szCs w:val="20"/>
          <w:color w:val="auto"/>
        </w:rPr>
      </w:pPr>
    </w:p>
    <w:p>
      <w:pPr>
        <w:ind w:right="600"/>
        <w:spacing w:after="0" w:line="258" w:lineRule="auto"/>
        <w:rPr>
          <w:sz w:val="20"/>
          <w:szCs w:val="20"/>
          <w:color w:val="auto"/>
        </w:rPr>
      </w:pPr>
      <w:r>
        <w:rPr>
          <w:rFonts w:ascii="Calibri" w:cs="Calibri" w:eastAsia="Calibri" w:hAnsi="Calibri"/>
          <w:sz w:val="17"/>
          <w:szCs w:val="17"/>
          <w:color w:val="auto"/>
        </w:rPr>
        <w:t>During the three months ended September 30, 2024, Greenidge incurred a decrease of $1.2 million, or 40%, to $1.8 million of other expense due to a reducton in interest expense of $1.2 million. The decrease is a result of the reductons in debt that occurred in the frst and fourth quarters of 2023.</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Beneft from income taxes</w:t>
      </w:r>
    </w:p>
    <w:p>
      <w:pPr>
        <w:spacing w:after="0" w:line="217" w:lineRule="exact"/>
        <w:rPr>
          <w:sz w:val="20"/>
          <w:szCs w:val="20"/>
          <w:color w:val="auto"/>
        </w:rPr>
      </w:pPr>
    </w:p>
    <w:p>
      <w:pPr>
        <w:ind w:right="180"/>
        <w:spacing w:after="0" w:line="254" w:lineRule="auto"/>
        <w:rPr>
          <w:sz w:val="20"/>
          <w:szCs w:val="20"/>
          <w:color w:val="auto"/>
        </w:rPr>
      </w:pPr>
      <w:r>
        <w:rPr>
          <w:rFonts w:ascii="Calibri" w:cs="Calibri" w:eastAsia="Calibri" w:hAnsi="Calibri"/>
          <w:sz w:val="17"/>
          <w:szCs w:val="17"/>
          <w:color w:val="auto"/>
        </w:rPr>
        <w:t>Our efectve tax rate for the three months ended September 30, 2024 was a 2% beneft which was lower than the statutory rate of 21% because we have a full valuaton allowance on deferred tax assets, as well as an adjustment for the New York State income tax receivable upon completon of the 2023 tax return. We recorded and will contnue to carry a full valuaton allowance against our gross deferred tax assets that will not reverse against deferred tax</w:t>
      </w:r>
    </w:p>
    <w:p>
      <w:pPr>
        <w:spacing w:after="0" w:line="43" w:lineRule="exact"/>
        <w:rPr>
          <w:sz w:val="20"/>
          <w:szCs w:val="20"/>
          <w:color w:val="auto"/>
        </w:rPr>
      </w:pPr>
    </w:p>
    <w:p>
      <w:pPr>
        <w:ind w:right="720"/>
        <w:spacing w:after="0" w:line="235" w:lineRule="auto"/>
        <w:rPr>
          <w:sz w:val="20"/>
          <w:szCs w:val="20"/>
          <w:color w:val="auto"/>
        </w:rPr>
      </w:pPr>
      <w:r>
        <w:rPr>
          <w:rFonts w:ascii="Calibri" w:cs="Calibri" w:eastAsia="Calibri" w:hAnsi="Calibri"/>
          <w:sz w:val="18"/>
          <w:szCs w:val="18"/>
          <w:color w:val="auto"/>
        </w:rPr>
        <w:t>liabilites within the scheduled reversal period. The 2%, or $0.1 million beneft for the three months ended September 30, 2024 was the result of an adjustment for the New York State income tax receivable upon completon of our 2023 tax return.</w:t>
      </w:r>
    </w:p>
    <w:p>
      <w:pPr>
        <w:spacing w:after="0" w:line="218" w:lineRule="exact"/>
        <w:rPr>
          <w:sz w:val="20"/>
          <w:szCs w:val="20"/>
          <w:color w:val="auto"/>
        </w:rPr>
      </w:pPr>
    </w:p>
    <w:p>
      <w:pPr>
        <w:ind w:right="600"/>
        <w:spacing w:after="0" w:line="235" w:lineRule="auto"/>
        <w:rPr>
          <w:sz w:val="20"/>
          <w:szCs w:val="20"/>
          <w:color w:val="auto"/>
        </w:rPr>
      </w:pPr>
      <w:r>
        <w:rPr>
          <w:rFonts w:ascii="Calibri" w:cs="Calibri" w:eastAsia="Calibri" w:hAnsi="Calibri"/>
          <w:sz w:val="18"/>
          <w:szCs w:val="18"/>
          <w:color w:val="auto"/>
        </w:rPr>
        <w:t>Our efectve tax rate for the three months ended September 30, 2023 was 0%, which was lower than the statutory rate of 21% due to a full valuaton allowance on deferred tax assets.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b w:val="1"/>
          <w:bCs w:val="1"/>
          <w:i w:val="1"/>
          <w:iCs w:val="1"/>
          <w:u w:val="single" w:color="auto"/>
          <w:color w:val="auto"/>
        </w:rPr>
        <w:t>Net loss from contnuing operatons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a result of the factors described above, Greenidge incurred a net loss of $6.3 million for the three months ended September 30, 2024 as compared to a net loss of $13.2 million for the three months ended September 30, 2023.</w:t>
      </w:r>
    </w:p>
    <w:p>
      <w:pPr>
        <w:spacing w:after="0" w:line="21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an adjusted basis, excluding the impact of a gain on sale of assets and debt restructure costs, adjusted net loss during the three months ended September 30, 2024 would have been $5.6 million as compared to $6.9 million in the same period in 2023. Adjusted net loss is a non-GAAP performance measure. A reconciliaton of reported amounts to adjusted amounts can be found in the "Non-GAAP Measures and Reconciliatons" secton of this MD&amp;A.</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Loss from discontnued operatons</w:t>
      </w:r>
    </w:p>
    <w:p>
      <w:pPr>
        <w:spacing w:after="0" w:line="16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have reported the Support.com business as discontnued operatons in the consolidated fnancial statements. Loss from discontnued operatons, net of tax net of tax decreased $1.0 million, or 96%, to $0.0 million for the three months ended September 30, 2024. The decrease is primarily related to the closing of operatons.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Measures and Reconciliatons</w:t>
      </w:r>
    </w:p>
    <w:p>
      <w:pPr>
        <w:spacing w:after="0" w:line="109" w:lineRule="exact"/>
        <w:rPr>
          <w:sz w:val="20"/>
          <w:szCs w:val="20"/>
          <w:color w:val="auto"/>
        </w:rPr>
      </w:pPr>
    </w:p>
    <w:p>
      <w:pPr>
        <w:ind w:right="120"/>
        <w:spacing w:after="0" w:line="251" w:lineRule="auto"/>
        <w:rPr>
          <w:sz w:val="20"/>
          <w:szCs w:val="20"/>
          <w:color w:val="auto"/>
        </w:rPr>
      </w:pPr>
      <w:r>
        <w:rPr>
          <w:rFonts w:ascii="Calibri" w:cs="Calibri" w:eastAsia="Calibri" w:hAnsi="Calibri"/>
          <w:sz w:val="17"/>
          <w:szCs w:val="17"/>
          <w:color w:val="auto"/>
        </w:rPr>
        <w:t>The following non-GAAP measures are intended to supplement investors’ understanding of our fnancial informaton by providing measures which investors, fnancial analysts and management use to help evaluate our operatng performance. Items which we do not believe to be indicatve of ongoing business trends are excluded from these calculatons so that investors can beter evaluate and analyze historical and future business trends on a consistent basis. Defnitons of these non-GAAP measures may not be comparable to similar defnitons used by other companies. These results should be considered in additon to, not as a substtute for, results reported in accordance with United States Generally Accepted Accountng Principles ("U.S. GAAP").</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EBITDA (loss) from contnuing operatons and Adjusted EBITDA (loss) from contnuing operatons</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"EBITDA from contnuing operatons" is defned as earnings from contnuing operatons before taxes, interest, and depreciaton and amortzaton. "Adjusted EBITDA from contnuing operatons" is defned as EBITDA from contnuing operatons adjusted for stock-based compensaton and other special items determined by management, including, but not limited to business expansion costs, gain on sale of assets and debt restructuring costs as they are not indicatve of business operatons. Adjusted EBITDA is intended as a supplemental measure of our performance that is neither required by, nor presented in accordance with, U.S. GAAP. Management believes that the use of EBITDA and Adjusted EBITDA provides an additonal tool for investors to use in evaluatng ongoing operatng results and trends and in comparing our fnancial measures with those of comparable companies, which may present similar non-GAAP fnancial measures to investors. However, you should be aware that when evaluatng EBITDA and Adjusted EBITDA, we may incur future expenses similar to those excluded when calculatng these measures. In additon, our presentaton of these measures should not be construed as an inference that its future results will be unafected by unusual or non-recurring items. Our computaton of Adjusted EBITDA may not be comparable to other similarly ttled measures computed by other companies, because all companies may not calculate Adjusted EBITDA in the same fashion.</w:t>
      </w:r>
    </w:p>
    <w:p>
      <w:pPr>
        <w:spacing w:after="0" w:line="22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Because of these limitatons, EBITDA and Adjusted EBITDA should not be considered in isolaton or as a substtute for performance measures calculated in accordance with U.S. GAAP. We compensate for these limitatons by relying primarily on our U.S. GAAP results and using EBITDA and Adjusted EBITDA on a supplemental basis. You should review the reconciliaton of net loss (income) to EBITDA (loss) and Adjusted EBITDA below and not rely on any single fnancial measure to evaluate our business. The reported amounts in the table below are from our Unaudited Condensed Consolidated Statements of Operatons in our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40" w:type="dxa"/>
            <w:vAlign w:val="bottom"/>
            <w:gridSpan w:val="5"/>
          </w:tcPr>
          <w:p>
            <w:pPr>
              <w:ind w:left="80"/>
              <w:spacing w:after="0"/>
              <w:rPr>
                <w:sz w:val="20"/>
                <w:szCs w:val="20"/>
                <w:color w:val="auto"/>
              </w:rPr>
            </w:pPr>
            <w:r>
              <w:rPr>
                <w:rFonts w:ascii="Calibri" w:cs="Calibri" w:eastAsia="Calibri" w:hAnsi="Calibri"/>
                <w:sz w:val="14"/>
                <w:szCs w:val="14"/>
                <w:b w:val="1"/>
                <w:bCs w:val="1"/>
                <w:color w:val="auto"/>
              </w:rPr>
              <w:t>Three Months Ended September 30,</w:t>
            </w:r>
          </w:p>
        </w:tc>
        <w:tc>
          <w:tcPr>
            <w:tcW w:w="420" w:type="dxa"/>
            <w:vAlign w:val="bottom"/>
          </w:tcPr>
          <w:p>
            <w:pPr>
              <w:spacing w:after="0"/>
              <w:rPr>
                <w:sz w:val="14"/>
                <w:szCs w:val="14"/>
                <w:color w:val="auto"/>
              </w:rPr>
            </w:pPr>
          </w:p>
        </w:tc>
        <w:tc>
          <w:tcPr>
            <w:tcW w:w="1740" w:type="dxa"/>
            <w:vAlign w:val="bottom"/>
            <w:gridSpan w:val="3"/>
          </w:tcPr>
          <w:p>
            <w:pPr>
              <w:ind w:left="960"/>
              <w:spacing w:after="0"/>
              <w:rPr>
                <w:sz w:val="20"/>
                <w:szCs w:val="20"/>
                <w:color w:val="auto"/>
              </w:rPr>
            </w:pPr>
            <w:r>
              <w:rPr>
                <w:rFonts w:ascii="Calibri" w:cs="Calibri" w:eastAsia="Calibri" w:hAnsi="Calibri"/>
                <w:sz w:val="14"/>
                <w:szCs w:val="14"/>
                <w:b w:val="1"/>
                <w:bCs w:val="1"/>
                <w:color w:val="auto"/>
              </w:rPr>
              <w:t>Variance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651"/>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691"/>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47"/>
        </w:trPr>
        <w:tc>
          <w:tcPr>
            <w:tcW w:w="46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Adjusted operatng (loss) income from contnuing operatons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loss from contnuing operatons</w:t>
            </w:r>
          </w:p>
        </w:tc>
        <w:tc>
          <w:tcPr>
            <w:tcW w:w="44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(4,610)</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(10,121)</w:t>
            </w:r>
          </w:p>
        </w:tc>
        <w:tc>
          <w:tcPr>
            <w:tcW w:w="100" w:type="dxa"/>
            <w:vAlign w:val="bottom"/>
          </w:tcPr>
          <w:p>
            <w:pPr>
              <w:spacing w:after="0"/>
              <w:rPr>
                <w:sz w:val="19"/>
                <w:szCs w:val="19"/>
                <w:color w:val="auto"/>
              </w:rPr>
            </w:pP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5,511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Impairment of long-lived assets</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assets</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Remeasurement of environmental liability</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669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5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Adjusted operatng loss from contnuing operatons</w:t>
            </w:r>
          </w:p>
        </w:tc>
        <w:tc>
          <w:tcPr>
            <w:tcW w:w="44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(3,917)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(3,852)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Calibri" w:cs="Calibri" w:eastAsia="Calibri" w:hAnsi="Calibri"/>
                <w:sz w:val="18"/>
                <w:szCs w:val="18"/>
                <w:i w:val="1"/>
                <w:iCs w:val="1"/>
                <w:color w:val="auto"/>
              </w:rPr>
              <w:t>Adjusted operatng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Calibri" w:cs="Calibri" w:eastAsia="Calibri" w:hAnsi="Calibri"/>
                <w:sz w:val="18"/>
                <w:szCs w:val="18"/>
                <w:i w:val="1"/>
                <w:iCs w:val="1"/>
                <w:color w:val="auto"/>
              </w:rPr>
              <w:t>(31.7 %)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Calibri" w:cs="Calibri" w:eastAsia="Calibri" w:hAnsi="Calibri"/>
                <w:sz w:val="18"/>
                <w:szCs w:val="18"/>
                <w:i w:val="1"/>
                <w:iCs w:val="1"/>
                <w:color w:val="auto"/>
              </w:rPr>
              <w:t>(18.4 %)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Adjusted net loss from contnuing operatons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44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(6,324)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(13,161)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6,837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 of long-lived assets, afer tax</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on sale of assets, afer tax</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693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Remeasurement of environmental liability, afer tax</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 costs, afer tax</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669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Calibri" w:cs="Calibri" w:eastAsia="Calibri" w:hAnsi="Calibri"/>
                <w:sz w:val="18"/>
                <w:szCs w:val="18"/>
                <w:color w:val="auto"/>
              </w:rPr>
              <w:t>Adjusted net loss from contnuing operatons</w:t>
            </w:r>
          </w:p>
        </w:tc>
        <w:tc>
          <w:tcPr>
            <w:tcW w:w="440" w:type="dxa"/>
            <w:vAlign w:val="bottom"/>
            <w:tcBorders>
              <w:top w:val="single" w:sz="8" w:color="auto"/>
              <w:bottom w:val="single" w:sz="8" w:color="auto"/>
            </w:tcBorders>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tcPr>
          <w:p>
            <w:pPr>
              <w:jc w:val="right"/>
              <w:ind w:right="111"/>
              <w:spacing w:after="0" w:line="215" w:lineRule="exact"/>
              <w:rPr>
                <w:sz w:val="20"/>
                <w:szCs w:val="20"/>
                <w:color w:val="auto"/>
              </w:rPr>
            </w:pPr>
            <w:r>
              <w:rPr>
                <w:rFonts w:ascii="Calibri" w:cs="Calibri" w:eastAsia="Calibri" w:hAnsi="Calibri"/>
                <w:sz w:val="18"/>
                <w:szCs w:val="18"/>
                <w:color w:val="auto"/>
              </w:rPr>
              <w:t>(5,631)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tcPr>
          <w:p>
            <w:pPr>
              <w:jc w:val="right"/>
              <w:ind w:right="111"/>
              <w:spacing w:after="0" w:line="215" w:lineRule="exact"/>
              <w:rPr>
                <w:sz w:val="20"/>
                <w:szCs w:val="20"/>
                <w:color w:val="auto"/>
              </w:rPr>
            </w:pPr>
            <w:r>
              <w:rPr>
                <w:rFonts w:ascii="Calibri" w:cs="Calibri" w:eastAsia="Calibri" w:hAnsi="Calibri"/>
                <w:sz w:val="18"/>
                <w:szCs w:val="18"/>
                <w:color w:val="auto"/>
              </w:rPr>
              <w:t>(6,892)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ind w:left="20"/>
              <w:spacing w:after="0" w:line="215" w:lineRule="exact"/>
              <w:rPr>
                <w:sz w:val="20"/>
                <w:szCs w:val="20"/>
                <w:color w:val="auto"/>
              </w:rPr>
            </w:pPr>
            <w:r>
              <w:rPr>
                <w:rFonts w:ascii="Calibri" w:cs="Calibri" w:eastAsia="Calibri" w:hAnsi="Calibri"/>
                <w:sz w:val="18"/>
                <w:szCs w:val="18"/>
                <w:b w:val="1"/>
                <w:bCs w:val="1"/>
                <w:color w:val="auto"/>
              </w:rPr>
              <w:t>EBITDA (loss) and Adjusted EBITDA (loss) from contnuing operatons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44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(6,324)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(13,161)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6,837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440" w:type="dxa"/>
            <w:vAlign w:val="bottom"/>
          </w:tcPr>
          <w:p>
            <w:pPr>
              <w:spacing w:after="0"/>
              <w:rPr>
                <w:sz w:val="19"/>
                <w:szCs w:val="19"/>
                <w:color w:val="auto"/>
              </w:rPr>
            </w:pPr>
          </w:p>
        </w:tc>
        <w:tc>
          <w:tcPr>
            <w:tcW w:w="110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1,832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3,040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Depreciaton</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line="215" w:lineRule="exact"/>
              <w:rPr>
                <w:sz w:val="20"/>
                <w:szCs w:val="20"/>
                <w:color w:val="auto"/>
              </w:rPr>
            </w:pPr>
            <w:r>
              <w:rPr>
                <w:rFonts w:ascii="Calibri" w:cs="Calibri" w:eastAsia="Calibri" w:hAnsi="Calibri"/>
                <w:sz w:val="18"/>
                <w:szCs w:val="18"/>
                <w:color w:val="auto"/>
              </w:rPr>
              <w:t>3,390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line="215" w:lineRule="exact"/>
              <w:rPr>
                <w:sz w:val="20"/>
                <w:szCs w:val="20"/>
                <w:color w:val="auto"/>
              </w:rPr>
            </w:pPr>
            <w:r>
              <w:rPr>
                <w:rFonts w:ascii="Calibri" w:cs="Calibri" w:eastAsia="Calibri" w:hAnsi="Calibri"/>
                <w:sz w:val="18"/>
                <w:szCs w:val="18"/>
                <w:color w:val="auto"/>
              </w:rPr>
              <w:t>3,383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line="206" w:lineRule="exact"/>
              <w:rPr>
                <w:sz w:val="20"/>
                <w:szCs w:val="20"/>
                <w:color w:val="auto"/>
              </w:rPr>
            </w:pPr>
            <w:r>
              <w:rPr>
                <w:rFonts w:ascii="Calibri" w:cs="Calibri" w:eastAsia="Calibri" w:hAnsi="Calibri"/>
                <w:sz w:val="18"/>
                <w:szCs w:val="18"/>
                <w:color w:val="auto"/>
              </w:rPr>
              <w:t>EBITDA (loss) from contnuing operatons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(1,220)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(6,738)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on sale of assets</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693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Remeasurement of environmental liability</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 costs</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669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 of long-lived assets</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55"/>
        </w:trPr>
        <w:tc>
          <w:tcPr>
            <w:tcW w:w="46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Calibri" w:cs="Calibri" w:eastAsia="Calibri" w:hAnsi="Calibri"/>
                <w:sz w:val="18"/>
                <w:szCs w:val="18"/>
                <w:color w:val="auto"/>
              </w:rPr>
              <w:t>Adjusted EBITDA (loss) from contnuing operatons</w:t>
            </w:r>
          </w:p>
        </w:tc>
        <w:tc>
          <w:tcPr>
            <w:tcW w:w="44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ind w:right="151"/>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(946)%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Revenue per MWh for datacenter hostng, cryptocurrency mining and power and capacity are used by management to consider the extent to which we may generate electricity to either produce cryptocurrency or sell power to the New York wholesale power market. Cost of revenue (excluding depreciaton) per MWh represents a measure of the cost of natural gas, emissions credits, payroll and benefts and other direct producton costs associated with the MWhs produced to generate the respectve revenue category for each MWh utlized. Depreciaton expense is excluded from the cost of revenue (exclusive of depreciaton) per MWh metric; therefore, not all cost of revenues for datacenter hostng, cryptocurrency mining and power and capacity are fully refected. To the extent any other cryptocurrency datacenters are public or may go public, the cost of revenue (exclusive of depreciaton) per MWh metric may not be comparable because some compettors may include depreciaton in their cost of revenue fgures.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u w:val="single" w:color="auto"/>
          <w:color w:val="auto"/>
        </w:rPr>
        <w:t>Results from Contnuing Operatons - Nine Months Ended September 30, 2024</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(in thousands) sets forth key components of our results from contnuing operatons and should be read in conjuncton with our condensed consolidated fnancial statements and related notes. All comparisons below refer to the nine months ended September 30, 2024 versus the nine months ended September 30, 2023, unless otherwise specifed.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5"/>
          </w:tcPr>
          <w:p>
            <w:pPr>
              <w:ind w:left="240"/>
              <w:spacing w:after="0"/>
              <w:rPr>
                <w:sz w:val="20"/>
                <w:szCs w:val="20"/>
                <w:color w:val="auto"/>
              </w:rPr>
            </w:pPr>
            <w:r>
              <w:rPr>
                <w:rFonts w:ascii="Calibri" w:cs="Calibri" w:eastAsia="Calibri" w:hAnsi="Calibri"/>
                <w:sz w:val="14"/>
                <w:szCs w:val="14"/>
                <w:b w:val="1"/>
                <w:bCs w:val="1"/>
                <w:color w:val="auto"/>
              </w:rPr>
              <w:t>Nine Months Ended September 30,</w:t>
            </w:r>
          </w:p>
        </w:tc>
        <w:tc>
          <w:tcPr>
            <w:tcW w:w="400" w:type="dxa"/>
            <w:vAlign w:val="bottom"/>
          </w:tcPr>
          <w:p>
            <w:pPr>
              <w:spacing w:after="0"/>
              <w:rPr>
                <w:sz w:val="14"/>
                <w:szCs w:val="14"/>
                <w:color w:val="auto"/>
              </w:rPr>
            </w:pPr>
          </w:p>
        </w:tc>
        <w:tc>
          <w:tcPr>
            <w:tcW w:w="162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r>
      <w:tr>
        <w:trPr>
          <w:trHeight w:val="203"/>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591"/>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w:t>
            </w:r>
          </w:p>
        </w:tc>
      </w:tr>
      <w:tr>
        <w:trPr>
          <w:trHeight w:val="47"/>
        </w:trPr>
        <w:tc>
          <w:tcPr>
            <w:tcW w:w="48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48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22,247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28,740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(6,493)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15,041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17,033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(1,992)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w:t>
            </w: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7,118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2,145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43 %</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EPCM consultng services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17"/>
        </w:trPr>
        <w:tc>
          <w:tcPr>
            <w:tcW w:w="484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revenue</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44,741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50,746</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line="199" w:lineRule="exact"/>
              <w:rPr>
                <w:sz w:val="20"/>
                <w:szCs w:val="20"/>
                <w:color w:val="auto"/>
              </w:rPr>
            </w:pPr>
            <w:r>
              <w:rPr>
                <w:rFonts w:ascii="Calibri" w:cs="Calibri" w:eastAsia="Calibri" w:hAnsi="Calibri"/>
                <w:sz w:val="18"/>
                <w:szCs w:val="18"/>
                <w:color w:val="auto"/>
              </w:rPr>
              <w:t>(12)%</w:t>
            </w:r>
          </w:p>
        </w:tc>
      </w:tr>
      <w:tr>
        <w:trPr>
          <w:trHeight w:val="216"/>
        </w:trPr>
        <w:tc>
          <w:tcPr>
            <w:tcW w:w="48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Cost of revenue (exclusive of depreciaton)</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30,938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36,231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(5,293)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Depreciaton</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9,909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10,368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13,394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22,724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(9,330)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Impairment of long-lived assets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169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(3,831)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w:t>
            </w: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Gain on digital assets</w:t>
            </w:r>
          </w:p>
        </w:tc>
        <w:tc>
          <w:tcPr>
            <w:tcW w:w="340" w:type="dxa"/>
            <w:vAlign w:val="bottom"/>
          </w:tcPr>
          <w:p>
            <w:pPr>
              <w:spacing w:after="0"/>
              <w:rPr>
                <w:sz w:val="19"/>
                <w:szCs w:val="19"/>
                <w:color w:val="auto"/>
              </w:rPr>
            </w:pP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Loss (gain) on sale of assets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8"/>
                <w:szCs w:val="18"/>
                <w:color w:val="auto"/>
              </w:rPr>
              <w:t>(1,752)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2,413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(138)%</w:t>
            </w:r>
          </w:p>
        </w:tc>
      </w:tr>
      <w:tr>
        <w:trPr>
          <w:trHeight w:val="223"/>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Remeasurement of environmental liability</w:t>
            </w:r>
          </w:p>
        </w:tc>
        <w:tc>
          <w:tcPr>
            <w:tcW w:w="340" w:type="dxa"/>
            <w:vAlign w:val="bottom"/>
          </w:tcPr>
          <w:p>
            <w:pPr>
              <w:spacing w:after="0"/>
              <w:rPr>
                <w:sz w:val="19"/>
                <w:szCs w:val="19"/>
                <w:color w:val="auto"/>
              </w:rPr>
            </w:pPr>
          </w:p>
        </w:tc>
        <w:tc>
          <w:tcPr>
            <w:tcW w:w="13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0"/>
        </w:trPr>
        <w:tc>
          <w:tcPr>
            <w:tcW w:w="484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operatng costs and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54,867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73,171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(18,304)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(25)%</w:t>
            </w:r>
          </w:p>
        </w:tc>
      </w:tr>
      <w:tr>
        <w:trPr>
          <w:trHeight w:val="216"/>
        </w:trPr>
        <w:tc>
          <w:tcPr>
            <w:tcW w:w="4840" w:type="dxa"/>
            <w:vAlign w:val="bottom"/>
          </w:tcPr>
          <w:p>
            <w:pPr>
              <w:ind w:left="20"/>
              <w:spacing w:after="0" w:line="199" w:lineRule="exact"/>
              <w:rPr>
                <w:sz w:val="20"/>
                <w:szCs w:val="20"/>
                <w:color w:val="auto"/>
              </w:rPr>
            </w:pPr>
            <w:r>
              <w:rPr>
                <w:rFonts w:ascii="Calibri" w:cs="Calibri" w:eastAsia="Calibri" w:hAnsi="Calibri"/>
                <w:sz w:val="18"/>
                <w:szCs w:val="18"/>
                <w:color w:val="auto"/>
              </w:rPr>
              <w:t>Operatng loss</w:t>
            </w:r>
          </w:p>
        </w:tc>
        <w:tc>
          <w:tcPr>
            <w:tcW w:w="340" w:type="dxa"/>
            <w:vAlign w:val="bottom"/>
          </w:tcPr>
          <w:p>
            <w:pPr>
              <w:spacing w:after="0"/>
              <w:rPr>
                <w:sz w:val="18"/>
                <w:szCs w:val="18"/>
                <w:color w:val="auto"/>
              </w:rPr>
            </w:pP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(10,126)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(22,425)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line="199" w:lineRule="exact"/>
              <w:rPr>
                <w:sz w:val="20"/>
                <w:szCs w:val="20"/>
                <w:color w:val="auto"/>
              </w:rPr>
            </w:pPr>
            <w:r>
              <w:rPr>
                <w:rFonts w:ascii="Calibri" w:cs="Calibri" w:eastAsia="Calibri" w:hAnsi="Calibri"/>
                <w:sz w:val="18"/>
                <w:szCs w:val="18"/>
                <w:color w:val="auto"/>
              </w:rPr>
              <w:t>(55)%</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 NET: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Interest expense, net</w:t>
            </w:r>
          </w:p>
        </w:tc>
        <w:tc>
          <w:tcPr>
            <w:tcW w:w="340" w:type="dxa"/>
            <w:vAlign w:val="bottom"/>
          </w:tcPr>
          <w:p>
            <w:pPr>
              <w:spacing w:after="0"/>
              <w:rPr>
                <w:sz w:val="19"/>
                <w:szCs w:val="19"/>
                <w:color w:val="auto"/>
              </w:rPr>
            </w:pP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(5,439)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(9,725)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4,286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Gain on sale of digital assets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r>
      <w:tr>
        <w:trPr>
          <w:trHeight w:val="222"/>
        </w:trPr>
        <w:tc>
          <w:tcPr>
            <w:tcW w:w="4840" w:type="dxa"/>
            <w:vAlign w:val="bottom"/>
          </w:tcPr>
          <w:p>
            <w:pPr>
              <w:ind w:left="180"/>
              <w:spacing w:after="0" w:line="215" w:lineRule="exact"/>
              <w:rPr>
                <w:sz w:val="20"/>
                <w:szCs w:val="20"/>
                <w:color w:val="auto"/>
              </w:rPr>
            </w:pPr>
            <w:r>
              <w:rPr>
                <w:rFonts w:ascii="Calibri" w:cs="Calibri" w:eastAsia="Calibri" w:hAnsi="Calibri"/>
                <w:sz w:val="18"/>
                <w:szCs w:val="18"/>
                <w:color w:val="auto"/>
              </w:rPr>
              <w:t>Change in fair value of warrant asset</w:t>
            </w:r>
          </w:p>
        </w:tc>
        <w:tc>
          <w:tcPr>
            <w:tcW w:w="340" w:type="dxa"/>
            <w:vAlign w:val="bottom"/>
          </w:tcPr>
          <w:p>
            <w:pPr>
              <w:spacing w:after="0"/>
              <w:rPr>
                <w:sz w:val="19"/>
                <w:szCs w:val="19"/>
                <w:color w:val="auto"/>
              </w:rPr>
            </w:pP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48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Other expense, net</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r>
      <w:tr>
        <w:trPr>
          <w:trHeight w:val="217"/>
        </w:trPr>
        <w:tc>
          <w:tcPr>
            <w:tcW w:w="484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other expense, net</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(5,859)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(9,331)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3,472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line="199" w:lineRule="exact"/>
              <w:rPr>
                <w:sz w:val="20"/>
                <w:szCs w:val="20"/>
                <w:color w:val="auto"/>
              </w:rPr>
            </w:pPr>
            <w:r>
              <w:rPr>
                <w:rFonts w:ascii="Calibri" w:cs="Calibri" w:eastAsia="Calibri" w:hAnsi="Calibri"/>
                <w:sz w:val="18"/>
                <w:szCs w:val="18"/>
                <w:color w:val="auto"/>
              </w:rPr>
              <w:t>(37)%</w:t>
            </w:r>
          </w:p>
        </w:tc>
      </w:tr>
      <w:tr>
        <w:trPr>
          <w:trHeight w:val="229"/>
        </w:trPr>
        <w:tc>
          <w:tcPr>
            <w:tcW w:w="48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Loss from contnuing operatons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(15,985)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(31,756)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15,771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(50)%</w:t>
            </w:r>
          </w:p>
        </w:tc>
      </w:tr>
      <w:tr>
        <w:trPr>
          <w:trHeight w:val="223"/>
        </w:trPr>
        <w:tc>
          <w:tcPr>
            <w:tcW w:w="48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(118)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94"/>
        </w:trPr>
        <w:tc>
          <w:tcPr>
            <w:tcW w:w="48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(15,867)</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(31,756)</w:t>
            </w: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15,889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(50)%</w:t>
            </w:r>
          </w:p>
        </w:tc>
      </w:tr>
      <w:tr>
        <w:trPr>
          <w:trHeight w:val="217"/>
        </w:trPr>
        <w:tc>
          <w:tcPr>
            <w:tcW w:w="48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230"/>
        </w:trPr>
        <w:tc>
          <w:tcPr>
            <w:tcW w:w="48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i w:val="1"/>
                <w:iCs w:val="1"/>
                <w:color w:val="auto"/>
              </w:rPr>
              <w:t>Adjusted Amounts (a)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operatng loss from contnuing operatons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(9,296)</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(15,746)</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6,450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Adjusted operatng margin from contnuing operatons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net loss from contnuing operatons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(14,617)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(25,077)</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10,460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i w:val="1"/>
                <w:iCs w:val="1"/>
                <w:color w:val="auto"/>
              </w:rPr>
              <w:t>Other Financial Data (a)</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EBITDA (loss) from contnuing operatons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(637)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(11,663)</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(95)%</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 (loss) from contnuing operatons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2,411</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(3,453)</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5,864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(170)%</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5.4 %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bl>
    <w:p>
      <w:pPr>
        <w:spacing w:after="0" w:line="288" w:lineRule="exact"/>
        <w:rPr>
          <w:sz w:val="20"/>
          <w:szCs w:val="20"/>
          <w:color w:val="auto"/>
        </w:rPr>
      </w:pPr>
    </w:p>
    <w:p>
      <w:pPr>
        <w:ind w:left="340" w:right="340" w:hanging="332"/>
        <w:spacing w:after="0" w:line="235" w:lineRule="auto"/>
        <w:tabs>
          <w:tab w:leader="none" w:pos="328"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Adjusted Amounts and Other Financial Data are non-GAAP performance measures. A reconciliaton of reported amounts to adjusted amounts can be found in the "Non-GAAP Measures and Reconciliatons" secton of this MD&amp;A.</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b w:val="1"/>
          <w:bCs w:val="1"/>
          <w:color w:val="auto"/>
        </w:rPr>
        <w:t>Key Metrics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a summary of key metrics related to the nine months ended September 30, 2024 and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5"/>
          </w:tcPr>
          <w:p>
            <w:pPr>
              <w:ind w:left="240"/>
              <w:spacing w:after="0"/>
              <w:rPr>
                <w:sz w:val="20"/>
                <w:szCs w:val="20"/>
                <w:color w:val="auto"/>
              </w:rPr>
            </w:pPr>
            <w:r>
              <w:rPr>
                <w:rFonts w:ascii="Calibri" w:cs="Calibri" w:eastAsia="Calibri" w:hAnsi="Calibri"/>
                <w:sz w:val="14"/>
                <w:szCs w:val="14"/>
                <w:b w:val="1"/>
                <w:bCs w:val="1"/>
                <w:color w:val="auto"/>
              </w:rPr>
              <w:t>Nine Months Ended September 30,</w:t>
            </w:r>
          </w:p>
        </w:tc>
        <w:tc>
          <w:tcPr>
            <w:tcW w:w="400" w:type="dxa"/>
            <w:vAlign w:val="bottom"/>
          </w:tcPr>
          <w:p>
            <w:pPr>
              <w:spacing w:after="0"/>
              <w:rPr>
                <w:sz w:val="14"/>
                <w:szCs w:val="14"/>
                <w:color w:val="auto"/>
              </w:rPr>
            </w:pPr>
          </w:p>
        </w:tc>
        <w:tc>
          <w:tcPr>
            <w:tcW w:w="1620" w:type="dxa"/>
            <w:vAlign w:val="bottom"/>
            <w:gridSpan w:val="2"/>
          </w:tcPr>
          <w:p>
            <w:pPr>
              <w:ind w:left="88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820" w:type="dxa"/>
            <w:vAlign w:val="bottom"/>
            <w:gridSpan w:val="3"/>
          </w:tcPr>
          <w:p>
            <w:pPr>
              <w:spacing w:after="0"/>
              <w:rPr>
                <w:sz w:val="20"/>
                <w:szCs w:val="20"/>
                <w:color w:val="auto"/>
              </w:rPr>
            </w:pPr>
            <w:r>
              <w:rPr>
                <w:rFonts w:ascii="Calibri" w:cs="Calibri" w:eastAsia="Calibri" w:hAnsi="Calibri"/>
                <w:sz w:val="14"/>
                <w:szCs w:val="14"/>
                <w:b w:val="1"/>
                <w:bCs w:val="1"/>
                <w:color w:val="auto"/>
              </w:rPr>
              <w:t>$ in thousands, except $ per MWh and average bitcoin price</w:t>
            </w:r>
          </w:p>
        </w:tc>
        <w:tc>
          <w:tcPr>
            <w:tcW w:w="340" w:type="dxa"/>
            <w:vAlign w:val="bottom"/>
          </w:tcPr>
          <w:p>
            <w:pPr>
              <w:spacing w:after="0"/>
              <w:rPr>
                <w:sz w:val="17"/>
                <w:szCs w:val="17"/>
                <w:color w:val="auto"/>
              </w:rPr>
            </w:pPr>
          </w:p>
        </w:tc>
        <w:tc>
          <w:tcPr>
            <w:tcW w:w="122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591"/>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w:t>
            </w:r>
          </w:p>
        </w:tc>
      </w:tr>
      <w:tr>
        <w:trPr>
          <w:trHeight w:val="47"/>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22,247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28,740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(6,493)</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15,041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17,033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(1,992)</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7,118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2,145</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43 %</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EPCM consultng services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335</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17"/>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3"/>
          </w:tcPr>
          <w:p>
            <w:pPr>
              <w:ind w:left="220"/>
              <w:spacing w:after="0" w:line="199" w:lineRule="exact"/>
              <w:rPr>
                <w:sz w:val="20"/>
                <w:szCs w:val="20"/>
                <w:color w:val="auto"/>
              </w:rPr>
            </w:pPr>
            <w:r>
              <w:rPr>
                <w:rFonts w:ascii="Calibri" w:cs="Calibri" w:eastAsia="Calibri" w:hAnsi="Calibri"/>
                <w:sz w:val="18"/>
                <w:szCs w:val="18"/>
                <w:color w:val="auto"/>
              </w:rPr>
              <w:t>Total revenue</w:t>
            </w:r>
          </w:p>
        </w:tc>
        <w:tc>
          <w:tcPr>
            <w:tcW w:w="34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44,741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50,746</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(6,005)</w:t>
            </w:r>
          </w:p>
        </w:tc>
        <w:tc>
          <w:tcPr>
            <w:tcW w:w="5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line="199" w:lineRule="exact"/>
              <w:rPr>
                <w:sz w:val="20"/>
                <w:szCs w:val="20"/>
                <w:color w:val="auto"/>
              </w:rPr>
            </w:pPr>
            <w:r>
              <w:rPr>
                <w:rFonts w:ascii="Calibri" w:cs="Calibri" w:eastAsia="Calibri" w:hAnsi="Calibri"/>
                <w:sz w:val="18"/>
                <w:szCs w:val="18"/>
                <w:color w:val="auto"/>
              </w:rPr>
              <w:t>(12)%</w:t>
            </w: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line="202" w:lineRule="exact"/>
              <w:rPr>
                <w:sz w:val="20"/>
                <w:szCs w:val="20"/>
                <w:color w:val="auto"/>
              </w:rPr>
            </w:pPr>
            <w:r>
              <w:rPr>
                <w:rFonts w:ascii="Calibri" w:cs="Calibri" w:eastAsia="Calibri" w:hAnsi="Calibri"/>
                <w:sz w:val="18"/>
                <w:szCs w:val="18"/>
                <w:b w:val="1"/>
                <w:bCs w:val="1"/>
                <w:color w:val="auto"/>
              </w:rPr>
              <w:t>Components of revenue as % of total</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EPCM consultng services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 %</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160"/>
              <w:spacing w:after="0"/>
              <w:rPr>
                <w:sz w:val="20"/>
                <w:szCs w:val="20"/>
                <w:color w:val="auto"/>
              </w:rPr>
            </w:pPr>
            <w:r>
              <w:rPr>
                <w:rFonts w:ascii="Calibri" w:cs="Calibri" w:eastAsia="Calibri" w:hAnsi="Calibri"/>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line="142" w:lineRule="exact"/>
              <w:rPr>
                <w:sz w:val="20"/>
                <w:szCs w:val="20"/>
                <w:color w:val="auto"/>
              </w:rPr>
            </w:pPr>
            <w:r>
              <w:rPr>
                <w:rFonts w:ascii="Calibri" w:cs="Calibri" w:eastAsia="Calibri" w:hAnsi="Calibri"/>
                <w:sz w:val="15"/>
                <w:szCs w:val="15"/>
                <w:b w:val="1"/>
                <w:bCs w:val="1"/>
                <w:color w:val="auto"/>
              </w:rPr>
              <w:t>MWh</w:t>
            </w:r>
          </w:p>
        </w:tc>
        <w:tc>
          <w:tcPr>
            <w:tcW w:w="4400" w:type="dxa"/>
            <w:vAlign w:val="bottom"/>
            <w:tcBorders>
              <w:bottom w:val="single" w:sz="8" w:color="CCEEFF"/>
            </w:tcBorders>
            <w:gridSpan w:val="2"/>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326,968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413,983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(87,015)</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139,767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161,285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(21,518)</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117,321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99,723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17,598</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18 %</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b w:val="1"/>
                <w:bCs w:val="1"/>
                <w:color w:val="auto"/>
              </w:rPr>
              <w:t>Revenue per MWh</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69</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2 %</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22 %</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b w:val="1"/>
                <w:bCs w:val="1"/>
                <w:color w:val="auto"/>
              </w:rPr>
              <w:t>Cost of revenue (exclusive of depreciaton)</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16,644</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20,830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(4,186)</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9,504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10,639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(1,135)</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4,607</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4,762</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(155)</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EPCM consultng services</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183</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Cost of revenue per MWh (exclusive of depreciaton)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Datacenter hostng</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2 %</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Cryptocurrency mining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3 %</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w:t>
            </w:r>
          </w:p>
        </w:tc>
      </w:tr>
      <w:tr>
        <w:trPr>
          <w:trHeight w:val="176"/>
        </w:trPr>
        <w:tc>
          <w:tcPr>
            <w:tcW w:w="20" w:type="dxa"/>
            <w:vAlign w:val="bottom"/>
          </w:tcPr>
          <w:p>
            <w:pPr>
              <w:spacing w:after="0"/>
              <w:rPr>
                <w:sz w:val="15"/>
                <w:szCs w:val="15"/>
                <w:color w:val="auto"/>
              </w:rPr>
            </w:pPr>
          </w:p>
        </w:tc>
        <w:tc>
          <w:tcPr>
            <w:tcW w:w="4820" w:type="dxa"/>
            <w:vAlign w:val="bottom"/>
            <w:gridSpan w:val="3"/>
          </w:tcPr>
          <w:p>
            <w:pPr>
              <w:spacing w:after="0" w:line="175" w:lineRule="exact"/>
              <w:rPr>
                <w:sz w:val="20"/>
                <w:szCs w:val="20"/>
                <w:color w:val="auto"/>
              </w:rPr>
            </w:pPr>
            <w:r>
              <w:rPr>
                <w:rFonts w:ascii="Calibri" w:cs="Calibri" w:eastAsia="Calibri" w:hAnsi="Calibri"/>
                <w:sz w:val="18"/>
                <w:szCs w:val="18"/>
                <w:b w:val="1"/>
                <w:bCs w:val="1"/>
                <w:color w:val="auto"/>
              </w:rPr>
              <w:t>Cryptocurrency Mining Metrics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Bitcoins produced: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20"/>
              <w:spacing w:after="0" w:line="215" w:lineRule="exact"/>
              <w:rPr>
                <w:sz w:val="20"/>
                <w:szCs w:val="20"/>
                <w:color w:val="auto"/>
              </w:rPr>
            </w:pPr>
            <w:r>
              <w:rPr>
                <w:rFonts w:ascii="Calibri" w:cs="Calibri" w:eastAsia="Calibri" w:hAnsi="Calibri"/>
                <w:sz w:val="18"/>
                <w:szCs w:val="18"/>
                <w:color w:val="auto"/>
              </w:rPr>
              <w:t>Datacenter hostng</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1,541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(1,009)</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r>
      <w:tr>
        <w:trPr>
          <w:trHeight w:val="230"/>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ind w:left="220"/>
              <w:spacing w:after="0"/>
              <w:rPr>
                <w:sz w:val="20"/>
                <w:szCs w:val="20"/>
                <w:color w:val="auto"/>
              </w:rPr>
            </w:pPr>
            <w:r>
              <w:rPr>
                <w:rFonts w:ascii="Calibri" w:cs="Calibri" w:eastAsia="Calibri" w:hAnsi="Calibri"/>
                <w:sz w:val="18"/>
                <w:szCs w:val="18"/>
                <w:color w:val="auto"/>
              </w:rPr>
              <w:t>Cryptocurrency mining</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261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684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(423)</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w:t>
            </w:r>
          </w:p>
        </w:tc>
      </w:tr>
      <w:tr>
        <w:trPr>
          <w:trHeight w:val="230"/>
        </w:trPr>
        <w:tc>
          <w:tcPr>
            <w:tcW w:w="2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Calibri" w:cs="Calibri" w:eastAsia="Calibri" w:hAnsi="Calibri"/>
                <w:sz w:val="18"/>
                <w:szCs w:val="18"/>
                <w:color w:val="auto"/>
              </w:rPr>
              <w:t>Total bitcoins produced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793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2,225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(1,432)</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bitcoin price</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60,028</w:t>
            </w:r>
          </w:p>
        </w:tc>
        <w:tc>
          <w:tcPr>
            <w:tcW w:w="10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26,350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33,678</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128 %</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actve hash rate (EH/s) Company-owned miners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790,142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882,130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(91,988)</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w:t>
            </w:r>
          </w:p>
        </w:tc>
      </w:tr>
      <w:tr>
        <w:trPr>
          <w:trHeight w:val="222"/>
        </w:trPr>
        <w:tc>
          <w:tcPr>
            <w:tcW w:w="20" w:type="dxa"/>
            <w:vAlign w:val="bottom"/>
          </w:tcPr>
          <w:p>
            <w:pPr>
              <w:spacing w:after="0"/>
              <w:rPr>
                <w:sz w:val="19"/>
                <w:szCs w:val="19"/>
                <w:color w:val="auto"/>
              </w:rPr>
            </w:pPr>
          </w:p>
        </w:tc>
        <w:tc>
          <w:tcPr>
            <w:tcW w:w="48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actve hash rate (EH/s) Hosted miners</w:t>
            </w:r>
          </w:p>
        </w:tc>
        <w:tc>
          <w:tcPr>
            <w:tcW w:w="340" w:type="dxa"/>
            <w:vAlign w:val="bottom"/>
          </w:tcPr>
          <w:p>
            <w:pPr>
              <w:spacing w:after="0"/>
              <w:rPr>
                <w:sz w:val="19"/>
                <w:szCs w:val="19"/>
                <w:color w:val="auto"/>
              </w:rPr>
            </w:pPr>
          </w:p>
        </w:tc>
        <w:tc>
          <w:tcPr>
            <w:tcW w:w="122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1,637,777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2,113,051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(475,274)</w:t>
            </w:r>
          </w:p>
        </w:tc>
        <w:tc>
          <w:tcPr>
            <w:tcW w:w="5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difculty</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780"/>
              <w:spacing w:after="0"/>
              <w:rPr>
                <w:sz w:val="20"/>
                <w:szCs w:val="20"/>
                <w:color w:val="auto"/>
              </w:rPr>
            </w:pPr>
            <w:r>
              <w:rPr>
                <w:rFonts w:ascii="Calibri" w:cs="Calibri" w:eastAsia="Calibri" w:hAnsi="Calibri"/>
                <w:sz w:val="18"/>
                <w:szCs w:val="18"/>
                <w:color w:val="auto"/>
              </w:rPr>
              <w:t>82.6 T</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47.9 T</w:t>
            </w:r>
          </w:p>
        </w:tc>
        <w:tc>
          <w:tcPr>
            <w:tcW w:w="4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600"/>
              <w:spacing w:after="0"/>
              <w:rPr>
                <w:sz w:val="20"/>
                <w:szCs w:val="20"/>
                <w:color w:val="auto"/>
              </w:rPr>
            </w:pPr>
            <w:r>
              <w:rPr>
                <w:rFonts w:ascii="Calibri" w:cs="Calibri" w:eastAsia="Calibri" w:hAnsi="Calibri"/>
                <w:sz w:val="18"/>
                <w:szCs w:val="18"/>
                <w:color w:val="auto"/>
              </w:rPr>
              <w:t>34.7 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i w:val="1"/>
          <w:iCs w:val="1"/>
          <w:u w:val="single" w:color="auto"/>
          <w:color w:val="auto"/>
        </w:rPr>
        <w:t>Revenue</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January 30, 2023, upon entering into the NYDIG Hostng Agreement, we transitoned the majority of the capacity of our owned datacenter facilites to datacenter hostng operatons. In November 2023, we sold the South Carolina Facility, which was part of our datacenter hostng operatons. We entered into hostng arrangements at third party sites for the majority of our remaining owned miners in the frst and second quarters of 2023. In the second quarter of 2023, the hostng agreements to operate miners at third party sites were terminated. As a result, we deployed miners operated at the host’s site to our own self-mining sites. At September 30, 2024, Greenidge datacenter operatons consisted of approximately 29,200 miners with approximately 3.1 EH/s of combined capacity for both datacenter hostng and cryptocurrency mining, of which 18,200 miners, or 1.8 EH/s, is associated with datacenter hostng and 11,000 miners, or 1.3 EH/s, is associated with Greenidge’s cryptocurrency mining.</w:t>
      </w: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Cryptocurrency mining revenue</w:t>
      </w:r>
    </w:p>
    <w:p>
      <w:pPr>
        <w:spacing w:after="0" w:line="231" w:lineRule="exact"/>
        <w:rPr>
          <w:sz w:val="20"/>
          <w:szCs w:val="20"/>
          <w:color w:val="auto"/>
        </w:rPr>
      </w:pPr>
    </w:p>
    <w:p>
      <w:pPr>
        <w:ind w:right="60"/>
        <w:spacing w:after="0" w:line="228" w:lineRule="auto"/>
        <w:rPr>
          <w:sz w:val="20"/>
          <w:szCs w:val="20"/>
          <w:color w:val="auto"/>
        </w:rPr>
      </w:pPr>
      <w:r>
        <w:rPr>
          <w:rFonts w:ascii="Calibri" w:cs="Calibri" w:eastAsia="Calibri" w:hAnsi="Calibri"/>
          <w:sz w:val="18"/>
          <w:szCs w:val="18"/>
          <w:color w:val="auto"/>
        </w:rPr>
        <w:t>For our cryptocurrency mining revenue, we generate revenue in the form of bitcoin by earning bitcoin as rewards and transacton fees for supportng the global bitcoin network with ASICs owned or leased by us. Our cryptocurrency mining revenue decreased $2.0 million, or 12%, to $15.0 million. We estmate that approximately 66% of the decrease was due to the increase in the global bitcoin mining difculty factor and the bitcoin halving that occurred in April 2024, which was partally ofset by 54% due to the increase in the average price of bitcoin. Bitcoin mining difculty was 72% higher compared to the prior year due to increases in the difculty index associated with the complexity of the algorithmic soluton required to create a block and receive a bitcoin award, the average bitcoin price was 128% higher and our average hash rate decreased 10%. The decline in average hashrate is atributable to the Company's focus on maximizing proftability by prioritzing operatons of its most efcient miners, curtailing operatons of less efcient miners during periods of decreased proftability, and the ongoing eforts to redeploy miners previously hosted at third party locatons.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The miners associated with Greenidge’s cryptocurrency mining were comprised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Calibri" w:cs="Calibri" w:eastAsia="Calibri" w:hAnsi="Calibri"/>
                <w:sz w:val="18"/>
                <w:szCs w:val="18"/>
                <w:b w:val="1"/>
                <w:bCs w:val="1"/>
                <w:color w:val="auto"/>
              </w:rPr>
              <w:t>Vendor and Model</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Calibri" w:cs="Calibri" w:eastAsia="Calibri" w:hAnsi="Calibri"/>
                <w:sz w:val="18"/>
                <w:szCs w:val="18"/>
                <w:b w:val="1"/>
                <w:bCs w:val="1"/>
                <w:color w:val="auto"/>
              </w:rPr>
              <w:t>Number of Miners</w:t>
            </w:r>
          </w:p>
        </w:tc>
      </w:tr>
      <w:tr>
        <w:trPr>
          <w:trHeight w:val="216"/>
        </w:trPr>
        <w:tc>
          <w:tcPr>
            <w:tcW w:w="2820" w:type="dxa"/>
            <w:vAlign w:val="bottom"/>
            <w:tcBorders>
              <w:top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Bitmain S19</w:t>
            </w:r>
          </w:p>
        </w:tc>
        <w:tc>
          <w:tcPr>
            <w:tcW w:w="160" w:type="dxa"/>
            <w:vAlign w:val="bottom"/>
          </w:tcPr>
          <w:p>
            <w:pPr>
              <w:spacing w:after="0"/>
              <w:rPr>
                <w:sz w:val="18"/>
                <w:szCs w:val="18"/>
                <w:color w:val="auto"/>
              </w:rPr>
            </w:pPr>
          </w:p>
        </w:tc>
        <w:tc>
          <w:tcPr>
            <w:tcW w:w="16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29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w:t>
            </w:r>
          </w:p>
        </w:tc>
      </w:tr>
      <w:tr>
        <w:trPr>
          <w:trHeight w:val="222"/>
        </w:trPr>
        <w:tc>
          <w:tcPr>
            <w:tcW w:w="2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S19j Pro</w:t>
            </w: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900</w:t>
            </w:r>
          </w:p>
        </w:tc>
      </w:tr>
      <w:tr>
        <w:trPr>
          <w:trHeight w:val="237"/>
        </w:trPr>
        <w:tc>
          <w:tcPr>
            <w:tcW w:w="29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XP</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3,600</w:t>
            </w:r>
          </w:p>
        </w:tc>
      </w:tr>
      <w:tr>
        <w:trPr>
          <w:trHeight w:val="222"/>
        </w:trPr>
        <w:tc>
          <w:tcPr>
            <w:tcW w:w="29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 Hydro</w:t>
            </w: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200</w:t>
            </w:r>
          </w:p>
        </w:tc>
      </w:tr>
      <w:tr>
        <w:trPr>
          <w:trHeight w:val="26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S21 Pro</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300</w:t>
            </w:r>
          </w:p>
        </w:tc>
      </w:tr>
      <w:tr>
        <w:trPr>
          <w:trHeight w:val="21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11,000</w:t>
            </w: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As of September 30, 2024, our feet of miners ranged in age from 0.1 to 3.1 years and had an average age of approximately 2.3 years. We do not have scheduled downtme for our miners. When we have unscheduled downtme, we may from tme to tme replace a miner with a substtute miner in order to minimize overall feet downtme. As of September 30, 2024, our feet of miners ranged in efciency from approximately 15.0 to 34.0 J/TH and had an average efciency of 27.1 J/TH.</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The table below presents the average cost of mining each bitcoin for the nine months ended September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b w:val="1"/>
                <w:bCs w:val="1"/>
                <w:color w:val="auto"/>
              </w:rPr>
              <w:t>Cost of Mining - Analysis of Costs to Mine One Bitcoin</w:t>
            </w:r>
          </w:p>
        </w:tc>
        <w:tc>
          <w:tcPr>
            <w:tcW w:w="100" w:type="dxa"/>
            <w:vAlign w:val="bottom"/>
            <w:tcBorders>
              <w:top w:val="single" w:sz="8" w:color="CCEEFF"/>
            </w:tcBorders>
            <w:shd w:val="clear" w:color="auto" w:fill="CCEEFF"/>
          </w:tcPr>
          <w:p>
            <w:pPr>
              <w:spacing w:after="0"/>
              <w:rPr>
                <w:sz w:val="21"/>
                <w:szCs w:val="21"/>
                <w:color w:val="auto"/>
              </w:rPr>
            </w:pPr>
          </w:p>
        </w:tc>
        <w:tc>
          <w:tcPr>
            <w:tcW w:w="3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Calibri" w:cs="Calibri" w:eastAsia="Calibri" w:hAnsi="Calibri"/>
                <w:sz w:val="18"/>
                <w:szCs w:val="18"/>
                <w:b w:val="1"/>
                <w:bCs w:val="1"/>
                <w:color w:val="auto"/>
              </w:rPr>
              <w:t>Nine Months Ended September 30, 2024</w:t>
            </w:r>
          </w:p>
        </w:tc>
      </w:tr>
      <w:tr>
        <w:trPr>
          <w:trHeight w:val="223"/>
        </w:trPr>
        <w:tc>
          <w:tcPr>
            <w:tcW w:w="6240" w:type="dxa"/>
            <w:vAlign w:val="bottom"/>
          </w:tcPr>
          <w:p>
            <w:pPr>
              <w:ind w:left="20"/>
              <w:spacing w:after="0" w:line="223" w:lineRule="exact"/>
              <w:rPr>
                <w:sz w:val="20"/>
                <w:szCs w:val="20"/>
                <w:color w:val="auto"/>
              </w:rPr>
            </w:pPr>
            <w:r>
              <w:rPr>
                <w:rFonts w:ascii="Calibri" w:cs="Calibri" w:eastAsia="Calibri" w:hAnsi="Calibri"/>
                <w:sz w:val="18"/>
                <w:szCs w:val="18"/>
                <w:color w:val="auto"/>
              </w:rPr>
              <w:t>Cost to mine one bitcoin</w:t>
            </w:r>
            <w:r>
              <w:rPr>
                <w:rFonts w:ascii="Calibri" w:cs="Calibri" w:eastAsia="Calibri" w:hAnsi="Calibri"/>
                <w:sz w:val="23"/>
                <w:szCs w:val="23"/>
                <w:color w:val="auto"/>
                <w:vertAlign w:val="superscript"/>
              </w:rPr>
              <w:t>(1)</w:t>
            </w:r>
          </w:p>
        </w:tc>
        <w:tc>
          <w:tcPr>
            <w:tcW w:w="100" w:type="dxa"/>
            <w:vAlign w:val="bottom"/>
          </w:tcPr>
          <w:p>
            <w:pPr>
              <w:spacing w:after="0"/>
              <w:rPr>
                <w:sz w:val="19"/>
                <w:szCs w:val="19"/>
                <w:color w:val="auto"/>
              </w:rPr>
            </w:pPr>
          </w:p>
        </w:tc>
        <w:tc>
          <w:tcPr>
            <w:tcW w:w="132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9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36,414</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Value of each bitcoin mined</w:t>
            </w:r>
            <w:r>
              <w:rPr>
                <w:rFonts w:ascii="Calibri" w:cs="Calibri" w:eastAsia="Calibri" w:hAnsi="Calibri"/>
                <w:sz w:val="23"/>
                <w:szCs w:val="23"/>
                <w:color w:val="auto"/>
                <w:vertAlign w:val="superscript"/>
              </w:rPr>
              <w:t>(2)</w:t>
            </w:r>
          </w:p>
        </w:tc>
        <w:tc>
          <w:tcPr>
            <w:tcW w:w="13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9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57,628</w:t>
            </w:r>
          </w:p>
        </w:tc>
      </w:tr>
      <w:tr>
        <w:trPr>
          <w:trHeight w:val="215"/>
        </w:trPr>
        <w:tc>
          <w:tcPr>
            <w:tcW w:w="63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Cost to mine one bitcoin as % of value of bitcoin mined</w:t>
            </w:r>
          </w:p>
        </w:tc>
        <w:tc>
          <w:tcPr>
            <w:tcW w:w="1320" w:type="dxa"/>
            <w:vAlign w:val="bottom"/>
          </w:tcPr>
          <w:p>
            <w:pPr>
              <w:spacing w:after="0"/>
              <w:rPr>
                <w:sz w:val="18"/>
                <w:szCs w:val="18"/>
                <w:color w:val="auto"/>
              </w:rPr>
            </w:pPr>
          </w:p>
        </w:tc>
        <w:tc>
          <w:tcPr>
            <w:tcW w:w="1900" w:type="dxa"/>
            <w:vAlign w:val="bottom"/>
          </w:tcPr>
          <w:p>
            <w:pPr>
              <w:jc w:val="right"/>
              <w:spacing w:after="0" w:line="215" w:lineRule="exact"/>
              <w:rPr>
                <w:sz w:val="20"/>
                <w:szCs w:val="20"/>
                <w:color w:val="auto"/>
              </w:rPr>
            </w:pPr>
            <w:r>
              <w:rPr>
                <w:rFonts w:ascii="Calibri" w:cs="Calibri" w:eastAsia="Calibri" w:hAnsi="Calibri"/>
                <w:sz w:val="18"/>
                <w:szCs w:val="18"/>
                <w:color w:val="auto"/>
              </w:rPr>
              <w:t>63.2 %</w:t>
            </w:r>
          </w:p>
        </w:tc>
      </w:tr>
    </w:tbl>
    <w:p>
      <w:pPr>
        <w:ind w:left="220" w:hanging="194"/>
        <w:spacing w:after="0"/>
        <w:tabs>
          <w:tab w:leader="none" w:pos="22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Computed as cost of revenue of cryptocurrency mining divided by number of bitcoins produced from cryptocurrency mining.</w:t>
      </w:r>
    </w:p>
    <w:p>
      <w:pPr>
        <w:spacing w:after="0" w:line="30" w:lineRule="exact"/>
        <w:rPr>
          <w:rFonts w:ascii="Calibri" w:cs="Calibri" w:eastAsia="Calibri" w:hAnsi="Calibri"/>
          <w:sz w:val="14"/>
          <w:szCs w:val="14"/>
          <w:color w:val="auto"/>
        </w:rPr>
      </w:pPr>
    </w:p>
    <w:p>
      <w:pPr>
        <w:ind w:left="220" w:hanging="194"/>
        <w:spacing w:after="0"/>
        <w:tabs>
          <w:tab w:leader="none" w:pos="22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Computed as cryptocurrency mining revenue divided by number of bitcoins produced from cryptocurrency mining.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i w:val="1"/>
          <w:iCs w:val="1"/>
          <w:color w:val="auto"/>
        </w:rPr>
        <w:t>Datacenter hostng revenue</w:t>
      </w:r>
    </w:p>
    <w:p>
      <w:pPr>
        <w:spacing w:after="0" w:line="231"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On January 30, 2023, we entered into the NYDIG Hostng Agreement to provide datacenter hostng services. Under the NYDIG Hostng Agreement, we generate revenue from a reimbursement fee that covers the cost of power and direct costs associated with management of the mining facilites, a hostng fee and a gross proft-sharing arrangement. The arrangement covers substantally all of our current mining capacity at the New York Facility and the South Carolina Facility during the 2023 comparatve period, prior to the sale of the facility on November 15, 2023. We generated revenue of $22.2 million for the frst nine months of 2024 and $28.7 million for the frst nine months of 2023. Approximately $10.0 million of this decrease is a result of the sale of the South Carolina in November 2023, which was partally ofset by an increase in the price of bitcoin during the nine months ended September 30, 2024 as compared to the prior year. In additon, we managed approximately 1.7 EH/s of average actve hash rate in our hostng services, of which produced approximately 532 bitcoins.</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Power and capacity revenue</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commitng to sell power to the NYISO when dispatched and (3) other ancillary service revenue received as compensaton for the provision of operatng reserves.</w:t>
      </w:r>
    </w:p>
    <w:p>
      <w:pPr>
        <w:spacing w:after="0" w:line="11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Our power and capacity revenue increased $2.1 million, or 43%, to $7.1 million during the nine months ended September 30, 2024. We estmate higher average power and capacity prices and higher power and capacity sales volume caused revenue increases of approximately 25% and 18%, respectvely, as compared to the prior period.</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Cost of revenue (exclusive of depreciaton)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5"/>
          </w:tcPr>
          <w:p>
            <w:pPr>
              <w:ind w:left="220"/>
              <w:spacing w:after="0"/>
              <w:rPr>
                <w:sz w:val="20"/>
                <w:szCs w:val="20"/>
                <w:color w:val="auto"/>
              </w:rPr>
            </w:pPr>
            <w:r>
              <w:rPr>
                <w:rFonts w:ascii="Calibri" w:cs="Calibri" w:eastAsia="Calibri" w:hAnsi="Calibri"/>
                <w:sz w:val="14"/>
                <w:szCs w:val="14"/>
                <w:b w:val="1"/>
                <w:bCs w:val="1"/>
                <w:color w:val="auto"/>
              </w:rPr>
              <w:t>Nine Months Ended September 30,</w:t>
            </w:r>
          </w:p>
        </w:tc>
        <w:tc>
          <w:tcPr>
            <w:tcW w:w="400" w:type="dxa"/>
            <w:vAlign w:val="bottom"/>
          </w:tcPr>
          <w:p>
            <w:pPr>
              <w:spacing w:after="0"/>
              <w:rPr>
                <w:sz w:val="14"/>
                <w:szCs w:val="14"/>
                <w:color w:val="auto"/>
              </w:rPr>
            </w:pPr>
          </w:p>
        </w:tc>
        <w:tc>
          <w:tcPr>
            <w:tcW w:w="162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Calibri" w:cs="Calibri" w:eastAsia="Calibri" w:hAnsi="Calibri"/>
                <w:sz w:val="18"/>
                <w:szCs w:val="18"/>
                <w:b w:val="1"/>
                <w:bCs w:val="1"/>
                <w:i w:val="1"/>
                <w:iCs w:val="1"/>
                <w:color w:val="auto"/>
              </w:rPr>
              <w:t>$ in thousands</w:t>
            </w:r>
          </w:p>
        </w:tc>
        <w:tc>
          <w:tcPr>
            <w:tcW w:w="340" w:type="dxa"/>
            <w:vAlign w:val="bottom"/>
          </w:tcPr>
          <w:p>
            <w:pPr>
              <w:spacing w:after="0"/>
              <w:rPr>
                <w:sz w:val="22"/>
                <w:szCs w:val="22"/>
                <w:color w:val="auto"/>
              </w:rPr>
            </w:pPr>
          </w:p>
        </w:tc>
        <w:tc>
          <w:tcPr>
            <w:tcW w:w="1200" w:type="dxa"/>
            <w:vAlign w:val="bottom"/>
          </w:tcPr>
          <w:p>
            <w:pPr>
              <w:jc w:val="right"/>
              <w:ind w:right="535"/>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33"/>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595"/>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ind w:right="633"/>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Datacenter hostng</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ind w:right="95"/>
              <w:spacing w:after="0" w:line="215" w:lineRule="exact"/>
              <w:rPr>
                <w:sz w:val="20"/>
                <w:szCs w:val="20"/>
                <w:color w:val="auto"/>
              </w:rPr>
            </w:pPr>
            <w:r>
              <w:rPr>
                <w:rFonts w:ascii="Calibri" w:cs="Calibri" w:eastAsia="Calibri" w:hAnsi="Calibri"/>
                <w:sz w:val="18"/>
                <w:szCs w:val="18"/>
                <w:color w:val="auto"/>
              </w:rPr>
              <w:t>16,644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20,830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22"/>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Cryptocurrency mining</w:t>
            </w:r>
          </w:p>
        </w:tc>
        <w:tc>
          <w:tcPr>
            <w:tcW w:w="340" w:type="dxa"/>
            <w:vAlign w:val="bottom"/>
          </w:tcPr>
          <w:p>
            <w:pPr>
              <w:spacing w:after="0"/>
              <w:rPr>
                <w:sz w:val="19"/>
                <w:szCs w:val="19"/>
                <w:color w:val="auto"/>
              </w:rPr>
            </w:pPr>
          </w:p>
        </w:tc>
        <w:tc>
          <w:tcPr>
            <w:tcW w:w="1200" w:type="dxa"/>
            <w:vAlign w:val="bottom"/>
          </w:tcPr>
          <w:p>
            <w:pPr>
              <w:jc w:val="right"/>
              <w:ind w:right="95"/>
              <w:spacing w:after="0" w:line="215" w:lineRule="exact"/>
              <w:rPr>
                <w:sz w:val="20"/>
                <w:szCs w:val="20"/>
                <w:color w:val="auto"/>
              </w:rPr>
            </w:pPr>
            <w:r>
              <w:rPr>
                <w:rFonts w:ascii="Calibri" w:cs="Calibri" w:eastAsia="Calibri" w:hAnsi="Calibri"/>
                <w:sz w:val="18"/>
                <w:szCs w:val="18"/>
                <w:color w:val="auto"/>
              </w:rPr>
              <w:t>9,504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3"/>
              <w:spacing w:after="0" w:line="215" w:lineRule="exact"/>
              <w:rPr>
                <w:sz w:val="20"/>
                <w:szCs w:val="20"/>
                <w:color w:val="auto"/>
              </w:rPr>
            </w:pPr>
            <w:r>
              <w:rPr>
                <w:rFonts w:ascii="Calibri" w:cs="Calibri" w:eastAsia="Calibri" w:hAnsi="Calibri"/>
                <w:sz w:val="18"/>
                <w:szCs w:val="18"/>
                <w:color w:val="auto"/>
              </w:rPr>
              <w:t>10,639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Power and capacity</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5"/>
              <w:spacing w:after="0"/>
              <w:rPr>
                <w:sz w:val="20"/>
                <w:szCs w:val="20"/>
                <w:color w:val="auto"/>
              </w:rPr>
            </w:pPr>
            <w:r>
              <w:rPr>
                <w:rFonts w:ascii="Calibri" w:cs="Calibri" w:eastAsia="Calibri" w:hAnsi="Calibri"/>
                <w:sz w:val="18"/>
                <w:szCs w:val="18"/>
                <w:color w:val="auto"/>
              </w:rPr>
              <w:t>4,607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
              <w:spacing w:after="0"/>
              <w:rPr>
                <w:sz w:val="20"/>
                <w:szCs w:val="20"/>
                <w:color w:val="auto"/>
              </w:rPr>
            </w:pPr>
            <w:r>
              <w:rPr>
                <w:rFonts w:ascii="Calibri" w:cs="Calibri" w:eastAsia="Calibri" w:hAnsi="Calibri"/>
                <w:sz w:val="18"/>
                <w:szCs w:val="18"/>
                <w:color w:val="auto"/>
              </w:rPr>
              <w:t>4,762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EPCM consultng services</w:t>
            </w:r>
          </w:p>
        </w:tc>
        <w:tc>
          <w:tcPr>
            <w:tcW w:w="340" w:type="dxa"/>
            <w:vAlign w:val="bottom"/>
          </w:tcPr>
          <w:p>
            <w:pPr>
              <w:spacing w:after="0"/>
              <w:rPr>
                <w:sz w:val="19"/>
                <w:szCs w:val="19"/>
                <w:color w:val="auto"/>
              </w:rPr>
            </w:pPr>
          </w:p>
        </w:tc>
        <w:tc>
          <w:tcPr>
            <w:tcW w:w="1200" w:type="dxa"/>
            <w:vAlign w:val="bottom"/>
          </w:tcPr>
          <w:p>
            <w:pPr>
              <w:jc w:val="right"/>
              <w:ind w:right="95"/>
              <w:spacing w:after="0" w:line="215" w:lineRule="exact"/>
              <w:rPr>
                <w:sz w:val="20"/>
                <w:szCs w:val="20"/>
                <w:color w:val="auto"/>
              </w:rPr>
            </w:pPr>
            <w:r>
              <w:rPr>
                <w:rFonts w:ascii="Calibri" w:cs="Calibri" w:eastAsia="Calibri" w:hAnsi="Calibri"/>
                <w:sz w:val="18"/>
                <w:szCs w:val="18"/>
                <w:color w:val="auto"/>
              </w:rPr>
              <w:t>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183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55"/>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 cost of revenue (exclusive of depreciaton)</w:t>
            </w:r>
          </w:p>
        </w:tc>
        <w:tc>
          <w:tcPr>
            <w:tcW w:w="340" w:type="dxa"/>
            <w:vAlign w:val="bottom"/>
            <w:tcBorders>
              <w:top w:val="single" w:sz="8" w:color="auto"/>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CEEFF"/>
          </w:tcPr>
          <w:p>
            <w:pPr>
              <w:jc w:val="right"/>
              <w:ind w:right="95"/>
              <w:spacing w:after="0" w:line="215" w:lineRule="exact"/>
              <w:rPr>
                <w:sz w:val="20"/>
                <w:szCs w:val="20"/>
                <w:color w:val="auto"/>
              </w:rPr>
            </w:pPr>
            <w:r>
              <w:rPr>
                <w:rFonts w:ascii="Calibri" w:cs="Calibri" w:eastAsia="Calibri" w:hAnsi="Calibri"/>
                <w:sz w:val="18"/>
                <w:szCs w:val="18"/>
                <w:color w:val="auto"/>
              </w:rPr>
              <w:t>30,938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36,231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60"/>
              <w:spacing w:after="0"/>
              <w:rPr>
                <w:sz w:val="20"/>
                <w:szCs w:val="20"/>
                <w:color w:val="auto"/>
              </w:rPr>
            </w:pPr>
            <w:r>
              <w:rPr>
                <w:rFonts w:ascii="Calibri" w:cs="Calibri" w:eastAsia="Calibri" w:hAnsi="Calibri"/>
                <w:sz w:val="18"/>
                <w:szCs w:val="18"/>
                <w:i w:val="1"/>
                <w:iCs w:val="1"/>
                <w:color w:val="auto"/>
              </w:rPr>
              <w:t>As a percentage of total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Calibri" w:cs="Calibri" w:eastAsia="Calibri" w:hAnsi="Calibri"/>
                <w:sz w:val="18"/>
                <w:szCs w:val="18"/>
                <w:i w:val="1"/>
                <w:iCs w:val="1"/>
                <w:color w:val="auto"/>
              </w:rPr>
              <w:t>69.1 %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Calibri" w:cs="Calibri" w:eastAsia="Calibri" w:hAnsi="Calibri"/>
                <w:sz w:val="18"/>
                <w:szCs w:val="18"/>
                <w:i w:val="1"/>
                <w:iCs w:val="1"/>
                <w:color w:val="auto"/>
              </w:rPr>
              <w:t>71.4 %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Total cost of revenue, exclusive of depreciaton, decreased $5.3 million, or 15%, to $30.9 million during the nine months ended September 30, 2024 as compared to the prior year period. We estmate the decrease is comprised of approximately 7% due to higher natural gas costs for Datacenter Hostng, as well as revenue share expense. This was partally ofset by 18% due to the decrease in electricity utlizaton within producton, mainly as a result of the sale of the facility in South Carolina, along with 4% due to the reducton in monthly hostng fees paid to third partes for hostng Company-owned miners.</w:t>
      </w:r>
    </w:p>
    <w:p>
      <w:pPr>
        <w:spacing w:after="0" w:line="219"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The New York Facility allocates its cost of revenue between datacenter hostng, cryptocurrency mining and power and capacity based on their respectve MWh consumpton on a pro rata basis.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Selling, general and administratve expenses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Selling, general and administratve expenses decreased $9.3 million, or 41%, to $13.4 million for the nine months ended September 30, 2024 as compared to the prior year period. The main drivers of the decrease in selling, general and administratve expenses were:</w:t>
      </w:r>
    </w:p>
    <w:p>
      <w:pPr>
        <w:spacing w:after="0" w:line="164" w:lineRule="exact"/>
        <w:rPr>
          <w:sz w:val="20"/>
          <w:szCs w:val="20"/>
          <w:color w:val="auto"/>
        </w:rPr>
      </w:pPr>
    </w:p>
    <w:p>
      <w:pPr>
        <w:ind w:left="660" w:right="100" w:hanging="328"/>
        <w:spacing w:after="0" w:line="235" w:lineRule="auto"/>
        <w:tabs>
          <w:tab w:leader="none" w:pos="65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Total payroll and benefts and other employee costs decreased approximately $4.0 million in the frst nine months of 2024 compared to the prior year period, as a result of declines in employee expenses related to the corporate overhead cost reducton eforts that occurred in 2023 as well as a decrease in incentve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3" w:name="page44"/>
    <w:bookmarkEnd w:id="43"/>
    <w:p>
      <w:pPr>
        <w:ind w:left="660" w:right="220" w:hanging="328"/>
        <w:spacing w:after="0" w:line="258" w:lineRule="auto"/>
        <w:tabs>
          <w:tab w:leader="none" w:pos="653"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Decrease of approximately $2.9 million due to reductons in professional fees and consultng expenses caused by reductons in discretonary costs and higher regulatory costs in the prior year period associated with permit renewals and environmental maters at the New York Facility;</w:t>
      </w:r>
    </w:p>
    <w:p>
      <w:pPr>
        <w:spacing w:after="0" w:line="323" w:lineRule="exact"/>
        <w:rPr>
          <w:rFonts w:ascii="Calibri" w:cs="Calibri" w:eastAsia="Calibri" w:hAnsi="Calibri"/>
          <w:sz w:val="17"/>
          <w:szCs w:val="17"/>
          <w:color w:val="auto"/>
        </w:rPr>
      </w:pPr>
    </w:p>
    <w:p>
      <w:pPr>
        <w:ind w:left="660" w:right="420" w:hanging="328"/>
        <w:spacing w:after="0" w:line="227" w:lineRule="auto"/>
        <w:tabs>
          <w:tab w:leader="none" w:pos="65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Total insurance expense decreased approximately $1.7 million in the frst nine months of 2024 compared to the prior year period, as a result of declines in coverage costs related to umbrella, property, and liability policies due to a lower asset base; and</w:t>
      </w:r>
    </w:p>
    <w:p>
      <w:pPr>
        <w:spacing w:after="0" w:line="232" w:lineRule="exact"/>
        <w:rPr>
          <w:rFonts w:ascii="Calibri" w:cs="Calibri" w:eastAsia="Calibri" w:hAnsi="Calibri"/>
          <w:sz w:val="18"/>
          <w:szCs w:val="18"/>
          <w:color w:val="auto"/>
        </w:rPr>
      </w:pPr>
    </w:p>
    <w:p>
      <w:pPr>
        <w:ind w:left="660" w:right="80" w:hanging="328"/>
        <w:spacing w:after="0" w:line="227" w:lineRule="auto"/>
        <w:tabs>
          <w:tab w:leader="none" w:pos="65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Total restructuring costs decreased approximately $0.7 million in the frst nine months of 2024 compared to the prior year period, mainly as a result of non-recurring restructuring costs incurred in the prior year</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Depreciaton</w:t>
      </w:r>
    </w:p>
    <w:p>
      <w:pPr>
        <w:spacing w:after="0" w:line="21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Depreciaton expense decreased $0.5 million, or 4%, to $9.9 million for the nine months ended September 30, 2024 as compared to the prior year period, due to a lower asset base resultng from the sale of the South Carolina Facility in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Gain on digital assets</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We recognized a gain on digital assets of $0.2 million for the nine months ended September 30, 2024 as a result of measuring digital assets at fair value due to us adoptng ASU 2023-08 on January 1, 2024. There was no gain or loss on digital assets as a result of measuring digital assets at fair value for the nine months ended September 30, 2023.</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Loss (gain) on sale of assets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recognized a loss on the sale of assets of $0.7 million for the nine months ended September 30, 2024 which was primarily as a result of selling long-lived assets. During the nine months ended September 30, 2023, we recognized a gain on the sale of assets of $1.8 million for the sale of certain credits and coupons, including the $1.2 million of coupons transferred to NYDIG as part of the debt restructuring.</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Operatng (loss) income from contnuing operatons</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We reported an operatng loss for the nine months ended September 30, 2024 of $10.1 million compared with an operatng loss of $22.4 million in the nine months ended September 30, 2023. The favorable variance of $12.3 million is primarily related to signifcant cost savings in selling, general, and administratve expenses, as well as a $3.8 million decrease in impairment of long-lived assets and a $1.6 million decrease in remeasurement on environmental liability.</w:t>
      </w:r>
    </w:p>
    <w:p>
      <w:pPr>
        <w:spacing w:after="0" w:line="219"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Adjusted loss from operatons was $9.3 million for the nine months ended September 30, 2024 as compared to adjusted loss from operatons of $15.7 million in the nine months ended September 30, 2023. The adjusted loss from operatons was driven by the same factors described above impactng loss from operatons. A reconciliaton of reported amounts to adjusted amounts can be found in the "Non-GAAP Measures and Reconciliatons" secton of this MD&amp;A.</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Total other expense, net</w:t>
      </w:r>
    </w:p>
    <w:p>
      <w:pPr>
        <w:spacing w:after="0" w:line="21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During the nine months ended September 30, 2024, we incurred a decrease of $3.5 million, or 37%, to $5.9 million of other expense, mainly due to a reducton in interest expense of $4.3 million and partally ofset by a change in fair value of warrant asset of $0.4 million and decrease of $0.4 million in gain on sale of digital assets. The decrease in interest expense is a result of the reductons in debt that occurred in the frst and fourth quarters of 2023.</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Beneft from income taxes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efectve tax rate for the nine months ended September 30, 2024 was a 1% beneft which was lower than the statutory rate of 21% because we have a full valuaton allowance on deferred tax assets, as well as an adjustment for the New York State income tax receivable upon completon of the 2023 tax return. We recorded and will contnue to carry a full valuaton allowance against our gross deferred tax assets that will not reverse against deferred tax liabilites within the scheduled reversal period. The 1%, or $0.1 million beneft for the nine months ended September 30, 2024 was the result of an adjustment for the New York State income tax receivable upon completon of our 2023 tax return.</w:t>
      </w:r>
    </w:p>
    <w:p>
      <w:pPr>
        <w:spacing w:after="0" w:line="22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Our efectve tax rate for the nine months ended September 30, 2023 was 0%, which was lower than the statutory rate of 21% primarily due to state income taxes and tax benefts associated with stock-based compensaton.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b w:val="1"/>
          <w:bCs w:val="1"/>
          <w:i w:val="1"/>
          <w:iCs w:val="1"/>
          <w:u w:val="single" w:color="auto"/>
          <w:color w:val="auto"/>
        </w:rPr>
        <w:t>Net loss from contnuing operatons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a result of the factors described above, Greenidge incurred a net loss of $15.9 million for the nine months ended September 30, 2024 as compared to a net loss of $31.8 million for the nine months ended September 30, 2023.</w:t>
      </w:r>
    </w:p>
    <w:p>
      <w:pPr>
        <w:spacing w:after="0" w:line="218"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color w:val="auto"/>
        </w:rPr>
        <w:t>On an adjusted basis, excluding the impact of a gain on sale of assets and debt restructure costs, adjusted net loss during the nine months ended September 30, 2024 would have been $14.6 million as compared to $25.1 million in the same period in 2023. Adjusted net loss is a non-GAAP performance measure. A reconciliaton of reported amounts to adjusted amounts can be found in the "Non-GAAP Measures and Reconciliatons" secton of this MD&amp;A.</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Loss from discontnued operatons</w:t>
      </w:r>
    </w:p>
    <w:p>
      <w:pPr>
        <w:spacing w:after="0" w:line="16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We have reported the Support.com business as discontnued operatons in the consolidated fnancial statements. Loss from discontnued operatons, net of tax decreased $0.7 million, or 98%, to $0.01 million for the nine months ended September 30, 2024. The decrease is primarily related to the closing of operatons.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b w:val="1"/>
          <w:bCs w:val="1"/>
          <w:color w:val="auto"/>
        </w:rPr>
        <w:t>Non-GAAP Measures and Reconciliatons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40" w:type="dxa"/>
            <w:vAlign w:val="bottom"/>
            <w:gridSpan w:val="5"/>
          </w:tcPr>
          <w:p>
            <w:pPr>
              <w:ind w:left="100"/>
              <w:spacing w:after="0"/>
              <w:rPr>
                <w:sz w:val="20"/>
                <w:szCs w:val="20"/>
                <w:color w:val="auto"/>
              </w:rPr>
            </w:pPr>
            <w:r>
              <w:rPr>
                <w:rFonts w:ascii="Calibri" w:cs="Calibri" w:eastAsia="Calibri" w:hAnsi="Calibri"/>
                <w:sz w:val="14"/>
                <w:szCs w:val="14"/>
                <w:b w:val="1"/>
                <w:bCs w:val="1"/>
                <w:color w:val="auto"/>
              </w:rPr>
              <w:t>Nine Months Ended September 30,</w:t>
            </w:r>
          </w:p>
        </w:tc>
        <w:tc>
          <w:tcPr>
            <w:tcW w:w="420" w:type="dxa"/>
            <w:vAlign w:val="bottom"/>
          </w:tcPr>
          <w:p>
            <w:pPr>
              <w:spacing w:after="0"/>
              <w:rPr>
                <w:sz w:val="14"/>
                <w:szCs w:val="14"/>
                <w:color w:val="auto"/>
              </w:rPr>
            </w:pPr>
          </w:p>
        </w:tc>
        <w:tc>
          <w:tcPr>
            <w:tcW w:w="1740" w:type="dxa"/>
            <w:vAlign w:val="bottom"/>
            <w:gridSpan w:val="3"/>
          </w:tcPr>
          <w:p>
            <w:pPr>
              <w:ind w:left="960"/>
              <w:spacing w:after="0"/>
              <w:rPr>
                <w:sz w:val="20"/>
                <w:szCs w:val="20"/>
                <w:color w:val="auto"/>
              </w:rPr>
            </w:pPr>
            <w:r>
              <w:rPr>
                <w:rFonts w:ascii="Calibri" w:cs="Calibri" w:eastAsia="Calibri" w:hAnsi="Calibri"/>
                <w:sz w:val="14"/>
                <w:szCs w:val="14"/>
                <w:b w:val="1"/>
                <w:bCs w:val="1"/>
                <w:color w:val="auto"/>
              </w:rPr>
              <w:t>Variance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651"/>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691"/>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47"/>
        </w:trPr>
        <w:tc>
          <w:tcPr>
            <w:tcW w:w="46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Adjusted operatng (loss) income from contnuing operatons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loss from contnuing operatons</w:t>
            </w:r>
          </w:p>
        </w:tc>
        <w:tc>
          <w:tcPr>
            <w:tcW w:w="44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(10,126)</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(22,425)</w:t>
            </w:r>
          </w:p>
        </w:tc>
        <w:tc>
          <w:tcPr>
            <w:tcW w:w="100" w:type="dxa"/>
            <w:vAlign w:val="bottom"/>
          </w:tcPr>
          <w:p>
            <w:pPr>
              <w:spacing w:after="0"/>
              <w:rPr>
                <w:sz w:val="19"/>
                <w:szCs w:val="19"/>
                <w:color w:val="auto"/>
              </w:rPr>
            </w:pP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12,299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(55)%</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Impairment of long-lived assets</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Loss (gain) on sale of assets</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(138)%</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Remeasurement of environmental liability</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2,831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5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Adjusted operatng loss from contnuing operatons</w:t>
            </w:r>
          </w:p>
        </w:tc>
        <w:tc>
          <w:tcPr>
            <w:tcW w:w="44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(9,296)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(15,746)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Calibri" w:cs="Calibri" w:eastAsia="Calibri" w:hAnsi="Calibri"/>
                <w:sz w:val="18"/>
                <w:szCs w:val="18"/>
                <w:i w:val="1"/>
                <w:iCs w:val="1"/>
                <w:color w:val="auto"/>
              </w:rPr>
              <w:t>Adjusted operatng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Calibri" w:cs="Calibri" w:eastAsia="Calibri" w:hAnsi="Calibri"/>
                <w:sz w:val="18"/>
                <w:szCs w:val="18"/>
                <w:i w:val="1"/>
                <w:iCs w:val="1"/>
                <w:color w:val="auto"/>
              </w:rPr>
              <w:t>(20.8 %)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Calibri" w:cs="Calibri" w:eastAsia="Calibri" w:hAnsi="Calibri"/>
                <w:sz w:val="18"/>
                <w:szCs w:val="18"/>
                <w:i w:val="1"/>
                <w:iCs w:val="1"/>
                <w:color w:val="auto"/>
              </w:rPr>
              <w:t>(31.0 %)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Adjusted net loss from contnuing operatons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44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(15,867)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(31,756)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15,889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 of long-lived assets, afer tax</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(3,831)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(gain) on sale of assets</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661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(1,752)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2,413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(138)%</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Remeasurement of environmental liability, afer tax</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Change in fair value of warrant asset, afer tax</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420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 afer tax</w:t>
            </w:r>
          </w:p>
        </w:tc>
        <w:tc>
          <w:tcPr>
            <w:tcW w:w="440" w:type="dxa"/>
            <w:vAlign w:val="bottom"/>
          </w:tcPr>
          <w:p>
            <w:pPr>
              <w:spacing w:after="0"/>
              <w:rPr>
                <w:sz w:val="19"/>
                <w:szCs w:val="19"/>
                <w:color w:val="auto"/>
              </w:rPr>
            </w:pPr>
          </w:p>
        </w:tc>
        <w:tc>
          <w:tcPr>
            <w:tcW w:w="12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2,831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5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Adjusted net loss from contnuing operatons</w:t>
            </w:r>
          </w:p>
        </w:tc>
        <w:tc>
          <w:tcPr>
            <w:tcW w:w="44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(14,617)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(25,077)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EBITDA (loss) and Adjusted EBITDA (loss) from contnuing operatons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 from contnuing operatons</w:t>
            </w:r>
          </w:p>
        </w:tc>
        <w:tc>
          <w:tcPr>
            <w:tcW w:w="44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(15,867)</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(31,756)</w:t>
            </w:r>
          </w:p>
        </w:tc>
        <w:tc>
          <w:tcPr>
            <w:tcW w:w="100" w:type="dxa"/>
            <w:vAlign w:val="bottom"/>
          </w:tcPr>
          <w:p>
            <w:pPr>
              <w:spacing w:after="0"/>
              <w:rPr>
                <w:sz w:val="19"/>
                <w:szCs w:val="19"/>
                <w:color w:val="auto"/>
              </w:rPr>
            </w:pP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15,889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Beneft from income taxes</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color w:val="auto"/>
              </w:rPr>
              <w:t>(118)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5,439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9,725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(4,286)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Depreciaton</w:t>
            </w: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Calibri" w:cs="Calibri" w:eastAsia="Calibri" w:hAnsi="Calibri"/>
                <w:sz w:val="18"/>
                <w:szCs w:val="18"/>
                <w:color w:val="auto"/>
              </w:rPr>
              <w:t>9,909</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Calibri" w:cs="Calibri" w:eastAsia="Calibri" w:hAnsi="Calibri"/>
                <w:sz w:val="18"/>
                <w:szCs w:val="18"/>
                <w:color w:val="auto"/>
              </w:rPr>
              <w:t>10,368</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(459)</w:t>
            </w: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tcPr>
          <w:p>
            <w:pPr>
              <w:ind w:left="240"/>
              <w:spacing w:after="0" w:line="199" w:lineRule="exact"/>
              <w:rPr>
                <w:sz w:val="20"/>
                <w:szCs w:val="20"/>
                <w:color w:val="auto"/>
              </w:rPr>
            </w:pPr>
            <w:r>
              <w:rPr>
                <w:rFonts w:ascii="Calibri" w:cs="Calibri" w:eastAsia="Calibri" w:hAnsi="Calibri"/>
                <w:sz w:val="18"/>
                <w:szCs w:val="18"/>
                <w:color w:val="auto"/>
              </w:rPr>
              <w:t>EBITDA (loss) from contnuing operatons</w:t>
            </w:r>
          </w:p>
        </w:tc>
        <w:tc>
          <w:tcPr>
            <w:tcW w:w="440" w:type="dxa"/>
            <w:vAlign w:val="bottom"/>
          </w:tcPr>
          <w:p>
            <w:pPr>
              <w:spacing w:after="0"/>
              <w:rPr>
                <w:sz w:val="18"/>
                <w:szCs w:val="18"/>
                <w:color w:val="auto"/>
              </w:rPr>
            </w:pPr>
          </w:p>
        </w:tc>
        <w:tc>
          <w:tcPr>
            <w:tcW w:w="110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(637)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(11,663)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11,026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line="199" w:lineRule="exact"/>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Stock-based compensaton</w:t>
            </w: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1,798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1,531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Loss (gain) on sale of assets</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1"/>
              <w:spacing w:after="0" w:line="215" w:lineRule="exact"/>
              <w:rPr>
                <w:sz w:val="20"/>
                <w:szCs w:val="20"/>
                <w:color w:val="auto"/>
              </w:rPr>
            </w:pPr>
            <w:r>
              <w:rPr>
                <w:rFonts w:ascii="Calibri" w:cs="Calibri" w:eastAsia="Calibri" w:hAnsi="Calibri"/>
                <w:sz w:val="18"/>
                <w:szCs w:val="18"/>
                <w:color w:val="auto"/>
              </w:rPr>
              <w:t>(1,752)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(138)%</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Remeasurement of environmental liability</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fair value of warrant asset, afer tax</w:t>
            </w:r>
          </w:p>
        </w:tc>
        <w:tc>
          <w:tcPr>
            <w:tcW w:w="440" w:type="dxa"/>
            <w:vAlign w:val="bottom"/>
          </w:tcPr>
          <w:p>
            <w:pPr>
              <w:spacing w:after="0"/>
              <w:rPr>
                <w:sz w:val="19"/>
                <w:szCs w:val="19"/>
                <w:color w:val="auto"/>
              </w:rPr>
            </w:pPr>
          </w:p>
        </w:tc>
        <w:tc>
          <w:tcPr>
            <w:tcW w:w="1100" w:type="dxa"/>
            <w:vAlign w:val="bottom"/>
          </w:tcPr>
          <w:p>
            <w:pPr>
              <w:jc w:val="right"/>
              <w:ind w:right="151"/>
              <w:spacing w:after="0" w:line="215" w:lineRule="exact"/>
              <w:rPr>
                <w:sz w:val="20"/>
                <w:szCs w:val="20"/>
                <w:color w:val="auto"/>
              </w:rPr>
            </w:pPr>
            <w:r>
              <w:rPr>
                <w:rFonts w:ascii="Calibri" w:cs="Calibri" w:eastAsia="Calibri" w:hAnsi="Calibri"/>
                <w:sz w:val="18"/>
                <w:szCs w:val="18"/>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 costs</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color w:val="auto"/>
              </w:rPr>
              <w:t>2,831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Impairment of long-lived assets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line="215" w:lineRule="exact"/>
              <w:rPr>
                <w:sz w:val="20"/>
                <w:szCs w:val="20"/>
                <w:color w:val="auto"/>
              </w:rPr>
            </w:pPr>
            <w:r>
              <w:rPr>
                <w:rFonts w:ascii="Calibri" w:cs="Calibri" w:eastAsia="Calibri" w:hAnsi="Calibri"/>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(96)%</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8"/>
                <w:szCs w:val="18"/>
                <w:color w:val="auto"/>
              </w:rPr>
              <w:t>Adjusted EBITDA (loss) from contnuing operatons</w:t>
            </w:r>
          </w:p>
        </w:tc>
        <w:tc>
          <w:tcPr>
            <w:tcW w:w="440" w:type="dxa"/>
            <w:vAlign w:val="bottom"/>
            <w:tcBorders>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ind w:right="151"/>
              <w:spacing w:after="0" w:line="215" w:lineRule="exact"/>
              <w:rPr>
                <w:sz w:val="20"/>
                <w:szCs w:val="20"/>
                <w:color w:val="auto"/>
              </w:rPr>
            </w:pPr>
            <w:r>
              <w:rPr>
                <w:rFonts w:ascii="Calibri" w:cs="Calibri" w:eastAsia="Calibri" w:hAnsi="Calibri"/>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(170)%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Revenue per MWh for datacenter hostng, cryptocurrency mining and power and capacity are used by management to consider the extent to which we may generate electricity to either produce cryptocurrency or sell power to the New York wholesale power market. Cost of revenue (excluding depreciaton) per MWh represents a measure of the cost of natural gas, emissions credits, payroll and benefts and other direct producton costs associated with the MWhs produced to generate the respectve revenue category for each MWh utlized. Depreciaton expense is excluded from the cost of revenue (exclusive of depreciaton) per MWh metric; therefore, not all cost of revenues for datacenter hostng, cryptocurrency mining and power and capacity are fully refected. To the extent any other cryptocurrency datacenters are public or may go public, the cost of revenue (exclusive of depreciaton) per MWh metric may not be comparable because some compettors may include depreciaton in their cost of revenue fgures.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On September 30, 2024, we had cash and cash equivalents of $7.6 million. To date, we have primarily relied on debt and equity fnancing to fund our operatons, including meetng ongoing working capital needs. Our management took certain actons during 2023 and during the frst nine months of 2024 to improve our liquidity.</w:t>
      </w:r>
    </w:p>
    <w:p>
      <w:pPr>
        <w:spacing w:after="0" w:line="11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As discussed in Item 1, "Business—Corporate History and Structure" of our Annual Report on Form 10-K fled on April 10, 2023, we entered into a debt restructuring agreement with our primary lender, NYDIG. We restructured our debt by transferring ownership of miners, previously secured by the MEFAs, under the Purchase Agreement along with the rights to credits and coupons to NYDIG and reduced our debt and accrued interest balance with NYDIG from $75.8 million to $17.3 million.</w:t>
      </w:r>
    </w:p>
    <w:p>
      <w:pPr>
        <w:spacing w:after="0" w:line="111"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We also entered into the NYDIG Hostng Agreement with NYDIG afliates. The terms of the NYDIG Hostng Agreement require NYDIG afliates to pay a hostng fee that covers the cost of power and direct costs associated with management of the mining facilites as well as a gross proft-sharing arrangement. This allows us to partcipate in proft upside, but reduces our downside risk of bitcoin price deterioraton and cost increases related to natural gas.</w:t>
      </w:r>
    </w:p>
    <w:p>
      <w:pPr>
        <w:spacing w:after="0" w:line="9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In additon to revenue generated from hostng arrangements, we contnue to operate Company-owned miners at our own facilites, including migratng miners from third-party hostng providers to our recent expansion sites in North Dakota and Mississippi. On May 31, 2024, the only order entered into between Greenidge and Core pursuant to the Core Hostng Agreement terminated pursuant to its terms and all Greenidge-owned miners previously hosted by Core were redeployed at Greenidge-owned sites. We expect the migraton of miners to Greenidge-owned sites will increase the proftability of Company-owned miners.</w:t>
      </w:r>
    </w:p>
    <w:p>
      <w:pPr>
        <w:spacing w:after="0" w:line="112"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We contnue to own approximately 153 acres of land in South Carolina, which has been classifed as held for sale. We antcipate the sale of the land to generate proceeds that will improve our liquidity within the next twelve months.</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December 11, 2023, we entered into an Equity Exchange Agreement (the “Equity Exchange Agreement”) with Infnite Reality, Inc. (“Infnite Reality”), pursuant to which, among other things, (i) we issued to Infnite Reality a one-year warrant to purchase 180,000 shares of our Class A common stock at an exercise price of $7.00 per share, the proceeds of which, upon exercise, are required to be used for the development of a proposed new data center contemplated by a Master Services Agreement entered into between us and Infnite Reality on December 11, 2023, and (ii) we issued 180,000 shares of our Class A common stock to Infnite Reality, which shares for purposes of the Equity Exchange Agreement, were valued at $8.33 per share, or an aggregate value of approximately $1.5 million. In additon, Infnite Realty issued to Greenidge a one-year common stock purchase warrant, pursuant to which we have the right to purchase up to 235,754 shares of common stock of Infnite Reality, par value $0.001 per share (“Infnite Reality Common Stock”), at an exercise price of $5.35 per share, and Infnite Reality issued to us 280,374 shares of Infnite Reality Common Stock.</w:t>
      </w:r>
    </w:p>
    <w:p>
      <w:pPr>
        <w:spacing w:after="0" w:line="115"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contnued to improve our liquidity positon in the frst nine months of 2024. On February 12, 2024, we entered into a securites purchase agreement (the “Armistce SPA”) with Armistce Capital Master Fund Ltd. (“Armistce”). Pursuant to the Armistce SPA, Armistce purchased (i) 450,300 shares of Class A common stock (the “SPA Shares”), and (ii) a pre-funded warrant (the “Pre-Funded Warrant”) to purchase 810,205 shares of Class A common stock (the “Pre-Funded Warrant Shares”). The per share purchase price of the SPA Shares and the Pre-Funded Warrant Shares was $4.76, resultng in aggregate gross proceeds of $6.0 million, and afer giving efect to the exercise price of $0.0001 per Pre-Funded Warrant Share, we received net proceeds of $6.0 million. In additon, we issued to Armistce a fve-year warrant to purchase up to 1,260,505 shares of Class A common stock, exercisable commencing on August 14, 2024 at an exercise price of $5.25 per share.</w:t>
      </w:r>
    </w:p>
    <w:p>
      <w:pPr>
        <w:spacing w:after="0" w:line="11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Despite these improvements to our fnancial conditon, our management expects that we will require additonal capital in order to fund our expenses and to support our working capital needs and remaining debt servicing requirements. Management contnues to assess diferent optons to improve our liquidity which include, but are not limited to:</w:t>
      </w:r>
    </w:p>
    <w:p>
      <w:pPr>
        <w:spacing w:after="0" w:line="111" w:lineRule="exact"/>
        <w:rPr>
          <w:sz w:val="20"/>
          <w:szCs w:val="20"/>
          <w:color w:val="auto"/>
        </w:rPr>
      </w:pPr>
    </w:p>
    <w:p>
      <w:pPr>
        <w:ind w:left="660" w:right="180" w:hanging="328"/>
        <w:spacing w:after="0" w:line="235" w:lineRule="auto"/>
        <w:tabs>
          <w:tab w:leader="none" w:pos="65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a sale of our remaining real estate in South Carolina and/or sale of the remaining miner infrastructure equipment inventory, which was not used in previous expansions.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issuances of equity, including but not limited to issuances under the Common Stock Purchase Agreement and/or the ATM Agreement.</w:t>
      </w:r>
    </w:p>
    <w:p>
      <w:pPr>
        <w:spacing w:after="0" w:line="109" w:lineRule="exact"/>
        <w:rPr>
          <w:rFonts w:ascii="Calibri" w:cs="Calibri" w:eastAsia="Calibri" w:hAnsi="Calibri"/>
          <w:sz w:val="18"/>
          <w:szCs w:val="18"/>
          <w:color w:val="auto"/>
        </w:rPr>
      </w:pPr>
    </w:p>
    <w:p>
      <w:pPr>
        <w:ind w:left="660" w:right="220" w:hanging="328"/>
        <w:spacing w:after="0" w:line="235" w:lineRule="auto"/>
        <w:tabs>
          <w:tab w:leader="none" w:pos="65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retrement or purchase of our outstanding debt through cash purchases and/or exchanges for equity or debt, in open-market purchases, privately negotated transactons or otherwise. Such repurchases or exchanges, if any will be upon such terms and at such prices as we may determine, and will depend on prevailing market conditons, our liquidity requirements, contractual restrictons and other factors. The amounts involved may be material and to the extent equity is issued, dilutve.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7" w:name="page48"/>
    <w:bookmarkEnd w:id="47"/>
    <w:p>
      <w:pPr>
        <w:ind w:right="40"/>
        <w:spacing w:after="0" w:line="235" w:lineRule="auto"/>
        <w:rPr>
          <w:sz w:val="20"/>
          <w:szCs w:val="20"/>
          <w:color w:val="auto"/>
        </w:rPr>
      </w:pPr>
      <w:r>
        <w:rPr>
          <w:rFonts w:ascii="Calibri" w:cs="Calibri" w:eastAsia="Calibri" w:hAnsi="Calibri"/>
          <w:sz w:val="18"/>
          <w:szCs w:val="18"/>
          <w:color w:val="auto"/>
        </w:rPr>
        <w:t>The Company believes it will be successful in certain eforts to improve liquidity that will allow it to extend cash resources for at least the next twelve months, contngent on factors outlined below which contnue to present signifcant uncertainty regarding the Company's fnancial conditon.</w:t>
      </w:r>
    </w:p>
    <w:p>
      <w:pPr>
        <w:spacing w:after="0" w:line="11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operatng cash fows generated by mining, hostng, and power are afected by several factors including the price of bitcoin, bitcoin mining difculty, and the costs of electricity, natural gas, and emissions credits. Increases in the price of bitcoin beneft us by increasing the amount of revenue earned for each bitcoin mined. Increases in the difculty to mine a bitcoin adversely afect us by decreasing the number of bitcoin we can mine. Increases in the costs of electricity, natural gas, and emissions credits adversely afect us by increasing the cost to mine bitcoin. In April 2024, a bitcoin halving occurred, which decreased the reward for successfully placing a block from 6.25 bitcoin to 3.125 bitcoin. There are no assurances that favorable changes in the price of bitcoin will occur as a result of the bitcoin halving to ofset the decrease in mining revenues as a result therefrom. Therefore, the most recent bitcoin halving has had and may contnue to have a material adverse efect on the proftability of our future self-mining and hostng operatons. While we contnue to work to implement optons to improve liquidity, we can provide no assurance that these eforts will be successful and our liquidity could be negatvely impacted by factors outside of our control, in partcular, signifcant decreases in the price of bitcoin or increases in the difculty of mining bitcoin, our inability to procure and comply with the permits and licenses required to operate our facilites, including the Title V Air Permit for the New York Facility and the possibility of a temporary or permanent loss of such permit following the expiraton of the November 14 Stay, or the cost to us of such procurement or compliance, regulatory changes concerning cryptocurrency, increases in energy costs or other macroeconomic conditons and other maters identfed in Item 1A, "Risk Factors" in our Annual Report for the year ended December 31, 2023 and in this Quarterly Report on Form 10-Q.</w:t>
      </w:r>
    </w:p>
    <w:p>
      <w:pPr>
        <w:spacing w:after="0" w:line="11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Given this uncertainty regarding our fnancial conditon over the next 12 months from the date these fnancial statements were issued, we have concluded that there is substantal doubt about our ability to contnue as a going concern for a reasonable period of tme. The consolidated fnancial statements do not include any adjustments that might result from the outcome of this uncertainty.</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Contractual Obligatons and Commitments</w:t>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our contractual obligatons and other commitments at September 30, 2024, and the years in which these obligatons are due: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Calibri" w:cs="Calibri" w:eastAsia="Calibri" w:hAnsi="Calibri"/>
                <w:sz w:val="14"/>
                <w:szCs w:val="14"/>
                <w:b w:val="1"/>
                <w:bCs w:val="1"/>
                <w:color w:val="auto"/>
              </w:rPr>
              <w:t>Total</w:t>
            </w:r>
          </w:p>
        </w:tc>
        <w:tc>
          <w:tcPr>
            <w:tcW w:w="32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Calibri" w:cs="Calibri" w:eastAsia="Calibri" w:hAnsi="Calibri"/>
                <w:sz w:val="14"/>
                <w:szCs w:val="14"/>
                <w:b w:val="1"/>
                <w:bCs w:val="1"/>
                <w:color w:val="auto"/>
              </w:rPr>
              <w:t>2025-2026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2027-2028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Thereafer</w:t>
            </w:r>
          </w:p>
        </w:tc>
      </w:tr>
      <w:tr>
        <w:trPr>
          <w:trHeight w:val="47"/>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40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Debt payments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84,474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2"/>
        </w:trPr>
        <w:tc>
          <w:tcPr>
            <w:tcW w:w="41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Leases</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r>
      <w:tr>
        <w:trPr>
          <w:trHeight w:val="237"/>
        </w:trPr>
        <w:tc>
          <w:tcPr>
            <w:tcW w:w="41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Environmental obligatons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30,229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11,120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11,006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8,003</w:t>
            </w:r>
          </w:p>
        </w:tc>
      </w:tr>
      <w:tr>
        <w:trPr>
          <w:trHeight w:val="223"/>
        </w:trPr>
        <w:tc>
          <w:tcPr>
            <w:tcW w:w="412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Natural gas transportaton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3,318</w:t>
            </w:r>
          </w:p>
        </w:tc>
      </w:tr>
      <w:tr>
        <w:trPr>
          <w:trHeight w:val="25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99,461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11,341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debt payments included in the table above include the principal and interest amounts due. The lease payments include fxed monthly rental payments and exclude any variable payments. Environmental obligatons are based on estmates subject to various assumptons including, but not limited to, closure and post-closure cost estmates, tming of expenditures, escalaton factors, and requirements of granted permits. Additonal adjustments to the environment liability may occur periodically due to potental changes in remediaton requirements regarding coal combuston residuals which may lead to material changes in estmates and assumptons.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b w:val="1"/>
          <w:bCs w:val="1"/>
          <w:i w:val="1"/>
          <w:iCs w:val="1"/>
          <w:color w:val="auto"/>
        </w:rPr>
        <w:t>Summary of Cash Flow</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about our net cash fow for the nine months ended September 30,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90"/>
              <w:spacing w:after="0"/>
              <w:rPr>
                <w:sz w:val="20"/>
                <w:szCs w:val="20"/>
                <w:color w:val="auto"/>
              </w:rPr>
            </w:pPr>
            <w:r>
              <w:rPr>
                <w:rFonts w:ascii="Calibri" w:cs="Calibri" w:eastAsia="Calibri" w:hAnsi="Calibri"/>
                <w:sz w:val="14"/>
                <w:szCs w:val="14"/>
                <w:b w:val="1"/>
                <w:bCs w:val="1"/>
                <w:color w:val="auto"/>
              </w:rPr>
              <w:t>September 30,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5"/>
              <w:spacing w:after="0" w:line="169"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512"/>
              <w:spacing w:after="0" w:line="169"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28"/>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cash used for operatng actvites from contnuing operatons</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(910)</w:t>
            </w:r>
          </w:p>
        </w:tc>
        <w:tc>
          <w:tcPr>
            <w:tcW w:w="0" w:type="dxa"/>
            <w:vAlign w:val="bottom"/>
          </w:tcPr>
          <w:p>
            <w:pPr>
              <w:spacing w:after="0"/>
              <w:rPr>
                <w:sz w:val="1"/>
                <w:szCs w:val="1"/>
                <w:color w:val="auto"/>
              </w:rPr>
            </w:pP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for investng actvites from contnuing operatons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(4,432)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(10,352)</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cash provided by fnancing actvites from contnuing operatons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7,038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4,666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Increase (decrease) in cash and cash equivalents from discontnued operatons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2,066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(5,742)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15,217</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Operatng Actvites</w:t>
      </w:r>
    </w:p>
    <w:p>
      <w:pPr>
        <w:spacing w:after="0" w:line="21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Net cash used for operatng actvites was $8.2 million for the nine months ended September 30, 2024, as compared to net cash used of $0.9 million for the nine months ended September 30, 2023. The variance in the operatng cash fow during the frst nine months of 2024 as compared to 2023 was driven primarily by the purchase of additonal Regional Greenhouse Gas Initatve ("RGGI") credits in Q1 2024, which was required to setle the accrued emissions liability for the three-year control period ended December 31, 2023, as well as the advantageous change in net loss.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Investng Actvites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Net cash used in investng actvites was $4.4 million for the nine months ended September 30, 2024, as compared to $10.4 million for the nine months ended September 30, 2023. The decrease is primarily related to $4.0 million of lower purchases of and deposits for property and equipment as compared to the prior year due to the lower miner purchases and increase in proceeds from the sale of long-lived assets of $1.3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Financing Actvites</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Net cash provided by fnancing actvites was $7.0 million for the nine months ended September 30, 2024, as compared to $4.7 million for the nine months ended September 30, 2023. The increase is primarily related to the increase of $6.0 million of proceeds from the issuance of common stock and pre-funded warrant, along with the $6.8 million eliminaton of principal payments on debt due to its restructuring. These increases were partally ofset by a $10.4 million reducton in sales of Class A common stock under the Company’s ATM Agreement.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Financing Arrangements</w:t>
      </w:r>
    </w:p>
    <w:p>
      <w:pPr>
        <w:spacing w:after="0" w:line="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See Note 5, "</w:t>
      </w:r>
      <w:r>
        <w:rPr>
          <w:rFonts w:ascii="Calibri" w:cs="Calibri" w:eastAsia="Calibri" w:hAnsi="Calibri"/>
          <w:sz w:val="18"/>
          <w:szCs w:val="18"/>
          <w:i w:val="1"/>
          <w:iCs w:val="1"/>
          <w:color w:val="auto"/>
        </w:rPr>
        <w:t>Debt</w:t>
      </w:r>
      <w:r>
        <w:rPr>
          <w:rFonts w:ascii="Calibri" w:cs="Calibri" w:eastAsia="Calibri" w:hAnsi="Calibri"/>
          <w:sz w:val="18"/>
          <w:szCs w:val="18"/>
          <w:color w:val="auto"/>
        </w:rPr>
        <w:t>," and Note 9,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in the Notes to our Unaudited Condensed Consolidated Financial Statements for details regarding our fnancing arrangements for further details regarding our fnancing arrangements.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most signifcant accountng estmates involve a high degree of judgment or complexity. Management believes the estmates and judgments most critcal to the preparaton of our condensed consolidated fnancial statements and to the understanding of our reported fnancial results include those made in connecton with environmental obligatons. Management evaluates its policies and assumptons on an ongoing basis.</w:t>
      </w:r>
    </w:p>
    <w:p>
      <w:pPr>
        <w:spacing w:after="0" w:line="21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Our signifcant accountng policies related to these accounts in the preparaton of our condensed consolidated fnancial statements are described under the heading “Management Discussion and Analysis of Financial Conditon and Results of Operatons – Critcal Accountng Policies and Estmates” in our Annual Report on Form 10-K for the year ended December 31, 2023. See Note 2. Summary of Signifcant Accountng Policies in Part I, Item 1 herein, which describes changes to the critcal accountng policies and methods used in the preparaton of our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Emerging Growth Company Status</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qualify as an “emerging growth company” under the Jumpstart our Business Startups Act ("JOBS Act"). As a result, we are permited to, and intend to, rely on exemptons from certain disclosure requirements. For so long as we are an emerging growth company, we will not be required to:</w:t>
      </w:r>
    </w:p>
    <w:p>
      <w:pPr>
        <w:spacing w:after="0" w:line="213" w:lineRule="exact"/>
        <w:rPr>
          <w:sz w:val="20"/>
          <w:szCs w:val="20"/>
          <w:color w:val="auto"/>
        </w:rPr>
      </w:pPr>
    </w:p>
    <w:p>
      <w:pPr>
        <w:ind w:left="980" w:hanging="648"/>
        <w:spacing w:after="0"/>
        <w:tabs>
          <w:tab w:leader="none" w:pos="98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have an auditor report on our internal controls over fnancial reportng pursuant to Secton 404(b) of the Sarbanes-Oxley Act;</w:t>
      </w:r>
    </w:p>
    <w:p>
      <w:pPr>
        <w:spacing w:after="0" w:line="217" w:lineRule="exact"/>
        <w:rPr>
          <w:rFonts w:ascii="Calibri" w:cs="Calibri" w:eastAsia="Calibri" w:hAnsi="Calibri"/>
          <w:sz w:val="18"/>
          <w:szCs w:val="18"/>
          <w:color w:val="auto"/>
        </w:rPr>
      </w:pPr>
    </w:p>
    <w:p>
      <w:pPr>
        <w:jc w:val="both"/>
        <w:ind w:left="980" w:right="20" w:hanging="648"/>
        <w:spacing w:after="0" w:line="235" w:lineRule="auto"/>
        <w:tabs>
          <w:tab w:leader="none" w:pos="97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comply with any requirement that may be adopted by the Public Company Accountng Oversight Board regarding mandatory audit frm rotaton or a supplement to the auditor’s report providing additonal informaton about the audit and the fnancial statements (i.e., an auditor discussion and analysis);</w:t>
      </w:r>
    </w:p>
    <w:p>
      <w:pPr>
        <w:spacing w:after="0" w:line="213" w:lineRule="exact"/>
        <w:rPr>
          <w:rFonts w:ascii="Calibri" w:cs="Calibri" w:eastAsia="Calibri" w:hAnsi="Calibri"/>
          <w:sz w:val="18"/>
          <w:szCs w:val="18"/>
          <w:color w:val="auto"/>
        </w:rPr>
      </w:pPr>
    </w:p>
    <w:p>
      <w:pPr>
        <w:ind w:left="980" w:hanging="648"/>
        <w:spacing w:after="0"/>
        <w:tabs>
          <w:tab w:leader="none" w:pos="98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submit certain executve compensaton maters to shareholder advisory votes, such as “say-on-pay,” “say-on-frequency” and pay rato; and</w:t>
      </w:r>
    </w:p>
    <w:p>
      <w:pPr>
        <w:spacing w:after="0" w:line="217" w:lineRule="exact"/>
        <w:rPr>
          <w:rFonts w:ascii="Calibri" w:cs="Calibri" w:eastAsia="Calibri" w:hAnsi="Calibri"/>
          <w:sz w:val="18"/>
          <w:szCs w:val="18"/>
          <w:color w:val="auto"/>
        </w:rPr>
      </w:pPr>
    </w:p>
    <w:p>
      <w:pPr>
        <w:ind w:left="980" w:right="760" w:hanging="648"/>
        <w:spacing w:after="0" w:line="235" w:lineRule="auto"/>
        <w:tabs>
          <w:tab w:leader="none" w:pos="97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disclose certain executve compensaton related items such as the correlaton between executve compensaton and performance and comparisons of the CEO’s compensaton to median employee compensaton.</w:t>
      </w:r>
    </w:p>
    <w:p>
      <w:pPr>
        <w:spacing w:after="0" w:line="21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In additon, Secton 107 of the JOBS Act also provides that an emerging growth company can take advantage of the extended transiton period provided in Secton 7(a)(2)(B) of the Securites Act for complying with new or revised accountng standards.</w:t>
      </w:r>
    </w:p>
    <w:p>
      <w:pPr>
        <w:spacing w:after="0" w:line="21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In other words, an emerging growth company can delay the adopton of certain accountng standards untl those standards would otherwise apply to private companies. We have elected to take advantage of the benefts of this extended transiton period. Its fnancial statements may therefore not be comparable to those of companies that comply with such new or revised accountng standards.</w:t>
      </w:r>
    </w:p>
    <w:p>
      <w:pPr>
        <w:spacing w:after="0" w:line="219" w:lineRule="exact"/>
        <w:rPr>
          <w:sz w:val="20"/>
          <w:szCs w:val="20"/>
          <w:color w:val="auto"/>
        </w:rPr>
      </w:pPr>
    </w:p>
    <w:p>
      <w:pPr>
        <w:jc w:val="both"/>
        <w:ind w:right="40"/>
        <w:spacing w:after="0" w:line="252" w:lineRule="auto"/>
        <w:rPr>
          <w:sz w:val="20"/>
          <w:szCs w:val="20"/>
          <w:color w:val="auto"/>
        </w:rPr>
      </w:pPr>
      <w:r>
        <w:rPr>
          <w:rFonts w:ascii="Calibri" w:cs="Calibri" w:eastAsia="Calibri" w:hAnsi="Calibri"/>
          <w:sz w:val="17"/>
          <w:szCs w:val="17"/>
          <w:color w:val="auto"/>
        </w:rPr>
        <w:t>We will remain an “emerging growth company” for up to fve years, or untl the earliest of (i) the last day of the frst fscal year in which our total annual gross revenues exceed $1.235 billion, (ii) the date that we become a “large accelerated fler” as defned in Rule 12b-2 under the Exchange Act, which would occur if the market value of our Class A common stock that are held by non-afliates exceeds $700 million as of the last business day of our most recently completed second fscal quarter, or (iii) the date on which we have issued more than $1 billion in non-convertble debt during the preceding three year period.</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Not required for smaller reportng companies.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management, including our Chief Executve Ofcer and Chief Financial Ofcer, have conducted an evaluaton of the efectveness of disclosure controls and procedures (as such term is defned in Rules 13a-15(e) and 15d-15(e) under the Securites Exchange Act of 1934, as amended), as of the end of the period covered by this Quarterly Report on Form 10-Q. Based on that evaluaton, our Chief Executve Ofcer and Chief Financial Ofcer concluded as of September 30, 2024, that the disclosure controls and procedures are efectve in ensuring that all material informaton required to be fled in this Quarterly Report on Form 10-Q has been recorded, processed, summarized and reported when required and the informaton is accumulated and communicated to our management, including our Chief Executve Ofcer and Chief Financial Ofcer, as appropriate, to allow tmely decisions regarding required disclosure.</w:t>
      </w:r>
    </w:p>
    <w:p>
      <w:pPr>
        <w:spacing w:after="0" w:line="22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There have not been any changes in our internal control over fnancial reportng that occurred during the third quarter of 2024 that have materially afected, or are reasonably likely to materially afect, our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0" w:name="page51"/>
    <w:bookmarkEnd w:id="50"/>
    <w:p>
      <w:pPr>
        <w:jc w:val="center"/>
        <w:ind w:right="-19"/>
        <w:spacing w:after="0"/>
        <w:rPr>
          <w:sz w:val="20"/>
          <w:szCs w:val="20"/>
          <w:color w:val="auto"/>
        </w:rPr>
      </w:pPr>
      <w:r>
        <w:rPr>
          <w:rFonts w:ascii="Calibri" w:cs="Calibri" w:eastAsia="Calibri" w:hAnsi="Calibri"/>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Legal Proceedings</w:t>
      </w:r>
    </w:p>
    <w:p>
      <w:pPr>
        <w:spacing w:after="0" w:line="21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From tme to tme, we may become involved in various lawsuits and legal proceedings that arise in the ordinary course of business. However, litgaton is subject to inherent uncertaintes, and an adverse result in such maters may arise and harm our business. We are currently not aware of any such legal proceedings or claims that we believe will have a material adverse efect on our business, fnancial conditon or operatng results, other than as described below. For informaton on legal proceedings, refer to Note 10, "</w:t>
      </w:r>
      <w:r>
        <w:rPr>
          <w:rFonts w:ascii="Calibri" w:cs="Calibri" w:eastAsia="Calibri" w:hAnsi="Calibri"/>
          <w:sz w:val="18"/>
          <w:szCs w:val="18"/>
          <w:i w:val="1"/>
          <w:iCs w:val="1"/>
          <w:color w:val="auto"/>
        </w:rPr>
        <w:t>Commitments and Contngencies—Legal Maters,</w:t>
      </w:r>
      <w:r>
        <w:rPr>
          <w:rFonts w:ascii="Calibri" w:cs="Calibri" w:eastAsia="Calibri" w:hAnsi="Calibri"/>
          <w:sz w:val="18"/>
          <w:szCs w:val="18"/>
          <w:color w:val="auto"/>
        </w:rPr>
        <w:t>" in our unaudited condensed consolidated fnancial statements included elsewhere in this report.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Title V Air Permit Renewal Litgaton</w:t>
      </w:r>
    </w:p>
    <w:p>
      <w:pPr>
        <w:spacing w:after="0" w:line="217"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As previously disclosed, on August 20, 2024, Greenidge Generaton LLC, our wholly owned subsidiary, submited a moton to the Court by Order to Show Cause seeking a TRO Request permitng the New York Facility to contnue operatons during the pendency of the Artcle 78 proceeding, which seeks declaratory and injunctve relief relatng to the Department's Denial.</w:t>
      </w:r>
    </w:p>
    <w:p>
      <w:pPr>
        <w:spacing w:after="0" w:line="246"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Subsequent to the submission of the TRO Request, on August 23, 2024, we and the Department agreed to a briefng schedule with respect to the TRO Request, with a hearing before the Court which occurred on October 29, 2024. In connecton with the agreed-upon briefng schedule, the Department agreed that we do not need to (i) cease operatons of any air contaminaton sources located at the New York Facility, (ii) render such air contaminaton sources inoperable, or (iii) relinquish the Title V Air Permit untl November 1, 2024, which was subsequently extended through November 14, 2024 by stpulaton on the record at the October 29, 2024 hearing. We expect that the Court will render a decision on the TRO Request or, alternatvely, our Artcle 78 challenge of the Department's Denial in total, prior to the expiraton of the November 14 Stay.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i w:val="1"/>
          <w:iCs w:val="1"/>
          <w:color w:val="auto"/>
        </w:rPr>
        <w:t>In evaluatng our company and our business, you should carefully consider the risks and uncertaintes described in Part I, Item 1A, “Risk Factors” in our most recent Annual Report on Form 10-K together with updates to those risk factors or new risk factors contained in this Quarterly Report on Form 10-Q below and any other informaton in this Quarterly Report on Form 10-Q, including our condensed consolidated fnancial statements and the related notes and in the secton ttled “Management’s Discussion and Analysis of Financial Conditon and Results of Operatons”. The occurrence of one or more of the events or circumstances described in these risk factors, alone or in combinaton with other events or circumstances, may have a material adverse efect on our business, reputaton, revenue, fnancial conditon, results of operatons and future prospects, in which case the market price of our common stock could decline. Unless otherwise indicated, reference in this secton and elsewhere in this Quarterly Report on Form 10-Q to our business being adversely afected, negatvely impacted or harmed will include an adverse efect on, or a negatve impact or harm to, our business, reputaton, fnancial conditon, results of operatons, revenue and our future prospects. The material and other risks and uncertaintes included in our Annual Report on Form 10-K, summarized above in this Quarterly Report on Form 10-Q and described below are not intended to be exhaustve and are not the only ones we face. Additonal risks and uncertaintes not presently known to us or that we currently deem immaterial may also impair our business operatons. This Quarterly Report on Form 10-Q also contains forward-looking statements that involve risks and uncertaintes. Our actual results could difer materially from those antcipated in the forward-looking statements as a result of a number of factors, including the risks described below. Certain statements in the Risk Factors below are forward-looking statements. See the secton ttled “Cautonary Statement Regarding Forward-Looking Statements”.</w:t>
      </w:r>
    </w:p>
    <w:p>
      <w:pPr>
        <w:spacing w:after="0" w:line="22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business is subject to numerous risks and uncertaintes, which illuminate challenges that we face in connecton with the successful implementaton of our strategy and the growth of our business. Our business, prospects, fnancial conditon or operatng results could be harmed by any of these risks, as well as other risks not currently known to us or that we currently consider immaterial. There have been no material changes to the risk factors identfed in our most recent Annual Report on Form 10-K, other than as set forth below.</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The bitcoin reward for successfully uncovering a block most recently halved in April 2024 and will halve again several tmes in the future, and bitcoin value may not adjust to compensate us for the reducton in the rewards we receive from our bitcoin mining eforts.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1" w:name="page52"/>
    <w:bookmarkEnd w:id="51"/>
    <w:p>
      <w:pPr>
        <w:ind w:right="20"/>
        <w:spacing w:after="0" w:line="228" w:lineRule="auto"/>
        <w:rPr>
          <w:sz w:val="20"/>
          <w:szCs w:val="20"/>
          <w:color w:val="auto"/>
        </w:rPr>
      </w:pPr>
      <w:r>
        <w:rPr>
          <w:rFonts w:ascii="Calibri" w:cs="Calibri" w:eastAsia="Calibri" w:hAnsi="Calibri"/>
          <w:sz w:val="18"/>
          <w:szCs w:val="18"/>
          <w:color w:val="auto"/>
        </w:rPr>
        <w:t>Halving is a process designed to control the overall supply and reduce the risk of infaton in cryptocurrencies using a proof of work consensus algorithm. At a predetermined block, the bitcoin mining reward is cut in half, hence the term "halving." For bitcoin, the reward was initally set at 50 bitcoin currency rewards per block, which was cut in half to 25 on November 28, 2012 at block 210,000, then to 12.5 on July 9, 2016 at block 420,000, and then again to 6.25 on May 11, 2020 at block 630,000. The most recent halving for bitcoin occurred on April 19, 2024 at block 840,000 and the reward was reduced to 3.125. The next halving is expected to occur in spring 2028. This process will reoccur untl the total amount of bitcoin currency rewards issued reaches 21 million, which is expected to occur around the year 2140.</w:t>
      </w:r>
    </w:p>
    <w:p>
      <w:pPr>
        <w:spacing w:after="0" w:line="233"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color w:val="auto"/>
        </w:rPr>
        <w:t>Bitcoin has had a history of price fuctuatons around the halving of its rewards, and we can provide no assurance that any price change will be favorable or would compensate for the reducton in bitcoin mining reward in connecton with a halving. If the award of bitcoin or a proportonate decrease in bitcoin mining difculty does not follow these antcipated halving events, the revenue we earn from our cryptocurrency datacenter operatons would see a corresponding decrease, and we may not have an adequate incentve to contnue bitcoin mining.</w:t>
      </w:r>
    </w:p>
    <w:p>
      <w:pPr>
        <w:spacing w:after="0" w:line="232"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We have material environmental liabilites, and costs of compliance with existng and new environmental laws could have a material adverse efect on us.</w:t>
      </w:r>
    </w:p>
    <w:p>
      <w:pPr>
        <w:spacing w:after="0" w:line="170" w:lineRule="exact"/>
        <w:rPr>
          <w:sz w:val="20"/>
          <w:szCs w:val="20"/>
          <w:color w:val="auto"/>
        </w:rPr>
      </w:pPr>
    </w:p>
    <w:p>
      <w:pPr>
        <w:ind w:right="40"/>
        <w:spacing w:after="0" w:line="243" w:lineRule="auto"/>
        <w:rPr>
          <w:sz w:val="20"/>
          <w:szCs w:val="20"/>
          <w:color w:val="auto"/>
        </w:rPr>
      </w:pPr>
      <w:r>
        <w:rPr>
          <w:rFonts w:ascii="Calibri" w:cs="Calibri" w:eastAsia="Calibri" w:hAnsi="Calibri"/>
          <w:sz w:val="18"/>
          <w:szCs w:val="18"/>
          <w:color w:val="auto"/>
        </w:rPr>
        <w:t>We and our afliates are subject to extensive environmental regulaton by governmental authorites, including the United States Environmental Protecton Agency (the "EPA"), and state environmental agencies such as the NYSDEC and/or atorneys general, and have material environmental liabilites, including a coal combuston ("CCR") residual liability of $17.3 million as of December 31, 2023 associated with the closure of a coal ash point located on the New York Facility property and an environmental liability of $12.9 million as of December 31, 2023 associated with the Lockwood Hills Landfll. See "</w:t>
      </w:r>
      <w:r>
        <w:rPr>
          <w:rFonts w:ascii="Calibri" w:cs="Calibri" w:eastAsia="Calibri" w:hAnsi="Calibri"/>
          <w:sz w:val="18"/>
          <w:szCs w:val="18"/>
          <w:i w:val="1"/>
          <w:iCs w:val="1"/>
          <w:color w:val="auto"/>
        </w:rPr>
        <w:t>Business—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Governmental Regulaton—Environmental Liability</w:t>
      </w:r>
      <w:r>
        <w:rPr>
          <w:rFonts w:ascii="Calibri" w:cs="Calibri" w:eastAsia="Calibri" w:hAnsi="Calibri"/>
          <w:sz w:val="18"/>
          <w:szCs w:val="18"/>
          <w:color w:val="auto"/>
        </w:rPr>
        <w:t>" and Note 10, "</w:t>
      </w:r>
      <w:r>
        <w:rPr>
          <w:rFonts w:ascii="Calibri" w:cs="Calibri" w:eastAsia="Calibri" w:hAnsi="Calibri"/>
          <w:sz w:val="18"/>
          <w:szCs w:val="18"/>
          <w:i w:val="1"/>
          <w:iCs w:val="1"/>
          <w:color w:val="auto"/>
        </w:rPr>
        <w:t>Commitments and Contngencies—Environmental Liabilites</w:t>
      </w:r>
      <w:r>
        <w:rPr>
          <w:rFonts w:ascii="Calibri" w:cs="Calibri" w:eastAsia="Calibri" w:hAnsi="Calibri"/>
          <w:sz w:val="18"/>
          <w:szCs w:val="18"/>
          <w:color w:val="auto"/>
        </w:rPr>
        <w:t>", in the Notes to Consolidated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Financial Statements. We may incur signifcant additonal costs beyond those currently contemplated to comply with these regulatory requirements. If we fail to comply with these and future regulatory requirements, we could be forced to reduce or discontnue operatons or become subject to administratve, civil, or criminal liabilites and fnes.</w:t>
      </w:r>
    </w:p>
    <w:p>
      <w:pPr>
        <w:spacing w:after="0" w:line="164"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In 2015, EPA fnalized federal regulatons (the “CCR Rule”) that establish technical requirements for the disposal of CCR. The EPA recently published revisions to the CCR Rule, efectve November 8, 2024 (the “revised CCR regulatons”). The revised CCR regulatons impose certain compliance and other obligatons on certain previously unregulated CCR sites. The revised CCR regulatons require, among other things, electric utlites and independent power producers to investgate and identfy previously unregulated CCR sites and demonstrate that the sites were closed in accordance with the closure performance standards in the CCR Rule. The required investgaton is conducted in phases, with the Phase 1 report due on February 9, 2026. Any required closure obligaton would commence on May 8, 2029, unless exceptons apply that would defer the closure obligaton to a permitng process. In accordance with the revised CCR regulatons, phased evaluatons of the Lockwood Hills and Greenidge Generaton facilites will be conducted to determine if any previously unregulated CCR sites must be addressed under the new regulaton. We make no assurances as to the status of any CCR sites at either facility that could be subject to regulaton under the revised CCR regulatons.</w:t>
      </w:r>
    </w:p>
    <w:p>
      <w:pPr>
        <w:spacing w:after="0" w:line="239" w:lineRule="exact"/>
        <w:rPr>
          <w:sz w:val="20"/>
          <w:szCs w:val="20"/>
          <w:color w:val="auto"/>
        </w:rPr>
      </w:pPr>
    </w:p>
    <w:p>
      <w:pPr>
        <w:ind w:right="20"/>
        <w:spacing w:after="0" w:line="244" w:lineRule="auto"/>
        <w:rPr>
          <w:sz w:val="20"/>
          <w:szCs w:val="20"/>
          <w:color w:val="auto"/>
        </w:rPr>
      </w:pPr>
      <w:r>
        <w:rPr>
          <w:rFonts w:ascii="Calibri" w:cs="Calibri" w:eastAsia="Calibri" w:hAnsi="Calibri"/>
          <w:sz w:val="18"/>
          <w:szCs w:val="18"/>
          <w:color w:val="auto"/>
        </w:rPr>
        <w:t>Additonally, the EPA has recently fnalized or proposed several regulatory actons establishing new requirements for control of certain air emissions from certain sources, including electricity generaton facilites. In the future, the EPA may also propose and fnalize additonal regulatory actons that may adversely afect our existng generaton facilites or our ability to cost-efectvely develop new generaton facilites. We can provide no assurance that the currently installed emissions control equipment at the natural gas-fueled generaton facilites owned and operated by us will satsfy the requirements under any future EPA or state environmental regulatons. Future federal and/or state regulatory actons could require us to install signifcant additonal emissions control equipment, resultng in potentally material costs of compliance for our generaton units, including capital expenditures, higher operatng and fuel costs, and potental producton curtailments. These costs could have a material adverse efect on our results of operatons and fnancial conditon.</w:t>
      </w:r>
    </w:p>
    <w:p>
      <w:pPr>
        <w:spacing w:after="0" w:line="164" w:lineRule="exact"/>
        <w:rPr>
          <w:sz w:val="20"/>
          <w:szCs w:val="20"/>
          <w:color w:val="auto"/>
        </w:rPr>
      </w:pPr>
    </w:p>
    <w:p>
      <w:pPr>
        <w:spacing w:after="0" w:line="244" w:lineRule="auto"/>
        <w:rPr>
          <w:sz w:val="20"/>
          <w:szCs w:val="20"/>
          <w:color w:val="auto"/>
        </w:rPr>
      </w:pPr>
      <w:r>
        <w:rPr>
          <w:rFonts w:ascii="Calibri" w:cs="Calibri" w:eastAsia="Calibri" w:hAnsi="Calibri"/>
          <w:sz w:val="18"/>
          <w:szCs w:val="18"/>
          <w:color w:val="auto"/>
        </w:rPr>
        <w:t>Existng environmental regulatons could be revised or reinterpreted, new laws and regulatons could be adopted or become applicable to us or our facilites, and future changes in environmental laws and regulatons could occur, including potental regulatory and enforcement developments related to air emissions, all of which could result in signifcant additonal costs beyond those currently contemplated to comply with existng requirements. Any of the foregoing could have a material adverse efect on our results of operatons and fnancial conditon.</w:t>
      </w:r>
    </w:p>
    <w:p>
      <w:pPr>
        <w:spacing w:after="0" w:line="146" w:lineRule="exact"/>
        <w:rPr>
          <w:sz w:val="20"/>
          <w:szCs w:val="20"/>
          <w:color w:val="auto"/>
        </w:rPr>
      </w:pPr>
    </w:p>
    <w:p>
      <w:pPr>
        <w:ind w:right="400"/>
        <w:spacing w:after="0" w:line="227" w:lineRule="auto"/>
        <w:rPr>
          <w:sz w:val="20"/>
          <w:szCs w:val="20"/>
          <w:color w:val="auto"/>
        </w:rPr>
      </w:pPr>
      <w:r>
        <w:rPr>
          <w:rFonts w:ascii="Calibri" w:cs="Calibri" w:eastAsia="Calibri" w:hAnsi="Calibri"/>
          <w:sz w:val="18"/>
          <w:szCs w:val="18"/>
          <w:color w:val="auto"/>
        </w:rPr>
        <w:t>We may not be able to obtain or maintain all required environmental regulatory approvals. For example, in June 2022, NYSDEC denied our applicaton to renew a Title V Air Permit for the contnued operaton of our natural gas power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2" w:name="page53"/>
    <w:bookmarkEnd w:id="52"/>
    <w:p>
      <w:pPr>
        <w:jc w:val="both"/>
        <w:ind w:right="140"/>
        <w:spacing w:after="0" w:line="230" w:lineRule="auto"/>
        <w:rPr>
          <w:sz w:val="20"/>
          <w:szCs w:val="20"/>
          <w:color w:val="auto"/>
        </w:rPr>
      </w:pPr>
      <w:r>
        <w:rPr>
          <w:rFonts w:ascii="Calibri" w:cs="Calibri" w:eastAsia="Calibri" w:hAnsi="Calibri"/>
          <w:sz w:val="18"/>
          <w:szCs w:val="18"/>
          <w:color w:val="auto"/>
        </w:rPr>
        <w:t>generaton facility in the Town of Torrey, New York. In July 2022, we appealed the denial and requested an administratve adjudicatory hearing with NYSDEC, however, in May 2024, our appeal to NYSDEC and request for an adjudicatory hearing were ultmately denied and the June 2022 non-renewal of our Title V Air Permit was afrmed by NYSDEC’s Regional Director for Region 7.</w:t>
      </w:r>
    </w:p>
    <w:p>
      <w:pPr>
        <w:spacing w:after="0" w:line="232" w:lineRule="exact"/>
        <w:rPr>
          <w:sz w:val="20"/>
          <w:szCs w:val="20"/>
          <w:color w:val="auto"/>
        </w:rPr>
      </w:pPr>
    </w:p>
    <w:p>
      <w:pPr>
        <w:ind w:right="60"/>
        <w:spacing w:after="0" w:line="227" w:lineRule="auto"/>
        <w:rPr>
          <w:sz w:val="20"/>
          <w:szCs w:val="20"/>
          <w:color w:val="auto"/>
        </w:rPr>
      </w:pPr>
      <w:r>
        <w:rPr>
          <w:rFonts w:ascii="Calibri" w:cs="Calibri" w:eastAsia="Calibri" w:hAnsi="Calibri"/>
          <w:sz w:val="18"/>
          <w:szCs w:val="18"/>
          <w:color w:val="auto"/>
        </w:rPr>
        <w:t>A hearing was held on October 29, 2024, in the New York State Supreme Court, Yates County, on our previously disclosed TRO Request allowing our New York Facility to contnue operatons pending a fnal, non-appealable outcome regarding our Artcle 78 challenge of NYSDEC’s denial of our Title V Air Permit renewal applicaton fled on August 15, 2024. In connecton with such hearing, we and NYSDEC entered into a stpulaton on the record to extend a stay of NYSDEC's shut down order from November 1, 2024 to November 14, 2024, at such tme we expect the Court to render a decision on our TRO Request, or, alternatvely, our Artcle 78 challenge of the denial of the permit renewal applicaton in total. There can be no assurance that our eforts will be successful. If there is a delay in obtaining any required environmental regulatory approvals, if we fail to obtain, maintain, or comply with any such approval, or if an approval is retroactvely disallowed or adversely modifed, the operaton of our generaton facilites could be stopped, disrupted, curtailed, or modifed or become subject to additonal costs. Any such stoppage, disrupton, curtailment, modifcaton, or additonal costs could have a material adverse efect on our results of operatons and fnancial conditon.</w:t>
      </w:r>
    </w:p>
    <w:p>
      <w:pPr>
        <w:spacing w:after="0" w:line="236" w:lineRule="exact"/>
        <w:rPr>
          <w:sz w:val="20"/>
          <w:szCs w:val="20"/>
          <w:color w:val="auto"/>
        </w:rPr>
      </w:pPr>
    </w:p>
    <w:p>
      <w:pPr>
        <w:ind w:right="40"/>
        <w:spacing w:after="0" w:line="245" w:lineRule="auto"/>
        <w:rPr>
          <w:sz w:val="20"/>
          <w:szCs w:val="20"/>
          <w:color w:val="auto"/>
        </w:rPr>
      </w:pPr>
      <w:r>
        <w:rPr>
          <w:rFonts w:ascii="Calibri" w:cs="Calibri" w:eastAsia="Calibri" w:hAnsi="Calibri"/>
          <w:sz w:val="18"/>
          <w:szCs w:val="18"/>
          <w:color w:val="auto"/>
        </w:rPr>
        <w:t>In additon, we may be responsible for any on-site liabilites associated with the environmental conditon of facilites that we have acquired, leased, developed, or sold, regardless of when the liabilites arose and whether they are now known or unknown. In connecton with certain acquisitons and sales of assets, we may obtain, or be required to provide, indemnifcaton against certain environmental liabilites. Another party could, depending on the circumstances, assert an environmental claim against us or fail to meet its indemnifcaton obligaton to us. Such event could have an adverse efect on our results of operatons and fnancial conditon.</w:t>
      </w:r>
    </w:p>
    <w:p>
      <w:pPr>
        <w:spacing w:after="0" w:line="3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propertes utlized by us in our cryptocurrency datacenter and hostng may experience damage, including damage not covered by insurance.</w:t>
      </w:r>
    </w:p>
    <w:p>
      <w:pPr>
        <w:spacing w:after="0" w:line="109"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Our current cryptocurrency datacenter operatons in the Town of Torrey, New York are, and any future cryptocurrency datacenter operatons that we establish or host will be, subject to a variety of risks relatng to physical conditon and operaton, including:</w:t>
      </w:r>
    </w:p>
    <w:p>
      <w:pPr>
        <w:spacing w:after="0" w:line="93" w:lineRule="exact"/>
        <w:rPr>
          <w:sz w:val="20"/>
          <w:szCs w:val="20"/>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presence of constructon or repair defects or other structural or building damage;</w:t>
      </w:r>
    </w:p>
    <w:p>
      <w:pPr>
        <w:spacing w:after="0" w:line="109"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any noncompliance with or liabilites under applicable environmental, health or safety regulatons or requirements or building permit requirements;</w:t>
      </w:r>
    </w:p>
    <w:p>
      <w:pPr>
        <w:spacing w:after="0" w:line="98" w:lineRule="exact"/>
        <w:rPr>
          <w:rFonts w:ascii="Calibri" w:cs="Calibri" w:eastAsia="Calibri" w:hAnsi="Calibri"/>
          <w:sz w:val="17"/>
          <w:szCs w:val="17"/>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any damage resultng from natural disasters, such as hurricanes, earthquakes, fres, foods and windstorms;</w:t>
      </w:r>
    </w:p>
    <w:p>
      <w:pPr>
        <w:spacing w:after="0" w:line="90"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damage caused by criminal actors, such as cyberatacks, vandalism, sabotage or terrorist atacks;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claims by employees and others for injuries sustained at our propertes.</w:t>
      </w:r>
    </w:p>
    <w:p>
      <w:pPr>
        <w:spacing w:after="0" w:line="204" w:lineRule="exact"/>
        <w:rPr>
          <w:sz w:val="20"/>
          <w:szCs w:val="20"/>
          <w:color w:val="auto"/>
        </w:rPr>
      </w:pPr>
    </w:p>
    <w:p>
      <w:pPr>
        <w:ind w:right="120"/>
        <w:spacing w:after="0" w:line="225" w:lineRule="auto"/>
        <w:rPr>
          <w:sz w:val="20"/>
          <w:szCs w:val="20"/>
          <w:color w:val="auto"/>
        </w:rPr>
      </w:pPr>
      <w:r>
        <w:rPr>
          <w:rFonts w:ascii="Calibri" w:cs="Calibri" w:eastAsia="Calibri" w:hAnsi="Calibri"/>
          <w:sz w:val="18"/>
          <w:szCs w:val="18"/>
          <w:color w:val="auto"/>
        </w:rPr>
        <w:t>Any of these could render our cryptocurrency datacenter, hostng and/or power generaton operatons inoperable, temporarily, or permanently, and the potental impact on our business is currently magnifed because we operate the majority of our cryptocurrency datacenter operatons from a single locaton. The security and other measures we take to protect against these risks may be insufcient or unavailable. Apart from $15 million in coverage of our bitcoin mining equipment, which is subject to certain deductbles, our power plant property is not insured by any third party insurance provider and our ability to self-insure may not be adequate to cover the losses we sufer as a result of the aforementoned risks, which could materially adversely impact our results of operatons and fnancial conditon.</w:t>
      </w:r>
    </w:p>
    <w:p>
      <w:pPr>
        <w:spacing w:after="0" w:line="222" w:lineRule="exact"/>
        <w:rPr>
          <w:sz w:val="20"/>
          <w:szCs w:val="20"/>
          <w:color w:val="auto"/>
        </w:rPr>
      </w:pPr>
    </w:p>
    <w:p>
      <w:pPr>
        <w:jc w:val="both"/>
        <w:ind w:right="360"/>
        <w:spacing w:after="0" w:line="242" w:lineRule="auto"/>
        <w:rPr>
          <w:sz w:val="20"/>
          <w:szCs w:val="20"/>
          <w:color w:val="auto"/>
        </w:rPr>
      </w:pPr>
      <w:r>
        <w:rPr>
          <w:rFonts w:ascii="Calibri" w:cs="Calibri" w:eastAsia="Calibri" w:hAnsi="Calibri"/>
          <w:sz w:val="17"/>
          <w:szCs w:val="17"/>
          <w:b w:val="1"/>
          <w:bCs w:val="1"/>
          <w:i w:val="1"/>
          <w:iCs w:val="1"/>
          <w:color w:val="auto"/>
        </w:rPr>
        <w:t>Our issuance of a signifcant number of additonal shares of Class A common stock in connecton with any future fnancings, acquisitons, investments, commercial arrangements, under our stock incentve plans, or otherwise will dilute all other shareholders and our stock price could decline as a result.</w:t>
      </w:r>
    </w:p>
    <w:p>
      <w:pPr>
        <w:spacing w:after="0" w:line="203"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color w:val="auto"/>
        </w:rPr>
        <w:t>In July 2024, we entered into the Common Stock Purchase Agreement with B. Riley Principal II pursuant to which we issued an aggregate of 7,300,000 shares of Class A common stock for a 36-month period beginning on the Efectve Date. We issued 424,156 shares under the Common Stock Purchase Agreement through the date of fling.</w:t>
      </w:r>
    </w:p>
    <w:p>
      <w:pPr>
        <w:spacing w:after="0" w:line="205"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In 2022, we entered into an At Market Issuance Sales Agreement with B. Riley Securites, pursuant to which we issued an aggregate of 4,167,463 shares of Class A common stock through the date of fling.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ind w:right="40"/>
        <w:spacing w:after="0" w:line="227" w:lineRule="auto"/>
        <w:rPr>
          <w:sz w:val="20"/>
          <w:szCs w:val="20"/>
          <w:color w:val="auto"/>
        </w:rPr>
      </w:pPr>
      <w:r>
        <w:rPr>
          <w:rFonts w:ascii="Calibri" w:cs="Calibri" w:eastAsia="Calibri" w:hAnsi="Calibri"/>
          <w:sz w:val="18"/>
          <w:szCs w:val="18"/>
          <w:color w:val="auto"/>
        </w:rPr>
        <w:t>In December 2023, we entered into the Equity Exchange Agreement with Infnite Reality under which we issued 180,000 shares of Class A common stock, and a 1-year warrant to purchase 180,000 shares of Class A common stock.</w:t>
      </w:r>
    </w:p>
    <w:p>
      <w:pPr>
        <w:spacing w:after="0" w:line="219"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In February 2024, we entered into the Armistce SPA, pursuant to which we issued 450,300 shares of Class A common stock as SPA Shares, the Pre-Funded Warrant to purchase 810,205 shares of Class A common stock, which has been exercised in full, and the Armistce Warrant to purchase up to 1,260,505 shares of Class A common stock. We may contnue to raise capital by selling shares of Class A common stock, or instruments convertble or exercisable for Class A common stock, through future equity oferings.</w:t>
      </w:r>
    </w:p>
    <w:p>
      <w:pPr>
        <w:spacing w:after="0" w:line="232" w:lineRule="exact"/>
        <w:rPr>
          <w:sz w:val="20"/>
          <w:szCs w:val="20"/>
          <w:color w:val="auto"/>
        </w:rPr>
      </w:pPr>
    </w:p>
    <w:p>
      <w:pPr>
        <w:ind w:right="200"/>
        <w:spacing w:after="0" w:line="230" w:lineRule="auto"/>
        <w:rPr>
          <w:sz w:val="20"/>
          <w:szCs w:val="20"/>
          <w:color w:val="auto"/>
        </w:rPr>
      </w:pPr>
      <w:r>
        <w:rPr>
          <w:rFonts w:ascii="Calibri" w:cs="Calibri" w:eastAsia="Calibri" w:hAnsi="Calibri"/>
          <w:sz w:val="18"/>
          <w:szCs w:val="18"/>
          <w:color w:val="auto"/>
        </w:rPr>
        <w:t>In additon, we have issued equity compensaton pursuant to our 2021 Equity Plan, as amended and restated, and certain inducement grants, and shares of Class A common stock in exchange for our debt pursuant to certain privately negotated exchange agreements, as described under Note 16, “Subsequent Events—Exchange Agreements".</w:t>
      </w:r>
    </w:p>
    <w:p>
      <w:pPr>
        <w:spacing w:after="0" w:line="232"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cannot predict what efect, if any, actual or potental future sales of our Class A common stock will have on the market price of our Class A common stock. Sales of substantal amounts of our Class A common stock in the public market, or the percepton that such sales could occur, could materially adversely afect the market price of our Class A common stock.</w:t>
      </w:r>
    </w:p>
    <w:p>
      <w:pPr>
        <w:spacing w:after="0" w:line="232" w:lineRule="exact"/>
        <w:rPr>
          <w:sz w:val="20"/>
          <w:szCs w:val="20"/>
          <w:color w:val="auto"/>
        </w:rPr>
      </w:pPr>
    </w:p>
    <w:p>
      <w:pPr>
        <w:jc w:val="both"/>
        <w:ind w:right="280"/>
        <w:spacing w:after="0" w:line="230" w:lineRule="auto"/>
        <w:rPr>
          <w:sz w:val="20"/>
          <w:szCs w:val="20"/>
          <w:color w:val="auto"/>
        </w:rPr>
      </w:pPr>
      <w:r>
        <w:rPr>
          <w:rFonts w:ascii="Calibri" w:cs="Calibri" w:eastAsia="Calibri" w:hAnsi="Calibri"/>
          <w:sz w:val="18"/>
          <w:szCs w:val="18"/>
          <w:b w:val="1"/>
          <w:bCs w:val="1"/>
          <w:i w:val="1"/>
          <w:iCs w:val="1"/>
          <w:color w:val="auto"/>
        </w:rPr>
        <w:t>A signifcant porton of our total outstanding shares of Class A common stock are or will be registered for resale or will become eligible for resale under Rule 144, and may be sold into the market in the future. This could cause the market price of our Class A common stock to drop signifcantly, even if our business is doing well.</w:t>
      </w:r>
    </w:p>
    <w:p>
      <w:pPr>
        <w:spacing w:after="0" w:line="232"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Sales of a substantal number of our Class A common stock could occur at any tme. These sales, or the percepton in the market that the holders of a large number of shares intend to sell shares, could reduce the market price of our Class A common stock.</w:t>
      </w:r>
    </w:p>
    <w:p>
      <w:pPr>
        <w:spacing w:after="0" w:line="246"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As of the date of this fling, we have registered in a registraton statement on Form S-1 up to 7,300,000 shares of Class A common stock issuable pursuant to the Common Stock Purchase Agreement that may be resold from tme to tme, over a 36-month period beginning on the Efectve Date, by B. Riley Principal II, in a registraton statement on Form S-8 up to 307,684 shares of Class A common stock issuable upon the vestng and exercise of non-qualifed stock opton inducement grants, in two registraton statements on Form S-8 an aggregate of up to 1,324,532 shares of Class A common stock that may be delivered from tme to tme pursuant to past and future awards under our 2021 Equity Plan, as amended and restated, and in a registraton statement on Form S-3 up to 2,521,010 shares of Class A common stock issuable pursuant to the SPA that may be resold from tme to tme by Armistce.</w:t>
      </w:r>
    </w:p>
    <w:p>
      <w:pPr>
        <w:spacing w:after="0" w:line="249" w:lineRule="exact"/>
        <w:rPr>
          <w:sz w:val="20"/>
          <w:szCs w:val="20"/>
          <w:color w:val="auto"/>
        </w:rPr>
      </w:pPr>
    </w:p>
    <w:p>
      <w:pPr>
        <w:ind w:right="300"/>
        <w:spacing w:after="0" w:line="242" w:lineRule="auto"/>
        <w:rPr>
          <w:sz w:val="20"/>
          <w:szCs w:val="20"/>
          <w:color w:val="auto"/>
        </w:rPr>
      </w:pPr>
      <w:r>
        <w:rPr>
          <w:rFonts w:ascii="Calibri" w:cs="Calibri" w:eastAsia="Calibri" w:hAnsi="Calibri"/>
          <w:sz w:val="17"/>
          <w:szCs w:val="17"/>
          <w:color w:val="auto"/>
        </w:rPr>
        <w:t>As the shares of Class A common stock registered or to be registered pursuant to these registraton statements can be freely sold in the public market, the market price of our Class A common stock could decline if the stockholders sell their shares or are perceived by the market as intending to sell them.</w:t>
      </w:r>
    </w:p>
    <w:p>
      <w:pPr>
        <w:spacing w:after="0" w:line="230" w:lineRule="exact"/>
        <w:rPr>
          <w:sz w:val="20"/>
          <w:szCs w:val="20"/>
          <w:color w:val="auto"/>
        </w:rPr>
      </w:pPr>
    </w:p>
    <w:p>
      <w:pPr>
        <w:ind w:right="80"/>
        <w:spacing w:after="0" w:line="230" w:lineRule="auto"/>
        <w:rPr>
          <w:sz w:val="20"/>
          <w:szCs w:val="20"/>
          <w:color w:val="auto"/>
        </w:rPr>
      </w:pPr>
      <w:r>
        <w:rPr>
          <w:rFonts w:ascii="Calibri" w:cs="Calibri" w:eastAsia="Calibri" w:hAnsi="Calibri"/>
          <w:sz w:val="18"/>
          <w:szCs w:val="18"/>
          <w:color w:val="auto"/>
        </w:rPr>
        <w:t>In additon, we have issued 180,000 shares of Class A common stock and a 1-year warrant to purchase 180,000 shares of Class A common stock to Infnite Reality as restricted securites in private placements under Secton 4(a)(2) of the Securites Act, which shares became eligible for resale under Rule 144 under the Securites Act afer a six-month holding period.</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Other Informaton</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b w:val="1"/>
          <w:bCs w:val="1"/>
          <w:color w:val="auto"/>
        </w:rPr>
        <w:t>Item 6. Exhibits</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exhibits listed on the Exhibit Index are fled or furnished as part of this Quarterly Report.</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80" w:type="dxa"/>
            <w:vAlign w:val="bottom"/>
            <w:gridSpan w:val="12"/>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1460" w:type="dxa"/>
            <w:vAlign w:val="bottom"/>
          </w:tcPr>
          <w:p>
            <w:pPr>
              <w:spacing w:after="0" w:line="203" w:lineRule="exact"/>
              <w:rPr>
                <w:sz w:val="20"/>
                <w:szCs w:val="20"/>
                <w:color w:val="auto"/>
              </w:rPr>
            </w:pPr>
            <w:r>
              <w:rPr>
                <w:rFonts w:ascii="Calibri" w:cs="Calibri" w:eastAsia="Calibri" w:hAnsi="Calibri"/>
                <w:sz w:val="18"/>
                <w:szCs w:val="18"/>
                <w:color w:val="auto"/>
              </w:rPr>
              <w:t>10.1</w:t>
            </w:r>
          </w:p>
        </w:tc>
        <w:tc>
          <w:tcPr>
            <w:tcW w:w="9100" w:type="dxa"/>
            <w:vAlign w:val="bottom"/>
            <w:tcBorders>
              <w:bottom w:val="single" w:sz="8" w:color="0000FF"/>
            </w:tcBorders>
            <w:gridSpan w:val="8"/>
          </w:tcPr>
          <w:p>
            <w:pPr>
              <w:spacing w:after="0" w:line="203" w:lineRule="exact"/>
              <w:rPr>
                <w:rFonts w:ascii="Calibri" w:cs="Calibri" w:eastAsia="Calibri" w:hAnsi="Calibri"/>
                <w:sz w:val="18"/>
                <w:szCs w:val="18"/>
                <w:color w:val="0000FF"/>
                <w:w w:val="97"/>
              </w:rPr>
            </w:pPr>
            <w:hyperlink r:id="rId67">
              <w:r>
                <w:rPr>
                  <w:rFonts w:ascii="Calibri" w:cs="Calibri" w:eastAsia="Calibri" w:hAnsi="Calibri"/>
                  <w:sz w:val="18"/>
                  <w:szCs w:val="18"/>
                  <w:color w:val="0000FF"/>
                  <w:w w:val="97"/>
                </w:rPr>
                <w:t>Common Stock Purchase Agreement, dated as of July 30, 2024, by and between Greenidge Generaton Holdings Inc. and B. Riley</w:t>
              </w:r>
            </w:hyperlink>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720" w:type="dxa"/>
            <w:vAlign w:val="bottom"/>
            <w:tcBorders>
              <w:bottom w:val="single" w:sz="8" w:color="0000FF"/>
            </w:tcBorders>
            <w:gridSpan w:val="6"/>
          </w:tcPr>
          <w:p>
            <w:pPr>
              <w:spacing w:after="0" w:line="196" w:lineRule="exact"/>
              <w:rPr>
                <w:rFonts w:ascii="Calibri" w:cs="Calibri" w:eastAsia="Calibri" w:hAnsi="Calibri"/>
                <w:sz w:val="18"/>
                <w:szCs w:val="18"/>
                <w:color w:val="0000FF"/>
                <w:w w:val="97"/>
              </w:rPr>
            </w:pPr>
            <w:hyperlink r:id="rId67">
              <w:r>
                <w:rPr>
                  <w:rFonts w:ascii="Calibri" w:cs="Calibri" w:eastAsia="Calibri" w:hAnsi="Calibri"/>
                  <w:sz w:val="18"/>
                  <w:szCs w:val="18"/>
                  <w:color w:val="0000FF"/>
                  <w:w w:val="97"/>
                </w:rPr>
                <w:t>Principal Capital II, LLC (incorporated by reference to Exhibit 10.1 to the Current Report on Form 8-K fled on July 31, 2024).</w:t>
              </w:r>
            </w:hyperlink>
          </w:p>
        </w:tc>
        <w:tc>
          <w:tcPr>
            <w:tcW w:w="1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Calibri" w:cs="Calibri" w:eastAsia="Calibri" w:hAnsi="Calibri"/>
                <w:sz w:val="18"/>
                <w:szCs w:val="18"/>
                <w:color w:val="auto"/>
              </w:rPr>
              <w:t>10.2</w:t>
            </w:r>
          </w:p>
        </w:tc>
        <w:tc>
          <w:tcPr>
            <w:tcW w:w="9320" w:type="dxa"/>
            <w:vAlign w:val="bottom"/>
            <w:tcBorders>
              <w:bottom w:val="single" w:sz="8" w:color="0000FF"/>
            </w:tcBorders>
            <w:gridSpan w:val="9"/>
          </w:tcPr>
          <w:p>
            <w:pPr>
              <w:spacing w:after="0"/>
              <w:rPr>
                <w:rFonts w:ascii="Calibri" w:cs="Calibri" w:eastAsia="Calibri" w:hAnsi="Calibri"/>
                <w:sz w:val="18"/>
                <w:szCs w:val="18"/>
                <w:color w:val="0000FF"/>
                <w:w w:val="97"/>
              </w:rPr>
            </w:pPr>
            <w:hyperlink r:id="rId68">
              <w:r>
                <w:rPr>
                  <w:rFonts w:ascii="Calibri" w:cs="Calibri" w:eastAsia="Calibri" w:hAnsi="Calibri"/>
                  <w:sz w:val="18"/>
                  <w:szCs w:val="18"/>
                  <w:color w:val="0000FF"/>
                  <w:w w:val="97"/>
                </w:rPr>
                <w:t>Registraton Rights Agreement, dated as of July 30, 2024, by and between Greenidge Generaton Holdings Inc. and B. Riley Principal</w:t>
              </w:r>
            </w:hyperlink>
          </w:p>
        </w:tc>
        <w:tc>
          <w:tcPr>
            <w:tcW w:w="4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740" w:type="dxa"/>
            <w:vAlign w:val="bottom"/>
            <w:gridSpan w:val="13"/>
          </w:tcPr>
          <w:p>
            <w:pPr>
              <w:spacing w:after="0" w:line="196" w:lineRule="exact"/>
              <w:rPr>
                <w:rFonts w:ascii="Calibri" w:cs="Calibri" w:eastAsia="Calibri" w:hAnsi="Calibri"/>
                <w:sz w:val="18"/>
                <w:szCs w:val="18"/>
                <w:color w:val="0000FF"/>
              </w:rPr>
            </w:pPr>
            <w:hyperlink r:id="rId68">
              <w:r>
                <w:rPr>
                  <w:rFonts w:ascii="Calibri" w:cs="Calibri" w:eastAsia="Calibri" w:hAnsi="Calibri"/>
                  <w:sz w:val="18"/>
                  <w:szCs w:val="18"/>
                  <w:color w:val="0000FF"/>
                </w:rPr>
                <w:t>Capital II, LLC (incorporated by reference to Exhibit 10.2 to the Current Report on Form 8-K fled on July 31, 2024).</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Calibri" w:cs="Calibri" w:eastAsia="Calibri" w:hAnsi="Calibri"/>
                <w:sz w:val="18"/>
                <w:szCs w:val="18"/>
                <w:color w:val="auto"/>
              </w:rPr>
              <w:t>10.3</w:t>
            </w:r>
          </w:p>
        </w:tc>
        <w:tc>
          <w:tcPr>
            <w:tcW w:w="86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vMerge w:val="continue"/>
          </w:tcPr>
          <w:p>
            <w:pPr>
              <w:spacing w:after="0"/>
              <w:rPr>
                <w:sz w:val="21"/>
                <w:szCs w:val="21"/>
                <w:color w:val="auto"/>
              </w:rPr>
            </w:pPr>
          </w:p>
        </w:tc>
        <w:tc>
          <w:tcPr>
            <w:tcW w:w="9740" w:type="dxa"/>
            <w:vAlign w:val="bottom"/>
            <w:gridSpan w:val="13"/>
          </w:tcPr>
          <w:p>
            <w:pPr>
              <w:spacing w:after="0"/>
              <w:rPr>
                <w:rFonts w:ascii="Calibri" w:cs="Calibri" w:eastAsia="Calibri" w:hAnsi="Calibri"/>
                <w:sz w:val="18"/>
                <w:szCs w:val="18"/>
                <w:color w:val="0000FF"/>
              </w:rPr>
            </w:pPr>
            <w:hyperlink r:id="rId69">
              <w:r>
                <w:rPr>
                  <w:rFonts w:ascii="Calibri" w:cs="Calibri" w:eastAsia="Calibri" w:hAnsi="Calibri"/>
                  <w:sz w:val="18"/>
                  <w:szCs w:val="18"/>
                  <w:color w:val="0000FF"/>
                </w:rPr>
                <w:t>Exchange Agreement, dated as of October 24, 2024, between Greenidge Generaton Holdings Inc. and the signatory thereto</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4"/>
          </w:tcPr>
          <w:p>
            <w:pPr>
              <w:spacing w:after="0" w:line="196" w:lineRule="exact"/>
              <w:rPr>
                <w:rFonts w:ascii="Calibri" w:cs="Calibri" w:eastAsia="Calibri" w:hAnsi="Calibri"/>
                <w:sz w:val="18"/>
                <w:szCs w:val="18"/>
                <w:color w:val="0000FF"/>
                <w:w w:val="97"/>
              </w:rPr>
            </w:pPr>
            <w:hyperlink r:id="rId69">
              <w:r>
                <w:rPr>
                  <w:rFonts w:ascii="Calibri" w:cs="Calibri" w:eastAsia="Calibri" w:hAnsi="Calibri"/>
                  <w:sz w:val="18"/>
                  <w:szCs w:val="18"/>
                  <w:color w:val="0000FF"/>
                  <w:w w:val="97"/>
                </w:rPr>
                <w:t>(incorporated by reference to Exhibit 10.1 to the Current Report on Form 8-K fled on October 28, 2024).</w:t>
              </w:r>
            </w:hyperlink>
          </w:p>
        </w:tc>
        <w:tc>
          <w:tcPr>
            <w:tcW w:w="1380" w:type="dxa"/>
            <w:vAlign w:val="bottom"/>
            <w:tcBorders>
              <w:top w:val="single" w:sz="8" w:color="0000FF"/>
            </w:tcBorders>
            <w:gridSpan w:val="3"/>
          </w:tcPr>
          <w:p>
            <w:pPr>
              <w:spacing w:after="0"/>
              <w:rPr>
                <w:sz w:val="17"/>
                <w:szCs w:val="17"/>
                <w:color w:val="auto"/>
              </w:rPr>
            </w:pPr>
          </w:p>
        </w:tc>
        <w:tc>
          <w:tcPr>
            <w:tcW w:w="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Calibri" w:cs="Calibri" w:eastAsia="Calibri" w:hAnsi="Calibri"/>
                <w:sz w:val="18"/>
                <w:szCs w:val="18"/>
                <w:color w:val="auto"/>
              </w:rPr>
              <w:t>31.1</w:t>
            </w:r>
          </w:p>
        </w:tc>
        <w:tc>
          <w:tcPr>
            <w:tcW w:w="9740" w:type="dxa"/>
            <w:vAlign w:val="bottom"/>
            <w:tcBorders>
              <w:bottom w:val="single" w:sz="8" w:color="0000FF"/>
            </w:tcBorders>
            <w:gridSpan w:val="13"/>
          </w:tcPr>
          <w:p>
            <w:pPr>
              <w:spacing w:after="0"/>
              <w:rPr>
                <w:sz w:val="20"/>
                <w:szCs w:val="20"/>
                <w:color w:val="auto"/>
              </w:rPr>
            </w:pPr>
            <w:r>
              <w:rPr>
                <w:rFonts w:ascii="Calibri" w:cs="Calibri" w:eastAsia="Calibri" w:hAnsi="Calibri"/>
                <w:sz w:val="18"/>
                <w:szCs w:val="18"/>
                <w:color w:val="0000FF"/>
                <w:w w:val="99"/>
              </w:rPr>
              <w:t>Certfcaton of Principal Executve Ofcer Pursuant to Rules 13a-14(a) and 15d-14(a) of the Securites Exchange Act of 1934, as amended,</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060" w:type="dxa"/>
            <w:vAlign w:val="bottom"/>
            <w:tcBorders>
              <w:bottom w:val="single" w:sz="8" w:color="0000FF"/>
            </w:tcBorders>
            <w:gridSpan w:val="3"/>
          </w:tcPr>
          <w:p>
            <w:pPr>
              <w:spacing w:after="0" w:line="196" w:lineRule="exact"/>
              <w:rPr>
                <w:sz w:val="20"/>
                <w:szCs w:val="20"/>
                <w:color w:val="auto"/>
              </w:rPr>
            </w:pPr>
            <w:r>
              <w:rPr>
                <w:rFonts w:ascii="Calibri" w:cs="Calibri" w:eastAsia="Calibri" w:hAnsi="Calibri"/>
                <w:sz w:val="18"/>
                <w:szCs w:val="18"/>
                <w:color w:val="0000FF"/>
                <w:w w:val="97"/>
              </w:rPr>
              <w:t>as Adopted Pursuant to Secton 302 of the Sarbanes-Oxley Act of 2002.</w:t>
            </w:r>
          </w:p>
        </w:tc>
        <w:tc>
          <w:tcPr>
            <w:tcW w:w="4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Calibri" w:cs="Calibri" w:eastAsia="Calibri" w:hAnsi="Calibri"/>
                <w:sz w:val="18"/>
                <w:szCs w:val="18"/>
                <w:color w:val="auto"/>
              </w:rPr>
              <w:t>31.2</w:t>
            </w:r>
          </w:p>
        </w:tc>
        <w:tc>
          <w:tcPr>
            <w:tcW w:w="9700" w:type="dxa"/>
            <w:vAlign w:val="bottom"/>
            <w:tcBorders>
              <w:bottom w:val="single" w:sz="8" w:color="0000FF"/>
            </w:tcBorders>
            <w:gridSpan w:val="12"/>
          </w:tcPr>
          <w:p>
            <w:pPr>
              <w:spacing w:after="0"/>
              <w:rPr>
                <w:sz w:val="20"/>
                <w:szCs w:val="20"/>
                <w:color w:val="auto"/>
              </w:rPr>
            </w:pPr>
            <w:r>
              <w:rPr>
                <w:rFonts w:ascii="Calibri" w:cs="Calibri" w:eastAsia="Calibri" w:hAnsi="Calibri"/>
                <w:sz w:val="18"/>
                <w:szCs w:val="18"/>
                <w:color w:val="0000FF"/>
                <w:w w:val="99"/>
              </w:rPr>
              <w:t>Certfcaton of Principal Financial Ofcer Pursuant to Rules 13a-14(a) and 15d-14(a) of the Securites Exchange Act of 1934, as amended,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040" w:type="dxa"/>
            <w:vAlign w:val="bottom"/>
            <w:tcBorders>
              <w:bottom w:val="single" w:sz="8" w:color="0000FF"/>
            </w:tcBorders>
            <w:gridSpan w:val="2"/>
          </w:tcPr>
          <w:p>
            <w:pPr>
              <w:spacing w:after="0" w:line="196" w:lineRule="exact"/>
              <w:rPr>
                <w:sz w:val="20"/>
                <w:szCs w:val="20"/>
                <w:color w:val="auto"/>
              </w:rPr>
            </w:pPr>
            <w:r>
              <w:rPr>
                <w:rFonts w:ascii="Calibri" w:cs="Calibri" w:eastAsia="Calibri" w:hAnsi="Calibri"/>
                <w:sz w:val="18"/>
                <w:szCs w:val="18"/>
                <w:color w:val="0000FF"/>
                <w:w w:val="97"/>
              </w:rPr>
              <w:t>as Adopted Pursuant to Secton 302 of the Sarbanes-Oxley Act of 2002.</w:t>
            </w:r>
          </w:p>
        </w:tc>
        <w:tc>
          <w:tcPr>
            <w:tcW w:w="4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Calibri" w:cs="Calibri" w:eastAsia="Calibri" w:hAnsi="Calibri"/>
                <w:sz w:val="18"/>
                <w:szCs w:val="18"/>
                <w:color w:val="auto"/>
              </w:rPr>
              <w:t>32.1*</w:t>
            </w:r>
          </w:p>
        </w:tc>
        <w:tc>
          <w:tcPr>
            <w:tcW w:w="9740" w:type="dxa"/>
            <w:vAlign w:val="bottom"/>
            <w:gridSpan w:val="13"/>
          </w:tcPr>
          <w:p>
            <w:pPr>
              <w:spacing w:after="0"/>
              <w:rPr>
                <w:sz w:val="20"/>
                <w:szCs w:val="20"/>
                <w:color w:val="auto"/>
              </w:rPr>
            </w:pPr>
            <w:r>
              <w:rPr>
                <w:rFonts w:ascii="Calibri" w:cs="Calibri" w:eastAsia="Calibri" w:hAnsi="Calibri"/>
                <w:sz w:val="18"/>
                <w:szCs w:val="18"/>
                <w:color w:val="0000FF"/>
              </w:rPr>
              <w:t>Certfcaton of Principal Executve Ofcer Pursuant to 18 U.S.C. Secton 1350, as Adopted Pursuant to Secton 906 of the Sarbanes-Oxley</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Calibri" w:cs="Calibri" w:eastAsia="Calibri" w:hAnsi="Calibri"/>
                <w:sz w:val="18"/>
                <w:szCs w:val="18"/>
                <w:color w:val="0000FF"/>
                <w:w w:val="95"/>
              </w:rPr>
              <w:t>Act of 2002.</w:t>
            </w:r>
          </w:p>
        </w:tc>
        <w:tc>
          <w:tcPr>
            <w:tcW w:w="8800" w:type="dxa"/>
            <w:vAlign w:val="bottom"/>
            <w:tcBorders>
              <w:top w:val="single" w:sz="8" w:color="0000FF"/>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Calibri" w:cs="Calibri" w:eastAsia="Calibri" w:hAnsi="Calibri"/>
                <w:sz w:val="18"/>
                <w:szCs w:val="18"/>
                <w:color w:val="auto"/>
              </w:rPr>
              <w:t>32.2*</w:t>
            </w:r>
          </w:p>
        </w:tc>
        <w:tc>
          <w:tcPr>
            <w:tcW w:w="9620" w:type="dxa"/>
            <w:vAlign w:val="bottom"/>
            <w:tcBorders>
              <w:bottom w:val="single" w:sz="8" w:color="0000FF"/>
            </w:tcBorders>
            <w:gridSpan w:val="10"/>
          </w:tcPr>
          <w:p>
            <w:pPr>
              <w:spacing w:after="0"/>
              <w:rPr>
                <w:sz w:val="20"/>
                <w:szCs w:val="20"/>
                <w:color w:val="auto"/>
              </w:rPr>
            </w:pPr>
            <w:r>
              <w:rPr>
                <w:rFonts w:ascii="Calibri" w:cs="Calibri" w:eastAsia="Calibri" w:hAnsi="Calibri"/>
                <w:sz w:val="18"/>
                <w:szCs w:val="18"/>
                <w:color w:val="0000FF"/>
                <w:w w:val="99"/>
              </w:rPr>
              <w:t>Certfcaton of Principal Financial Ofcer Pursuant to 18 U.S.C. Secton 1350, as Adopted Pursuant to Secton 906 of the Sarbanes-Oxley</w:t>
            </w:r>
          </w:p>
        </w:tc>
        <w:tc>
          <w:tcPr>
            <w:tcW w:w="1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Calibri" w:cs="Calibri" w:eastAsia="Calibri" w:hAnsi="Calibri"/>
                <w:sz w:val="18"/>
                <w:szCs w:val="18"/>
                <w:color w:val="0000FF"/>
                <w:w w:val="95"/>
              </w:rPr>
              <w:t>Act of 2002.</w:t>
            </w:r>
          </w:p>
        </w:tc>
        <w:tc>
          <w:tcPr>
            <w:tcW w:w="8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80" w:right="80" w:hanging="1454"/>
        <w:spacing w:after="0" w:line="235" w:lineRule="auto"/>
        <w:tabs>
          <w:tab w:leader="none" w:pos="14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Interactve data fles pursuant to Rule 405 of Regulaton S-T: (i) the Balance Sheets, (ii) the Statements of Operatons, (iii) the Statements of Cash Flows and (iv) the Notes to Unaudited Condensed Interim Consolidated Financial Statements.</w:t>
      </w:r>
    </w:p>
    <w:p>
      <w:pPr>
        <w:spacing w:after="0" w:line="37" w:lineRule="exact"/>
        <w:rPr>
          <w:sz w:val="20"/>
          <w:szCs w:val="20"/>
          <w:color w:val="auto"/>
        </w:rPr>
      </w:pPr>
    </w:p>
    <w:p>
      <w:pPr>
        <w:ind w:left="20"/>
        <w:spacing w:after="0"/>
        <w:tabs>
          <w:tab w:leader="none" w:pos="1460" w:val="left"/>
        </w:tabs>
        <w:rPr>
          <w:sz w:val="20"/>
          <w:szCs w:val="20"/>
          <w:color w:val="auto"/>
        </w:rPr>
      </w:pPr>
      <w:r>
        <w:rPr>
          <w:rFonts w:ascii="Calibri" w:cs="Calibri" w:eastAsia="Calibri" w:hAnsi="Calibri"/>
          <w:sz w:val="18"/>
          <w:szCs w:val="18"/>
          <w:color w:val="auto"/>
        </w:rPr>
        <w:t>104</w:t>
      </w:r>
      <w:r>
        <w:rPr>
          <w:sz w:val="20"/>
          <w:szCs w:val="20"/>
          <w:color w:val="auto"/>
        </w:rPr>
        <w:tab/>
      </w:r>
      <w:r>
        <w:rPr>
          <w:rFonts w:ascii="Calibri" w:cs="Calibri" w:eastAsia="Calibri" w:hAnsi="Calibri"/>
          <w:sz w:val="18"/>
          <w:szCs w:val="18"/>
          <w:color w:val="auto"/>
        </w:rPr>
        <w:t>Cover Page Interactve Data File (formated as Inline XBRL and contained in Exhibit 101).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1" w:lineRule="exact"/>
        <w:rPr>
          <w:sz w:val="20"/>
          <w:szCs w:val="20"/>
          <w:color w:val="auto"/>
        </w:rPr>
      </w:pPr>
    </w:p>
    <w:p>
      <w:pPr>
        <w:ind w:left="480" w:hanging="454"/>
        <w:spacing w:after="0"/>
        <w:tabs>
          <w:tab w:leader="none" w:pos="48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5" w:name="page56"/>
    <w:bookmarkEnd w:id="55"/>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10" w:lineRule="exact"/>
        <w:rPr>
          <w:sz w:val="20"/>
          <w:szCs w:val="20"/>
          <w:color w:val="auto"/>
        </w:rPr>
      </w:pPr>
    </w:p>
    <w:p>
      <w:pPr>
        <w:ind w:left="20"/>
        <w:spacing w:after="0"/>
        <w:tabs>
          <w:tab w:leader="none" w:pos="6460" w:val="left"/>
          <w:tab w:leader="none" w:pos="850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Jordan Kovler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3" w:lineRule="exact"/>
        <w:rPr>
          <w:sz w:val="20"/>
          <w:szCs w:val="20"/>
          <w:color w:val="auto"/>
        </w:rPr>
      </w:pPr>
    </w:p>
    <w:p>
      <w:pPr>
        <w:ind w:left="20"/>
        <w:spacing w:after="0"/>
        <w:tabs>
          <w:tab w:leader="none" w:pos="6460" w:val="left"/>
          <w:tab w:leader="none" w:pos="83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Christian Mulvihill</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320" w:top="1143" w:right="599" w:bottom="1440" w:gutter="0" w:footer="0" w:header="0"/>
        </w:sectPr>
      </w:pPr>
    </w:p>
    <w:bookmarkStart w:id="56" w:name="page57"/>
    <w:bookmarkEnd w:id="56"/>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AMENDED, 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Jordan Kovler, certfy that:</w:t>
      </w:r>
    </w:p>
    <w:p>
      <w:pPr>
        <w:spacing w:after="0" w:line="109" w:lineRule="exact"/>
        <w:rPr>
          <w:sz w:val="20"/>
          <w:szCs w:val="20"/>
          <w:color w:val="auto"/>
        </w:rPr>
      </w:pPr>
    </w:p>
    <w:p>
      <w:pPr>
        <w:ind w:left="660" w:right="300" w:hanging="652"/>
        <w:spacing w:after="0" w:line="235" w:lineRule="auto"/>
        <w:tabs>
          <w:tab w:leader="none" w:pos="64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of Greenidge Generaton Holdings Inc. (the “Company”) on Form 10-Q for the period ended September 30, 2024;</w:t>
      </w:r>
    </w:p>
    <w:p>
      <w:pPr>
        <w:spacing w:after="0" w:line="109" w:lineRule="exact"/>
        <w:rPr>
          <w:rFonts w:ascii="Calibri" w:cs="Calibri" w:eastAsia="Calibri" w:hAnsi="Calibri"/>
          <w:sz w:val="18"/>
          <w:szCs w:val="18"/>
          <w:color w:val="auto"/>
        </w:rPr>
      </w:pPr>
    </w:p>
    <w:p>
      <w:pPr>
        <w:jc w:val="both"/>
        <w:ind w:left="660" w:right="140" w:hanging="652"/>
        <w:spacing w:after="0" w:line="235" w:lineRule="auto"/>
        <w:tabs>
          <w:tab w:leader="none" w:pos="64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660" w:right="220" w:hanging="652"/>
        <w:spacing w:after="0" w:line="235" w:lineRule="auto"/>
        <w:tabs>
          <w:tab w:leader="none" w:pos="64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660" w:right="320" w:hanging="652"/>
        <w:spacing w:after="0" w:line="235" w:lineRule="auto"/>
        <w:tabs>
          <w:tab w:leader="none" w:pos="64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109" w:lineRule="exact"/>
        <w:rPr>
          <w:rFonts w:ascii="Calibri" w:cs="Calibri" w:eastAsia="Calibri" w:hAnsi="Calibri"/>
          <w:sz w:val="18"/>
          <w:szCs w:val="18"/>
          <w:color w:val="auto"/>
        </w:rPr>
      </w:pPr>
    </w:p>
    <w:p>
      <w:pPr>
        <w:ind w:left="1300" w:right="220" w:hanging="644"/>
        <w:spacing w:after="0" w:line="235" w:lineRule="auto"/>
        <w:tabs>
          <w:tab w:leader="none" w:pos="1288" w:val="left"/>
        </w:tabs>
        <w:numPr>
          <w:ilvl w:val="1"/>
          <w:numId w:val="2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300" w:right="240" w:hanging="644"/>
        <w:spacing w:after="0" w:line="258" w:lineRule="auto"/>
        <w:tabs>
          <w:tab w:leader="none" w:pos="1282" w:val="left"/>
        </w:tabs>
        <w:numPr>
          <w:ilvl w:val="1"/>
          <w:numId w:val="22"/>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300" w:right="20" w:hanging="644"/>
        <w:spacing w:after="0" w:line="235" w:lineRule="auto"/>
        <w:tabs>
          <w:tab w:leader="none" w:pos="1292" w:val="left"/>
        </w:tabs>
        <w:numPr>
          <w:ilvl w:val="1"/>
          <w:numId w:val="2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660" w:right="260" w:hanging="652"/>
        <w:spacing w:after="0" w:line="235" w:lineRule="auto"/>
        <w:tabs>
          <w:tab w:leader="none" w:pos="64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300" w:right="660" w:hanging="644"/>
        <w:spacing w:after="0" w:line="258" w:lineRule="auto"/>
        <w:tabs>
          <w:tab w:leader="none" w:pos="1288" w:val="left"/>
        </w:tabs>
        <w:numPr>
          <w:ilvl w:val="1"/>
          <w:numId w:val="22"/>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3" w:lineRule="exact"/>
        <w:rPr>
          <w:rFonts w:ascii="Calibri" w:cs="Calibri" w:eastAsia="Calibri" w:hAnsi="Calibri"/>
          <w:sz w:val="17"/>
          <w:szCs w:val="17"/>
          <w:color w:val="auto"/>
        </w:rPr>
      </w:pPr>
    </w:p>
    <w:p>
      <w:pPr>
        <w:ind w:left="1300" w:right="240" w:hanging="644"/>
        <w:spacing w:after="0" w:line="235" w:lineRule="auto"/>
        <w:tabs>
          <w:tab w:leader="none" w:pos="1282" w:val="left"/>
        </w:tabs>
        <w:numPr>
          <w:ilvl w:val="1"/>
          <w:numId w:val="2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53" w:lineRule="exact"/>
        <w:rPr>
          <w:sz w:val="20"/>
          <w:szCs w:val="20"/>
          <w:color w:val="auto"/>
        </w:rPr>
      </w:pPr>
    </w:p>
    <w:p>
      <w:pPr>
        <w:ind w:left="80"/>
        <w:spacing w:after="0"/>
        <w:tabs>
          <w:tab w:leader="none" w:pos="860" w:val="left"/>
          <w:tab w:leader="none" w:pos="7080" w:val="left"/>
          <w:tab w:leader="none" w:pos="868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7" w:lineRule="exact"/>
        <w:rPr>
          <w:sz w:val="20"/>
          <w:szCs w:val="20"/>
          <w:color w:val="auto"/>
        </w:rPr>
      </w:pPr>
    </w:p>
    <w:p>
      <w:pPr>
        <w:jc w:val="center"/>
        <w:ind w:left="7360"/>
        <w:spacing w:after="0"/>
        <w:rPr>
          <w:sz w:val="20"/>
          <w:szCs w:val="20"/>
          <w:color w:val="auto"/>
        </w:rPr>
      </w:pPr>
      <w:r>
        <w:rPr>
          <w:rFonts w:ascii="Calibri" w:cs="Calibri" w:eastAsia="Calibri" w:hAnsi="Calibri"/>
          <w:sz w:val="18"/>
          <w:szCs w:val="18"/>
          <w:b w:val="1"/>
          <w:bCs w:val="1"/>
          <w:color w:val="auto"/>
        </w:rPr>
        <w:t>Jordan Kovler</w:t>
      </w:r>
    </w:p>
    <w:p>
      <w:pPr>
        <w:spacing w:after="0" w:line="23" w:lineRule="exact"/>
        <w:rPr>
          <w:sz w:val="20"/>
          <w:szCs w:val="20"/>
          <w:color w:val="auto"/>
        </w:rPr>
      </w:pPr>
    </w:p>
    <w:p>
      <w:pPr>
        <w:jc w:val="center"/>
        <w:ind w:left="7360"/>
        <w:spacing w:after="0"/>
        <w:rPr>
          <w:sz w:val="20"/>
          <w:szCs w:val="20"/>
          <w:color w:val="auto"/>
        </w:rPr>
      </w:pPr>
      <w:r>
        <w:rPr>
          <w:rFonts w:ascii="Calibri" w:cs="Calibri" w:eastAsia="Calibri" w:hAnsi="Calibri"/>
          <w:sz w:val="18"/>
          <w:szCs w:val="18"/>
          <w:b w:val="1"/>
          <w:bCs w:val="1"/>
          <w:color w:val="auto"/>
        </w:rPr>
        <w:t>Chief Executve Ofcer</w:t>
      </w:r>
    </w:p>
    <w:p>
      <w:pPr>
        <w:sectPr>
          <w:pgSz w:w="11900" w:h="16838" w:orient="portrait"/>
          <w:cols w:equalWidth="0" w:num="1">
            <w:col w:w="11240"/>
          </w:cols>
          <w:pgMar w:left="320" w:top="1030"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AMENDED, 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Christan Mulvihill, certfy that:</w:t>
      </w:r>
    </w:p>
    <w:p>
      <w:pPr>
        <w:spacing w:after="0" w:line="109" w:lineRule="exact"/>
        <w:rPr>
          <w:sz w:val="20"/>
          <w:szCs w:val="20"/>
          <w:color w:val="auto"/>
        </w:rPr>
      </w:pPr>
    </w:p>
    <w:p>
      <w:pPr>
        <w:ind w:left="660" w:right="300" w:hanging="652"/>
        <w:spacing w:after="0" w:line="235" w:lineRule="auto"/>
        <w:tabs>
          <w:tab w:leader="none" w:pos="64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of Greenidge Generaton Holdings Inc. (the “Company”) on Form 10-Q for the period ended September 30, 2024;</w:t>
      </w:r>
    </w:p>
    <w:p>
      <w:pPr>
        <w:spacing w:after="0" w:line="109" w:lineRule="exact"/>
        <w:rPr>
          <w:rFonts w:ascii="Calibri" w:cs="Calibri" w:eastAsia="Calibri" w:hAnsi="Calibri"/>
          <w:sz w:val="18"/>
          <w:szCs w:val="18"/>
          <w:color w:val="auto"/>
        </w:rPr>
      </w:pPr>
    </w:p>
    <w:p>
      <w:pPr>
        <w:jc w:val="both"/>
        <w:ind w:left="660" w:right="140" w:hanging="652"/>
        <w:spacing w:after="0" w:line="235" w:lineRule="auto"/>
        <w:tabs>
          <w:tab w:leader="none" w:pos="64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660" w:right="220" w:hanging="652"/>
        <w:spacing w:after="0" w:line="235" w:lineRule="auto"/>
        <w:tabs>
          <w:tab w:leader="none" w:pos="64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660" w:right="320" w:hanging="652"/>
        <w:spacing w:after="0" w:line="235" w:lineRule="auto"/>
        <w:tabs>
          <w:tab w:leader="none" w:pos="64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109" w:lineRule="exact"/>
        <w:rPr>
          <w:rFonts w:ascii="Calibri" w:cs="Calibri" w:eastAsia="Calibri" w:hAnsi="Calibri"/>
          <w:sz w:val="18"/>
          <w:szCs w:val="18"/>
          <w:color w:val="auto"/>
        </w:rPr>
      </w:pPr>
    </w:p>
    <w:p>
      <w:pPr>
        <w:ind w:left="1300" w:right="220" w:hanging="644"/>
        <w:spacing w:after="0" w:line="235" w:lineRule="auto"/>
        <w:tabs>
          <w:tab w:leader="none" w:pos="1288" w:val="left"/>
        </w:tabs>
        <w:numPr>
          <w:ilvl w:val="1"/>
          <w:numId w:val="2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300" w:right="240" w:hanging="644"/>
        <w:spacing w:after="0" w:line="258" w:lineRule="auto"/>
        <w:tabs>
          <w:tab w:leader="none" w:pos="1282" w:val="left"/>
        </w:tabs>
        <w:numPr>
          <w:ilvl w:val="1"/>
          <w:numId w:val="2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300" w:right="20" w:hanging="644"/>
        <w:spacing w:after="0" w:line="235" w:lineRule="auto"/>
        <w:tabs>
          <w:tab w:leader="none" w:pos="1292" w:val="left"/>
        </w:tabs>
        <w:numPr>
          <w:ilvl w:val="1"/>
          <w:numId w:val="2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660" w:right="260" w:hanging="652"/>
        <w:spacing w:after="0" w:line="235" w:lineRule="auto"/>
        <w:tabs>
          <w:tab w:leader="none" w:pos="64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300" w:right="660" w:hanging="644"/>
        <w:spacing w:after="0" w:line="258" w:lineRule="auto"/>
        <w:tabs>
          <w:tab w:leader="none" w:pos="1288" w:val="left"/>
        </w:tabs>
        <w:numPr>
          <w:ilvl w:val="1"/>
          <w:numId w:val="23"/>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3" w:lineRule="exact"/>
        <w:rPr>
          <w:rFonts w:ascii="Calibri" w:cs="Calibri" w:eastAsia="Calibri" w:hAnsi="Calibri"/>
          <w:sz w:val="17"/>
          <w:szCs w:val="17"/>
          <w:color w:val="auto"/>
        </w:rPr>
      </w:pPr>
    </w:p>
    <w:p>
      <w:pPr>
        <w:ind w:left="1300" w:right="240" w:hanging="644"/>
        <w:spacing w:after="0" w:line="235" w:lineRule="auto"/>
        <w:tabs>
          <w:tab w:leader="none" w:pos="1282" w:val="left"/>
        </w:tabs>
        <w:numPr>
          <w:ilvl w:val="1"/>
          <w:numId w:val="2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45" w:lineRule="exact"/>
        <w:rPr>
          <w:sz w:val="20"/>
          <w:szCs w:val="20"/>
          <w:color w:val="auto"/>
        </w:rPr>
      </w:pPr>
    </w:p>
    <w:p>
      <w:pPr>
        <w:ind w:left="80"/>
        <w:spacing w:after="0"/>
        <w:tabs>
          <w:tab w:leader="none" w:pos="860" w:val="left"/>
          <w:tab w:leader="none" w:pos="7080" w:val="left"/>
          <w:tab w:leader="none" w:pos="854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Christan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23495</wp:posOffset>
            </wp:positionV>
            <wp:extent cx="2442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7" w:lineRule="exact"/>
        <w:rPr>
          <w:sz w:val="20"/>
          <w:szCs w:val="20"/>
          <w:color w:val="auto"/>
        </w:rPr>
      </w:pPr>
    </w:p>
    <w:p>
      <w:pPr>
        <w:jc w:val="center"/>
        <w:ind w:left="7380"/>
        <w:spacing w:after="0"/>
        <w:rPr>
          <w:sz w:val="20"/>
          <w:szCs w:val="20"/>
          <w:color w:val="auto"/>
        </w:rPr>
      </w:pPr>
      <w:r>
        <w:rPr>
          <w:rFonts w:ascii="Calibri" w:cs="Calibri" w:eastAsia="Calibri" w:hAnsi="Calibri"/>
          <w:sz w:val="18"/>
          <w:szCs w:val="18"/>
          <w:b w:val="1"/>
          <w:bCs w:val="1"/>
          <w:color w:val="auto"/>
        </w:rPr>
        <w:t>Christan Mulvihill</w:t>
      </w:r>
    </w:p>
    <w:p>
      <w:pPr>
        <w:spacing w:after="0" w:line="23" w:lineRule="exact"/>
        <w:rPr>
          <w:sz w:val="20"/>
          <w:szCs w:val="20"/>
          <w:color w:val="auto"/>
        </w:rPr>
      </w:pPr>
    </w:p>
    <w:p>
      <w:pPr>
        <w:jc w:val="center"/>
        <w:ind w:left="7380"/>
        <w:spacing w:after="0"/>
        <w:rPr>
          <w:sz w:val="20"/>
          <w:szCs w:val="20"/>
          <w:color w:val="auto"/>
        </w:rPr>
      </w:pPr>
      <w:r>
        <w:rPr>
          <w:rFonts w:ascii="Calibri" w:cs="Calibri" w:eastAsia="Calibri" w:hAnsi="Calibri"/>
          <w:sz w:val="18"/>
          <w:szCs w:val="18"/>
          <w:b w:val="1"/>
          <w:bCs w:val="1"/>
          <w:color w:val="auto"/>
        </w:rPr>
        <w:t>Chief Financial Ofcer</w:t>
      </w:r>
    </w:p>
    <w:p>
      <w:pPr>
        <w:sectPr>
          <w:pgSz w:w="11900" w:h="16838" w:orient="portrait"/>
          <w:cols w:equalWidth="0" w:num="1">
            <w:col w:w="11240"/>
          </w:cols>
          <w:pgMar w:left="320" w:top="1030"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ind w:right="100" w:firstLine="648"/>
        <w:spacing w:after="0" w:line="249" w:lineRule="auto"/>
        <w:rPr>
          <w:sz w:val="20"/>
          <w:szCs w:val="20"/>
          <w:color w:val="auto"/>
        </w:rPr>
      </w:pPr>
      <w:r>
        <w:rPr>
          <w:rFonts w:ascii="Calibri" w:cs="Calibri" w:eastAsia="Calibri" w:hAnsi="Calibri"/>
          <w:sz w:val="17"/>
          <w:szCs w:val="17"/>
          <w:color w:val="auto"/>
        </w:rPr>
        <w:t>In connecton with the Quarterly Report of Greenidge Generaton Holdings Inc. (the “Company”) on Form 10-Q for the period ended September 30, 2024, as fled with the Securites and Exchange Commission on the date hereof (the “Report”), I certfy, pursuant to 18 U.S.C. § 1350, as adopted pursuant to</w:t>
      </w:r>
    </w:p>
    <w:p>
      <w:pPr>
        <w:ind w:left="140" w:hanging="132"/>
        <w:spacing w:after="0" w:line="236" w:lineRule="auto"/>
        <w:tabs>
          <w:tab w:leader="none" w:pos="1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906 of the Sarbanes-Oxley Act of 2002, that, to my knowledge:</w:t>
      </w:r>
    </w:p>
    <w:p>
      <w:pPr>
        <w:spacing w:after="0" w:line="104" w:lineRule="exact"/>
        <w:rPr>
          <w:rFonts w:ascii="Calibri" w:cs="Calibri" w:eastAsia="Calibri" w:hAnsi="Calibri"/>
          <w:sz w:val="18"/>
          <w:szCs w:val="18"/>
          <w:color w:val="auto"/>
        </w:rPr>
      </w:pPr>
    </w:p>
    <w:p>
      <w:pPr>
        <w:ind w:left="1300" w:hanging="644"/>
        <w:spacing w:after="0"/>
        <w:tabs>
          <w:tab w:leader="none" w:pos="1300" w:val="left"/>
        </w:tabs>
        <w:numPr>
          <w:ilvl w:val="1"/>
          <w:numId w:val="24"/>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300" w:right="400" w:hanging="644"/>
        <w:spacing w:after="0" w:line="235" w:lineRule="auto"/>
        <w:tabs>
          <w:tab w:leader="none" w:pos="1293" w:val="left"/>
        </w:tabs>
        <w:numPr>
          <w:ilvl w:val="1"/>
          <w:numId w:val="24"/>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45" w:lineRule="exact"/>
        <w:rPr>
          <w:sz w:val="20"/>
          <w:szCs w:val="20"/>
          <w:color w:val="auto"/>
        </w:rPr>
      </w:pPr>
    </w:p>
    <w:p>
      <w:pPr>
        <w:ind w:left="80"/>
        <w:spacing w:after="0"/>
        <w:tabs>
          <w:tab w:leader="none" w:pos="860" w:val="left"/>
          <w:tab w:leader="none" w:pos="7080" w:val="left"/>
          <w:tab w:leader="none" w:pos="868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7" w:lineRule="exact"/>
        <w:rPr>
          <w:sz w:val="20"/>
          <w:szCs w:val="20"/>
          <w:color w:val="auto"/>
        </w:rPr>
      </w:pPr>
    </w:p>
    <w:p>
      <w:pPr>
        <w:jc w:val="center"/>
        <w:ind w:left="7360"/>
        <w:spacing w:after="0"/>
        <w:rPr>
          <w:sz w:val="20"/>
          <w:szCs w:val="20"/>
          <w:color w:val="auto"/>
        </w:rPr>
      </w:pPr>
      <w:r>
        <w:rPr>
          <w:rFonts w:ascii="Calibri" w:cs="Calibri" w:eastAsia="Calibri" w:hAnsi="Calibri"/>
          <w:sz w:val="18"/>
          <w:szCs w:val="18"/>
          <w:b w:val="1"/>
          <w:bCs w:val="1"/>
          <w:color w:val="auto"/>
        </w:rPr>
        <w:t>Jordan Kovler</w:t>
      </w:r>
    </w:p>
    <w:p>
      <w:pPr>
        <w:spacing w:after="0" w:line="23" w:lineRule="exact"/>
        <w:rPr>
          <w:sz w:val="20"/>
          <w:szCs w:val="20"/>
          <w:color w:val="auto"/>
        </w:rPr>
      </w:pPr>
    </w:p>
    <w:p>
      <w:pPr>
        <w:jc w:val="center"/>
        <w:ind w:left="7360"/>
        <w:spacing w:after="0"/>
        <w:rPr>
          <w:sz w:val="20"/>
          <w:szCs w:val="20"/>
          <w:color w:val="auto"/>
        </w:rPr>
      </w:pPr>
      <w:r>
        <w:rPr>
          <w:rFonts w:ascii="Calibri" w:cs="Calibri" w:eastAsia="Calibri" w:hAnsi="Calibri"/>
          <w:sz w:val="18"/>
          <w:szCs w:val="18"/>
          <w:b w:val="1"/>
          <w:bCs w:val="1"/>
          <w:color w:val="auto"/>
        </w:rPr>
        <w:t>Chief Executve Ofcer</w:t>
      </w:r>
    </w:p>
    <w:p>
      <w:pPr>
        <w:sectPr>
          <w:pgSz w:w="11900" w:h="16838" w:orient="portrait"/>
          <w:cols w:equalWidth="0" w:num="1">
            <w:col w:w="11240"/>
          </w:cols>
          <w:pgMar w:left="320" w:top="1030"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connecton with the Quarterly Report of Greenidge Generaton Holdings Inc. (the “Company”) on Form 10-Q for the period ended September 30, 2024 as fled with the Securites and Exchange Commission on the date hereof (the “Report”), I certfy, pursuant to 18 U.S.C. § 1350, as adopted pursuant to § 906 of the Sarbanes-Oxley Act of 2002, that, to my knowledge:</w:t>
      </w:r>
    </w:p>
    <w:p>
      <w:pPr>
        <w:spacing w:after="0" w:line="106" w:lineRule="exact"/>
        <w:rPr>
          <w:sz w:val="20"/>
          <w:szCs w:val="20"/>
          <w:color w:val="auto"/>
        </w:rPr>
      </w:pPr>
    </w:p>
    <w:p>
      <w:pPr>
        <w:ind w:left="1300" w:hanging="644"/>
        <w:spacing w:after="0"/>
        <w:tabs>
          <w:tab w:leader="none" w:pos="130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300" w:right="400" w:hanging="644"/>
        <w:spacing w:after="0" w:line="235" w:lineRule="auto"/>
        <w:tabs>
          <w:tab w:leader="none" w:pos="129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45" w:lineRule="exact"/>
        <w:rPr>
          <w:sz w:val="20"/>
          <w:szCs w:val="20"/>
          <w:color w:val="auto"/>
        </w:rPr>
      </w:pPr>
    </w:p>
    <w:p>
      <w:pPr>
        <w:ind w:left="80"/>
        <w:spacing w:after="0"/>
        <w:tabs>
          <w:tab w:leader="none" w:pos="860" w:val="left"/>
          <w:tab w:leader="none" w:pos="7080" w:val="left"/>
          <w:tab w:leader="none" w:pos="854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Christan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23495</wp:posOffset>
            </wp:positionV>
            <wp:extent cx="2442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7" w:lineRule="exact"/>
        <w:rPr>
          <w:sz w:val="20"/>
          <w:szCs w:val="20"/>
          <w:color w:val="auto"/>
        </w:rPr>
      </w:pPr>
    </w:p>
    <w:p>
      <w:pPr>
        <w:jc w:val="center"/>
        <w:ind w:left="7380"/>
        <w:spacing w:after="0"/>
        <w:rPr>
          <w:sz w:val="20"/>
          <w:szCs w:val="20"/>
          <w:color w:val="auto"/>
        </w:rPr>
      </w:pPr>
      <w:r>
        <w:rPr>
          <w:rFonts w:ascii="Calibri" w:cs="Calibri" w:eastAsia="Calibri" w:hAnsi="Calibri"/>
          <w:sz w:val="18"/>
          <w:szCs w:val="18"/>
          <w:b w:val="1"/>
          <w:bCs w:val="1"/>
          <w:color w:val="auto"/>
        </w:rPr>
        <w:t>Christan Mulvihill</w:t>
      </w:r>
    </w:p>
    <w:p>
      <w:pPr>
        <w:spacing w:after="0" w:line="23" w:lineRule="exact"/>
        <w:rPr>
          <w:sz w:val="20"/>
          <w:szCs w:val="20"/>
          <w:color w:val="auto"/>
        </w:rPr>
      </w:pPr>
    </w:p>
    <w:p>
      <w:pPr>
        <w:jc w:val="center"/>
        <w:ind w:left="7380"/>
        <w:spacing w:after="0"/>
        <w:rPr>
          <w:sz w:val="20"/>
          <w:szCs w:val="20"/>
          <w:color w:val="auto"/>
        </w:rPr>
      </w:pPr>
      <w:r>
        <w:rPr>
          <w:rFonts w:ascii="Calibri" w:cs="Calibri" w:eastAsia="Calibri" w:hAnsi="Calibri"/>
          <w:sz w:val="18"/>
          <w:szCs w:val="18"/>
          <w:b w:val="1"/>
          <w:bCs w:val="1"/>
          <w:color w:val="auto"/>
        </w:rPr>
        <w:t>Chief Financial Ofcer</w:t>
      </w:r>
    </w:p>
    <w:sectPr>
      <w:pgSz w:w="11900" w:h="16838" w:orient="portrait"/>
      <w:cols w:equalWidth="0" w:num="1">
        <w:col w:w="11240"/>
      </w:cols>
      <w:pgMar w:left="320" w:top="10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3"/>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
      <w:numFmt w:val="bullet"/>
      <w:start w:val="1"/>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67" Type="http://schemas.openxmlformats.org/officeDocument/2006/relationships/hyperlink" Target="https://www.sec.gov/Archives/edgar/data/1844971/000162828024033782/greecef-commonstockpurch.htm" TargetMode="External"/><Relationship Id="rId68" Type="http://schemas.openxmlformats.org/officeDocument/2006/relationships/hyperlink" Target="https://www.sec.gov/Archives/edgar/data/1844971/000162828024033782/greecef-registrationrigh.htm" TargetMode="External"/><Relationship Id="rId69" Type="http://schemas.openxmlformats.org/officeDocument/2006/relationships/hyperlink" Target="https://www.sec.gov/Archives/edgar/data/1844971/000162828024043899/greeexchangeagreementsec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2024-11-07T16:25:20Z</dcterms:created>
  <dcterms:modified xsi:type="dcterms:W3CDTF">2024-11-07T16:25:20Z</dcterms:modified>
</cp:coreProperties>
</file>