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VIP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7"/>
        <w:gridCol w:w="904"/>
        <w:gridCol w:w="775"/>
        <w:gridCol w:w="600"/>
        <w:gridCol w:w="343"/>
        <w:gridCol w:w="915"/>
        <w:gridCol w:w="437"/>
        <w:gridCol w:w="702"/>
        <w:gridCol w:w="1259"/>
        <w:gridCol w:w="977"/>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67,183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(1)</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7,176,541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Atlas Capital Resources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Atlas Capital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Atlas Capital Resources (A9)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BURSKY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Fazio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NORTHFIELD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Equity Interest Payment Agreement (the "Agreement"), dated as of January 24, 2025, by and among Greenidge Generation Holdings Inc. (the "Issuer") and Atlas Capital Resources (A9) LP ("ACR9"), Atlas Capital Resources (A9-Parallel) LP ("ACR Parallel"), and Atlas Capital Resources (P) LP ("ACR P" and, together with ACR9 and ACR Parallel, collectively, "Atlas"), the Issuer made a $163,598 payment to Atlas in the form of shares of Class A Common Stock based on the price formula set forth in the Agreement. Of the 67,183 shares of Class A Common Stock issued to Atlas thereunder, 48,143 shares were issued to ACR9, 17,279 shares were issued to ACR Parallel and 1,761 shares were issued to ACR 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Atlas Capital GP LP ("ACR GPLP") is the general partner of ACR9, ACR Parallel, ACR P and GGH Bridge Investment LP ("GGH"). Atlas Capital Resources GP LLC ("ACR GP") is the general partner of ACR GPLP. ACR GP, ACR GPLP, ACR9, ACR Parallel, ACR P, and GGH are collectively referred to as the "Atlas Entities." Andrew M. Bursky and Timothy J. Fazio are each a managing partner of ACR GP and may be deemed to control the Atlas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Messrs. Bursky and Fazio and each of the Atlas Entities disclaims beneficial ownership interest of the Class A Common Stock except, in each case, to the extent he or it has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Atlas Capital Resources (A9) LP, By: Atlas Capital GP LP, By: Atlas Capital Resources GP LLC, /s/ Timothy J. Fazio,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M. Bursky, /s/ Andrew M. Bursky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Timothy J. Fazio, /s/ Timothy J. Fazio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294"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82294" TargetMode="External"/><Relationship Id="rId10" Type="http://schemas.openxmlformats.org/officeDocument/2006/relationships/hyperlink" Target="http://www.sec.gov/cgi-bin/browse-edgar?action=getcompany&amp;CIK=0001882313" TargetMode="External"/><Relationship Id="rId11" Type="http://schemas.openxmlformats.org/officeDocument/2006/relationships/hyperlink" Target="http://www.sec.gov/cgi-bin/browse-edgar?action=getcompany&amp;CIK=0001880358" TargetMode="External"/><Relationship Id="rId12" Type="http://schemas.openxmlformats.org/officeDocument/2006/relationships/hyperlink" Target="http://www.sec.gov/cgi-bin/browse-edgar?action=getcompany&amp;CIK=0000905112" TargetMode="External"/><Relationship Id="rId13" Type="http://schemas.openxmlformats.org/officeDocument/2006/relationships/hyperlink" Target="http://www.sec.gov/cgi-bin/browse-edgar?action=getcompany&amp;CIK=0001394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992</Words>
  <Characters>5265</Characters>
  <CharactersWithSpaces>6115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