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spacing w:lineRule="auto" w:line="288" w:before="0" w:after="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center"/>
        <w:rPr>
          <w:rFonts w:ascii="Calibri;sans-serif" w:hAnsi="Calibri;sans-serif"/>
          <w:b/>
          <w:color w:val="000000"/>
          <w:sz w:val="36"/>
        </w:rPr>
      </w:pPr>
      <w:r>
        <w:rPr>
          <w:rFonts w:ascii="Calibri;sans-serif" w:hAnsi="Calibri;sans-serif"/>
          <w:b/>
          <w:color w:val="000000"/>
          <w:sz w:val="36"/>
        </w:rPr>
        <w:t>FORM 10-Q</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(Mark One)</w:t>
      </w:r>
    </w:p>
    <w:p>
      <w:pPr>
        <w:pStyle w:val="TextBody"/>
        <w:bidi w:val="0"/>
        <w:spacing w:lineRule="auto" w:line="288" w:before="0" w:after="0"/>
        <w:ind w:left="0" w:right="0" w:hanging="720"/>
        <w:jc w:val="left"/>
        <w:rPr/>
      </w:pPr>
      <w:r>
        <w:rPr>
          <w:rFonts w:ascii="Wingdings;sans-serif" w:hAnsi="Wingdings;sans-serif"/>
          <w:b/>
          <w:color w:val="000000"/>
          <w:sz w:val="24"/>
        </w:rPr>
        <w:t>x</w:t>
      </w:r>
      <w:r>
        <w:rPr>
          <w:color w:val="000000"/>
        </w:rPr>
        <w:t>    </w:t>
      </w:r>
      <w:r>
        <w:rPr>
          <w:rFonts w:ascii="Calibri;sans-serif" w:hAnsi="Calibri;sans-serif"/>
          <w:b/>
          <w:color w:val="000000"/>
          <w:sz w:val="24"/>
        </w:rPr>
        <w:t>QUARTERLY REPORT PURSUANT TO SECTION 13 OR 15(d) OF THE SECURITIES EXCHANGE ACT OF 1934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For the quarterly period ended March 31, 2024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OR</w:t>
      </w:r>
    </w:p>
    <w:p>
      <w:pPr>
        <w:pStyle w:val="TextBody"/>
        <w:bidi w:val="0"/>
        <w:spacing w:lineRule="auto" w:line="288" w:before="120" w:after="283"/>
        <w:ind w:left="0" w:right="0" w:hanging="720"/>
        <w:jc w:val="left"/>
        <w:rPr/>
      </w:pPr>
      <w:r>
        <w:rPr>
          <w:rFonts w:ascii="Wingdings;sans-serif" w:hAnsi="Wingdings;sans-serif"/>
          <w:b/>
          <w:color w:val="000000"/>
          <w:sz w:val="24"/>
        </w:rPr>
        <w:t>o</w:t>
      </w:r>
      <w:r>
        <w:rPr>
          <w:color w:val="000000"/>
        </w:rPr>
        <w:t>    </w:t>
      </w:r>
      <w:r>
        <w:rPr>
          <w:rFonts w:ascii="Calibri;sans-serif" w:hAnsi="Calibri;sans-serif"/>
          <w:b/>
          <w:color w:val="000000"/>
          <w:sz w:val="24"/>
        </w:rPr>
        <w:t>TRANSITION REPORT PURSUANT TO SECTION 13 OR 15(d) OF THE SECURITIES EXCHANGE ACT OF 1934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For the transition period from _____________________ to _____________________</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Commission File Number: 001-40808</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center"/>
        <w:rPr>
          <w:rFonts w:ascii="Calibri;sans-serif" w:hAnsi="Calibri;sans-serif"/>
          <w:b/>
          <w:color w:val="000000"/>
          <w:sz w:val="48"/>
        </w:rPr>
      </w:pPr>
      <w:r>
        <w:rPr>
          <w:rFonts w:ascii="Calibri;sans-serif" w:hAnsi="Calibri;sans-serif"/>
          <w:b/>
          <w:color w:val="000000"/>
          <w:sz w:val="48"/>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tbl>
      <w:tblPr>
        <w:tblW w:w="4467" w:type="dxa"/>
        <w:jc w:val="left"/>
        <w:tblInd w:w="0" w:type="dxa"/>
        <w:tblLayout w:type="fixed"/>
        <w:tblCellMar>
          <w:top w:w="28" w:type="dxa"/>
          <w:left w:w="28" w:type="dxa"/>
          <w:bottom w:w="28" w:type="dxa"/>
          <w:right w:w="28" w:type="dxa"/>
        </w:tblCellMar>
      </w:tblPr>
      <w:tblGrid>
        <w:gridCol w:w="997"/>
        <w:gridCol w:w="878"/>
        <w:gridCol w:w="885"/>
        <w:gridCol w:w="109"/>
        <w:gridCol w:w="109"/>
        <w:gridCol w:w="109"/>
        <w:gridCol w:w="403"/>
        <w:gridCol w:w="403"/>
        <w:gridCol w:w="574"/>
      </w:tblGrid>
      <w:tr>
        <w:trPr/>
        <w:tc>
          <w:tcPr>
            <w:tcW w:w="9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86-1746728</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6"/>
              </w:rPr>
            </w:pPr>
            <w:r>
              <w:rPr>
                <w:rFonts w:ascii="Calibri;sans-serif" w:hAnsi="Calibri;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6"/>
              </w:rPr>
            </w:pPr>
            <w:r>
              <w:rPr>
                <w:rFonts w:ascii="Calibri;sans-serif" w:hAnsi="Calibri;sans-serif"/>
                <w:b/>
                <w:color w:val="000000"/>
                <w:sz w:val="16"/>
              </w:rPr>
              <w:t>(I.R.S. Employer</w:t>
              <w:br/>
              <w:t>Identification No.)</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590 Plant Road, </w:t>
            </w:r>
          </w:p>
          <w:p>
            <w:pPr>
              <w:pStyle w:val="TableContents"/>
              <w:bidi w:val="0"/>
              <w:spacing w:lineRule="auto" w:line="288" w:before="0" w:after="0"/>
              <w:jc w:val="center"/>
              <w:rPr>
                <w:color w:val="000000"/>
              </w:rPr>
            </w:pPr>
            <w:r>
              <w:rPr>
                <w:color w:val="000000"/>
              </w:rPr>
              <w:t> </w:t>
            </w:r>
            <w:r>
              <w:rPr>
                <w:rFonts w:ascii="Calibri;sans-serif" w:hAnsi="Calibri;sans-serif"/>
                <w:b/>
                <w:color w:val="000000"/>
                <w:sz w:val="20"/>
              </w:rPr>
              <w:t>Dresden,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14441</w:t>
            </w:r>
          </w:p>
        </w:tc>
      </w:tr>
      <w:tr>
        <w:trPr/>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Registrant’s telephone number, including area code: (315) 536-2359</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8052" w:type="dxa"/>
        <w:jc w:val="left"/>
        <w:tblInd w:w="0" w:type="dxa"/>
        <w:tblLayout w:type="fixed"/>
        <w:tblCellMar>
          <w:top w:w="28" w:type="dxa"/>
          <w:left w:w="28" w:type="dxa"/>
          <w:bottom w:w="28" w:type="dxa"/>
          <w:right w:w="28" w:type="dxa"/>
        </w:tblCellMar>
      </w:tblPr>
      <w:tblGrid>
        <w:gridCol w:w="1150"/>
        <w:gridCol w:w="1011"/>
        <w:gridCol w:w="1018"/>
        <w:gridCol w:w="479"/>
        <w:gridCol w:w="479"/>
        <w:gridCol w:w="481"/>
        <w:gridCol w:w="1006"/>
        <w:gridCol w:w="1006"/>
        <w:gridCol w:w="1422"/>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Class A 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GREE</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The Nasdaq Global Select Market</w:t>
            </w:r>
          </w:p>
        </w:tc>
      </w:tr>
      <w:tr>
        <w:trPr/>
        <w:tc>
          <w:tcPr>
            <w:tcW w:w="31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8.50% Senior Notes due 2026</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GREEL</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The Nasdaq Global Select Market</w:t>
            </w:r>
          </w:p>
        </w:tc>
      </w:tr>
    </w:tbl>
    <w:p>
      <w:pPr>
        <w:pStyle w:val="TextBody"/>
        <w:bidi w:val="0"/>
        <w:spacing w:lineRule="auto" w:line="288" w:before="120" w:after="283"/>
        <w:ind w:left="0" w:right="0" w:firstLine="540"/>
        <w:jc w:val="left"/>
        <w:rPr/>
      </w:pPr>
      <w:r>
        <w:rPr>
          <w:rFonts w:ascii="Calibri;sans-serif" w:hAnsi="Calibr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w:t>
      </w:r>
      <w:r>
        <w:rPr>
          <w:rFonts w:ascii="Wingdings;sans-serif" w:hAnsi="Wingdings;sans-serif"/>
          <w:b w:val="false"/>
          <w:color w:val="000000"/>
          <w:sz w:val="18"/>
        </w:rPr>
        <w:t>x</w:t>
      </w:r>
      <w:r>
        <w:rPr>
          <w:color w:val="000000"/>
        </w:rPr>
        <w:t xml:space="preserve"> </w:t>
      </w:r>
      <w:r>
        <w:rPr>
          <w:rFonts w:ascii="Calibri;sans-serif" w:hAnsi="Calibri;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Calibri;sans-serif" w:hAnsi="Calibri;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w:t>
      </w:r>
      <w:r>
        <w:rPr>
          <w:rFonts w:ascii="Wingdings;sans-serif" w:hAnsi="Wingdings;sans-serif"/>
          <w:b w:val="false"/>
          <w:color w:val="000000"/>
          <w:sz w:val="18"/>
        </w:rPr>
        <w:t>x</w:t>
      </w:r>
      <w:r>
        <w:rPr>
          <w:color w:val="000000"/>
        </w:rPr>
        <w:t xml:space="preserve"> </w:t>
      </w:r>
      <w:r>
        <w:rPr>
          <w:rFonts w:ascii="Calibri;sans-serif" w:hAnsi="Calibri;sans-serif"/>
          <w:b w:val="false"/>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06"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109"/>
        <w:gridCol w:w="109"/>
        <w:gridCol w:w="109"/>
        <w:gridCol w:w="749"/>
        <w:gridCol w:w="749"/>
        <w:gridCol w:w="75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8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ind w:left="0" w:right="0" w:firstLine="540"/>
        <w:jc w:val="left"/>
        <w:rPr/>
      </w:pPr>
      <w:r>
        <w:rPr>
          <w:rFonts w:ascii="Calibri;sans-serif" w:hAnsi="Calibri;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Calibri;sans-serif" w:hAnsi="Calibri;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Calibri;sans-serif" w:hAnsi="Calibri;sans-serif"/>
          <w:b w:val="false"/>
          <w:color w:val="000000"/>
          <w:sz w:val="18"/>
        </w:rPr>
        <w:t>No</w:t>
      </w:r>
      <w:r>
        <w:rPr>
          <w:color w:val="000000"/>
        </w:rPr>
        <w:t xml:space="preserve"> </w:t>
      </w:r>
      <w:r>
        <w:rPr>
          <w:rFonts w:ascii="Wingdings;sans-serif" w:hAnsi="Wingdings;sans-serif"/>
          <w:b w:val="false"/>
          <w:color w:val="000000"/>
          <w:sz w:val="18"/>
        </w:rPr>
        <w:t>x</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Securities registered pursuant to Section 12(g) of the Act: None</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As of May 13, 2024, the registrant had 7,076,138 shares of Class A common stock, $0.0001 par value per share, outstanding and 2,733,394 shares of Class B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Table of Contents</w:t>
      </w:r>
    </w:p>
    <w:tbl>
      <w:tblPr>
        <w:tblW w:w="9106" w:type="dxa"/>
        <w:jc w:val="left"/>
        <w:tblInd w:w="0" w:type="dxa"/>
        <w:tblLayout w:type="fixed"/>
        <w:tblCellMar>
          <w:top w:w="28" w:type="dxa"/>
          <w:left w:w="28" w:type="dxa"/>
          <w:bottom w:w="28" w:type="dxa"/>
          <w:right w:w="28" w:type="dxa"/>
        </w:tblCellMar>
      </w:tblPr>
      <w:tblGrid>
        <w:gridCol w:w="283"/>
        <w:gridCol w:w="247"/>
        <w:gridCol w:w="250"/>
        <w:gridCol w:w="2613"/>
        <w:gridCol w:w="2613"/>
        <w:gridCol w:w="2619"/>
        <w:gridCol w:w="140"/>
        <w:gridCol w:w="140"/>
        <w:gridCol w:w="201"/>
      </w:tblGrid>
      <w:tr>
        <w:trPr/>
        <w:tc>
          <w:tcPr>
            <w:tcW w:w="2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Page</w:t>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3">
              <w:r>
                <w:rPr>
                  <w:rStyle w:val="InternetLink"/>
                  <w:rFonts w:ascii="Calibri;sans-serif" w:hAnsi="Calibri;sans-serif"/>
                  <w:b/>
                  <w:strike w:val="false"/>
                  <w:dstrike w:val="false"/>
                  <w:color w:val="000000"/>
                  <w:sz w:val="20"/>
                  <w:u w:val="none"/>
                  <w:effect w:val="none"/>
                </w:rPr>
                <w:t>PART I.</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3">
              <w:r>
                <w:rPr>
                  <w:rStyle w:val="InternetLink"/>
                  <w:rFonts w:ascii="Calibri;sans-serif" w:hAnsi="Calibri;sans-serif"/>
                  <w:b/>
                  <w:color w:val="0563C1"/>
                  <w:sz w:val="20"/>
                  <w:u w:val="single"/>
                </w:rPr>
                <w:t>FINANCIAL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6">
              <w:r>
                <w:rPr>
                  <w:rStyle w:val="InternetLink"/>
                  <w:rFonts w:ascii="Calibri;sans-serif" w:hAnsi="Calibri;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6">
              <w:r>
                <w:rPr>
                  <w:rStyle w:val="InternetLink"/>
                  <w:rFonts w:ascii="Calibri;sans-serif" w:hAnsi="Calibri;sans-serif"/>
                  <w:b w:val="false"/>
                  <w:color w:val="0563C1"/>
                  <w:sz w:val="20"/>
                  <w:u w:val="single"/>
                </w:rPr>
                <w:t>Financial Statements</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9">
              <w:r>
                <w:rPr>
                  <w:rStyle w:val="InternetLink"/>
                  <w:rFonts w:ascii="Calibri;sans-serif" w:hAnsi="Calibri;sans-serif"/>
                  <w:b w:val="false"/>
                  <w:color w:val="0563C1"/>
                  <w:sz w:val="20"/>
                  <w:u w:val="single"/>
                </w:rPr>
                <w:t>Condensed Consolidated Balance Sheets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9">
              <w:r>
                <w:rPr>
                  <w:rStyle w:val="InternetLink"/>
                  <w:rFonts w:ascii="Calibri;sans-serif" w:hAnsi="Calibri;sans-serif"/>
                  <w:b w:val="false"/>
                  <w:strike w:val="false"/>
                  <w:dstrike w:val="false"/>
                  <w:color w:val="000000"/>
                  <w:sz w:val="20"/>
                  <w:u w:val="none"/>
                  <w:effect w:val="none"/>
                </w:rPr>
                <w:t>3</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22">
              <w:r>
                <w:rPr>
                  <w:rStyle w:val="InternetLink"/>
                  <w:rFonts w:ascii="Calibri;sans-serif" w:hAnsi="Calibri;sans-serif"/>
                  <w:b w:val="false"/>
                  <w:color w:val="0563C1"/>
                  <w:sz w:val="20"/>
                  <w:u w:val="single"/>
                </w:rPr>
                <w:t>Condensed Consolidated Statements of Operations and Comprehensive (Loss) Income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22">
              <w:r>
                <w:rPr>
                  <w:rStyle w:val="InternetLink"/>
                  <w:rFonts w:ascii="Calibri;sans-serif" w:hAnsi="Calibri;sans-serif"/>
                  <w:b w:val="false"/>
                  <w:strike w:val="false"/>
                  <w:dstrike w:val="false"/>
                  <w:color w:val="000000"/>
                  <w:sz w:val="20"/>
                  <w:u w:val="none"/>
                  <w:effect w:val="none"/>
                </w:rPr>
                <w:t>4</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25">
              <w:r>
                <w:rPr>
                  <w:rStyle w:val="InternetLink"/>
                  <w:rFonts w:ascii="Calibri;sans-serif" w:hAnsi="Calibri;sans-serif"/>
                  <w:b w:val="false"/>
                  <w:color w:val="0563C1"/>
                  <w:sz w:val="20"/>
                  <w:u w:val="single"/>
                </w:rPr>
                <w:t>Condensed Consolidated Statements of Stockholders’ Deficit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25">
              <w:r>
                <w:rPr>
                  <w:rStyle w:val="InternetLink"/>
                  <w:rFonts w:ascii="Calibri;sans-serif" w:hAnsi="Calibri;sans-serif"/>
                  <w:b w:val="false"/>
                  <w:strike w:val="false"/>
                  <w:dstrike w:val="false"/>
                  <w:color w:val="000000"/>
                  <w:sz w:val="20"/>
                  <w:u w:val="none"/>
                  <w:effect w:val="none"/>
                </w:rPr>
                <w:t>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28">
              <w:r>
                <w:rPr>
                  <w:rStyle w:val="InternetLink"/>
                  <w:rFonts w:ascii="Calibri;sans-serif" w:hAnsi="Calibri;sans-serif"/>
                  <w:b w:val="false"/>
                  <w:color w:val="0563C1"/>
                  <w:sz w:val="20"/>
                  <w:u w:val="single"/>
                </w:rPr>
                <w:t>Condensed Consolidated Statements of Cash Flows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28">
              <w:r>
                <w:rPr>
                  <w:rStyle w:val="InternetLink"/>
                  <w:rFonts w:ascii="Calibri;sans-serif" w:hAnsi="Calibri;sans-serif"/>
                  <w:b w:val="false"/>
                  <w:strike w:val="false"/>
                  <w:dstrike w:val="false"/>
                  <w:color w:val="000000"/>
                  <w:sz w:val="20"/>
                  <w:u w:val="none"/>
                  <w:effect w:val="none"/>
                </w:rPr>
                <w:t>6</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31">
              <w:r>
                <w:rPr>
                  <w:rStyle w:val="InternetLink"/>
                  <w:rFonts w:ascii="Calibri;sans-serif" w:hAnsi="Calibri;sans-serif"/>
                  <w:b w:val="false"/>
                  <w:color w:val="0563C1"/>
                  <w:sz w:val="20"/>
                  <w:u w:val="single"/>
                </w:rPr>
                <w:t>Notes to Condensed Consolidated 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31">
              <w:r>
                <w:rPr>
                  <w:rStyle w:val="InternetLink"/>
                  <w:rFonts w:ascii="Calibri;sans-serif" w:hAnsi="Calibri;sans-serif"/>
                  <w:b w:val="false"/>
                  <w:strike w:val="false"/>
                  <w:dstrike w:val="false"/>
                  <w:color w:val="000000"/>
                  <w:sz w:val="20"/>
                  <w:u w:val="none"/>
                  <w:effect w:val="none"/>
                </w:rPr>
                <w:t>7</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76">
              <w:r>
                <w:rPr>
                  <w:rStyle w:val="InternetLink"/>
                  <w:rFonts w:ascii="Calibri;sans-serif" w:hAnsi="Calibri;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76">
              <w:r>
                <w:rPr>
                  <w:rStyle w:val="InternetLink"/>
                  <w:rFonts w:ascii="Calibri;sans-serif" w:hAnsi="Calibri;sans-serif"/>
                  <w:b w:val="false"/>
                  <w:color w:val="0563C1"/>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76">
              <w:r>
                <w:rPr>
                  <w:rStyle w:val="InternetLink"/>
                  <w:rFonts w:ascii="Calibri;sans-serif" w:hAnsi="Calibri;sans-serif"/>
                  <w:b w:val="false"/>
                  <w:strike w:val="false"/>
                  <w:dstrike w:val="false"/>
                  <w:color w:val="000000"/>
                  <w:sz w:val="20"/>
                  <w:u w:val="none"/>
                  <w:effect w:val="none"/>
                </w:rPr>
                <w:t>24</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03">
              <w:r>
                <w:rPr>
                  <w:rStyle w:val="InternetLink"/>
                  <w:rFonts w:ascii="Calibri;sans-serif" w:hAnsi="Calibri;sans-serif"/>
                  <w:b w:val="false"/>
                  <w:strike w:val="false"/>
                  <w:dstrike w:val="false"/>
                  <w:color w:val="000000"/>
                  <w:sz w:val="20"/>
                  <w:u w:val="none"/>
                  <w:effect w:val="none"/>
                </w:rPr>
                <w:t>Item 3.</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03">
              <w:r>
                <w:rPr>
                  <w:rStyle w:val="InternetLink"/>
                  <w:rFonts w:ascii="Calibri;sans-serif" w:hAnsi="Calibri;sans-serif"/>
                  <w:b w:val="false"/>
                  <w:color w:val="0563C1"/>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03">
              <w:r>
                <w:rPr>
                  <w:rStyle w:val="InternetLink"/>
                  <w:rFonts w:ascii="Calibri;sans-serif" w:hAnsi="Calibri;sans-serif"/>
                  <w:b w:val="false"/>
                  <w:strike w:val="false"/>
                  <w:dstrike w:val="false"/>
                  <w:color w:val="000000"/>
                  <w:sz w:val="20"/>
                  <w:u w:val="none"/>
                  <w:effect w:val="none"/>
                </w:rPr>
                <w:t>40</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06">
              <w:r>
                <w:rPr>
                  <w:rStyle w:val="InternetLink"/>
                  <w:rFonts w:ascii="Calibri;sans-serif" w:hAnsi="Calibri;sans-serif"/>
                  <w:b w:val="false"/>
                  <w:strike w:val="false"/>
                  <w:dstrike w:val="false"/>
                  <w:color w:val="000000"/>
                  <w:sz w:val="20"/>
                  <w:u w:val="none"/>
                  <w:effect w:val="none"/>
                </w:rPr>
                <w:t>Item 4.</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06">
              <w:r>
                <w:rPr>
                  <w:rStyle w:val="InternetLink"/>
                  <w:rFonts w:ascii="Calibri;sans-serif" w:hAnsi="Calibri;sans-serif"/>
                  <w:b w:val="false"/>
                  <w:color w:val="0563C1"/>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06">
              <w:r>
                <w:rPr>
                  <w:rStyle w:val="InternetLink"/>
                  <w:rFonts w:ascii="Calibri;sans-serif" w:hAnsi="Calibri;sans-serif"/>
                  <w:b w:val="false"/>
                  <w:strike w:val="false"/>
                  <w:dstrike w:val="false"/>
                  <w:color w:val="000000"/>
                  <w:sz w:val="20"/>
                  <w:u w:val="none"/>
                  <w:effect w:val="none"/>
                </w:rPr>
                <w:t>40</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09">
              <w:r>
                <w:rPr>
                  <w:rStyle w:val="InternetLink"/>
                  <w:rFonts w:ascii="Calibri;sans-serif" w:hAnsi="Calibri;sans-serif"/>
                  <w:b/>
                  <w:strike w:val="false"/>
                  <w:dstrike w:val="false"/>
                  <w:color w:val="000000"/>
                  <w:sz w:val="20"/>
                  <w:u w:val="none"/>
                  <w:effect w:val="none"/>
                </w:rPr>
                <w:t>PART II.</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09">
              <w:r>
                <w:rPr>
                  <w:rStyle w:val="InternetLink"/>
                  <w:rFonts w:ascii="Calibri;sans-serif" w:hAnsi="Calibri;sans-serif"/>
                  <w:b/>
                  <w:color w:val="0563C1"/>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12">
              <w:r>
                <w:rPr>
                  <w:rStyle w:val="InternetLink"/>
                  <w:rFonts w:ascii="Calibri;sans-serif" w:hAnsi="Calibri;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12">
              <w:r>
                <w:rPr>
                  <w:rStyle w:val="InternetLink"/>
                  <w:rFonts w:ascii="Calibri;sans-serif" w:hAnsi="Calibri;sans-serif"/>
                  <w:b w:val="false"/>
                  <w:color w:val="0563C1"/>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12">
              <w:r>
                <w:rPr>
                  <w:rStyle w:val="InternetLink"/>
                  <w:rFonts w:ascii="Calibri;sans-serif" w:hAnsi="Calibri;sans-serif"/>
                  <w:b w:val="false"/>
                  <w:strike w:val="false"/>
                  <w:dstrike w:val="false"/>
                  <w:color w:val="000000"/>
                  <w:sz w:val="20"/>
                  <w:u w:val="none"/>
                  <w:effect w:val="none"/>
                </w:rPr>
                <w:t>41</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15">
              <w:r>
                <w:rPr>
                  <w:rStyle w:val="InternetLink"/>
                  <w:rFonts w:ascii="Calibri;sans-serif" w:hAnsi="Calibri;sans-serif"/>
                  <w:b w:val="false"/>
                  <w:strike w:val="false"/>
                  <w:dstrike w:val="false"/>
                  <w:color w:val="000000"/>
                  <w:sz w:val="20"/>
                  <w:u w:val="none"/>
                  <w:effect w:val="none"/>
                </w:rPr>
                <w:t>Item 1A.</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15">
              <w:r>
                <w:rPr>
                  <w:rStyle w:val="InternetLink"/>
                  <w:rFonts w:ascii="Calibri;sans-serif" w:hAnsi="Calibri;sans-serif"/>
                  <w:b w:val="false"/>
                  <w:color w:val="0563C1"/>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15">
              <w:r>
                <w:rPr>
                  <w:rStyle w:val="InternetLink"/>
                  <w:rFonts w:ascii="Calibri;sans-serif" w:hAnsi="Calibri;sans-serif"/>
                  <w:b w:val="false"/>
                  <w:strike w:val="false"/>
                  <w:dstrike w:val="false"/>
                  <w:color w:val="000000"/>
                  <w:sz w:val="20"/>
                  <w:u w:val="none"/>
                  <w:effect w:val="none"/>
                </w:rPr>
                <w:t>41</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18">
              <w:r>
                <w:rPr>
                  <w:rStyle w:val="InternetLink"/>
                  <w:rFonts w:ascii="Calibri;sans-serif" w:hAnsi="Calibri;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18">
              <w:r>
                <w:rPr>
                  <w:rStyle w:val="InternetLink"/>
                  <w:rFonts w:ascii="Calibri;sans-serif" w:hAnsi="Calibri;sans-serif"/>
                  <w:b w:val="false"/>
                  <w:color w:val="0563C1"/>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18">
              <w:r>
                <w:rPr>
                  <w:rStyle w:val="InternetLink"/>
                  <w:rFonts w:ascii="Calibri;sans-serif" w:hAnsi="Calibri;sans-serif"/>
                  <w:b w:val="false"/>
                  <w:strike w:val="false"/>
                  <w:dstrike w:val="false"/>
                  <w:color w:val="000000"/>
                  <w:sz w:val="20"/>
                  <w:u w:val="none"/>
                  <w:effect w:val="none"/>
                </w:rPr>
                <w:t>42</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Calibri;sans-serif" w:hAnsi="Calibri;sans-serif"/>
                <w:b w:val="false"/>
                <w:color w:val="000000"/>
                <w:sz w:val="20"/>
              </w:rPr>
            </w:pPr>
            <w:r>
              <w:rPr>
                <w:rFonts w:ascii="Calibri;sans-serif" w:hAnsi="Calibri;sans-serif"/>
                <w:b w:val="false"/>
                <w:color w:val="000000"/>
                <w:sz w:val="20"/>
              </w:rPr>
              <w:t>Item 3.</w:t>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21">
              <w:r>
                <w:rPr>
                  <w:rStyle w:val="InternetLink"/>
                  <w:rFonts w:ascii="Calibri;sans-serif" w:hAnsi="Calibri;sans-serif"/>
                  <w:b w:val="false"/>
                  <w:color w:val="000080"/>
                  <w:sz w:val="20"/>
                  <w:u w:val="single"/>
                </w:rPr>
                <w:t>D</w:t>
              </w:r>
            </w:hyperlink>
            <w:hyperlink w:anchor="iba33f55fcc87463e9ec0d14635e553a4_121">
              <w:r>
                <w:rPr>
                  <w:rStyle w:val="InternetLink"/>
                  <w:rFonts w:ascii="Calibri;sans-serif" w:hAnsi="Calibri;sans-serif"/>
                  <w:b w:val="false"/>
                  <w:color w:val="000080"/>
                  <w:sz w:val="20"/>
                  <w:u w:val="single"/>
                </w:rPr>
                <w:t>ef</w:t>
              </w:r>
            </w:hyperlink>
            <w:hyperlink w:anchor="iba33f55fcc87463e9ec0d14635e553a4_121">
              <w:r>
                <w:rPr>
                  <w:rStyle w:val="InternetLink"/>
                  <w:rFonts w:ascii="Calibri;sans-serif" w:hAnsi="Calibri;sans-serif"/>
                  <w:b w:val="false"/>
                  <w:color w:val="000080"/>
                  <w:sz w:val="20"/>
                  <w:u w:val="single"/>
                </w:rPr>
                <w:t>aults</w:t>
              </w:r>
            </w:hyperlink>
            <w:hyperlink w:anchor="iba33f55fcc87463e9ec0d14635e553a4_121">
              <w:r>
                <w:rPr>
                  <w:rStyle w:val="InternetLink"/>
                  <w:rFonts w:ascii="Calibri;sans-serif" w:hAnsi="Calibri;sans-serif"/>
                  <w:b w:val="false"/>
                  <w:color w:val="000080"/>
                  <w:sz w:val="20"/>
                  <w:u w:val="single"/>
                </w:rPr>
                <w:t xml:space="preserve"> Upon Senior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21">
              <w:r>
                <w:rPr>
                  <w:rStyle w:val="InternetLink"/>
                  <w:rFonts w:ascii="Calibri;sans-serif" w:hAnsi="Calibri;sans-serif"/>
                  <w:b w:val="false"/>
                  <w:strike w:val="false"/>
                  <w:dstrike w:val="false"/>
                  <w:color w:val="000000"/>
                  <w:sz w:val="20"/>
                  <w:u w:val="none"/>
                  <w:effect w:val="none"/>
                </w:rPr>
                <w:t>43</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Calibri;sans-serif" w:hAnsi="Calibri;sans-serif"/>
                <w:b w:val="false"/>
                <w:color w:val="000000"/>
                <w:sz w:val="20"/>
              </w:rPr>
            </w:pPr>
            <w:r>
              <w:rPr>
                <w:rFonts w:ascii="Calibri;sans-serif" w:hAnsi="Calibri;sans-serif"/>
                <w:b w:val="false"/>
                <w:color w:val="000000"/>
                <w:sz w:val="20"/>
              </w:rPr>
              <w:t>Item 4.</w:t>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24">
              <w:r>
                <w:rPr>
                  <w:rStyle w:val="InternetLink"/>
                  <w:rFonts w:ascii="Calibri;sans-serif" w:hAnsi="Calibri;sans-serif"/>
                  <w:b w:val="false"/>
                  <w:color w:val="000080"/>
                  <w:sz w:val="20"/>
                  <w:u w:val="single"/>
                </w:rPr>
                <w:t>M</w:t>
              </w:r>
            </w:hyperlink>
            <w:hyperlink w:anchor="iba33f55fcc87463e9ec0d14635e553a4_124">
              <w:r>
                <w:rPr>
                  <w:rStyle w:val="InternetLink"/>
                  <w:rFonts w:ascii="Calibri;sans-serif" w:hAnsi="Calibri;sans-serif"/>
                  <w:b w:val="false"/>
                  <w:color w:val="000080"/>
                  <w:sz w:val="20"/>
                  <w:u w:val="single"/>
                </w:rPr>
                <w:t>ine Saf</w:t>
              </w:r>
            </w:hyperlink>
            <w:hyperlink w:anchor="iba33f55fcc87463e9ec0d14635e553a4_124">
              <w:r>
                <w:rPr>
                  <w:rStyle w:val="InternetLink"/>
                  <w:rFonts w:ascii="Calibri;sans-serif" w:hAnsi="Calibri;sans-serif"/>
                  <w:b w:val="false"/>
                  <w:color w:val="000080"/>
                  <w:sz w:val="20"/>
                  <w:u w:val="single"/>
                </w:rPr>
                <w:t>ety Disclo</w:t>
              </w:r>
            </w:hyperlink>
            <w:hyperlink w:anchor="iba33f55fcc87463e9ec0d14635e553a4_124">
              <w:r>
                <w:rPr>
                  <w:rStyle w:val="InternetLink"/>
                  <w:rFonts w:ascii="Calibri;sans-serif" w:hAnsi="Calibri;sans-serif"/>
                  <w:b w:val="false"/>
                  <w:color w:val="000080"/>
                  <w:sz w:val="20"/>
                  <w:u w:val="single"/>
                </w:rPr>
                <w:t>sures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24">
              <w:r>
                <w:rPr>
                  <w:rStyle w:val="InternetLink"/>
                  <w:rFonts w:ascii="Calibri;sans-serif" w:hAnsi="Calibri;sans-serif"/>
                  <w:b w:val="false"/>
                  <w:strike w:val="false"/>
                  <w:dstrike w:val="false"/>
                  <w:color w:val="000000"/>
                  <w:sz w:val="20"/>
                  <w:u w:val="none"/>
                  <w:effect w:val="none"/>
                </w:rPr>
                <w:t>43</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Calibri;sans-serif" w:hAnsi="Calibri;sans-serif"/>
                <w:b w:val="false"/>
                <w:color w:val="000000"/>
                <w:sz w:val="20"/>
              </w:rPr>
            </w:pPr>
            <w:r>
              <w:rPr>
                <w:rFonts w:ascii="Calibri;sans-serif" w:hAnsi="Calibri;sans-serif"/>
                <w:b w:val="false"/>
                <w:color w:val="000000"/>
                <w:sz w:val="20"/>
              </w:rPr>
              <w:t>Item 5.</w:t>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27">
              <w:r>
                <w:rPr>
                  <w:rStyle w:val="InternetLink"/>
                  <w:rFonts w:ascii="Calibri;sans-serif" w:hAnsi="Calibri;sans-serif"/>
                  <w:b w:val="false"/>
                  <w:color w:val="000080"/>
                  <w:sz w:val="20"/>
                  <w:u w:val="single"/>
                </w:rPr>
                <w:t>O</w:t>
              </w:r>
            </w:hyperlink>
            <w:hyperlink w:anchor="iba33f55fcc87463e9ec0d14635e553a4_127">
              <w:r>
                <w:rPr>
                  <w:rStyle w:val="InternetLink"/>
                  <w:rFonts w:ascii="Calibri;sans-serif" w:hAnsi="Calibri;sans-serif"/>
                  <w:b w:val="false"/>
                  <w:color w:val="000080"/>
                  <w:sz w:val="20"/>
                  <w:u w:val="single"/>
                </w:rPr>
                <w:t>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27">
              <w:r>
                <w:rPr>
                  <w:rStyle w:val="InternetLink"/>
                  <w:rFonts w:ascii="Calibri;sans-serif" w:hAnsi="Calibri;sans-serif"/>
                  <w:b w:val="false"/>
                  <w:strike w:val="false"/>
                  <w:dstrike w:val="false"/>
                  <w:color w:val="000000"/>
                  <w:sz w:val="20"/>
                  <w:u w:val="none"/>
                  <w:effect w:val="none"/>
                </w:rPr>
                <w:t>43</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30">
              <w:r>
                <w:rPr>
                  <w:rStyle w:val="InternetLink"/>
                  <w:rFonts w:ascii="Calibri;sans-serif" w:hAnsi="Calibri;sans-serif"/>
                  <w:b w:val="false"/>
                  <w:strike w:val="false"/>
                  <w:dstrike w:val="false"/>
                  <w:color w:val="000000"/>
                  <w:sz w:val="20"/>
                  <w:u w:val="none"/>
                  <w:effect w:val="none"/>
                </w:rPr>
                <w:t>Item 6.</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30">
              <w:r>
                <w:rPr>
                  <w:rStyle w:val="InternetLink"/>
                  <w:rFonts w:ascii="Calibri;sans-serif" w:hAnsi="Calibri;sans-serif"/>
                  <w:b w:val="false"/>
                  <w:color w:val="0563C1"/>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30">
              <w:r>
                <w:rPr>
                  <w:rStyle w:val="InternetLink"/>
                  <w:rFonts w:ascii="Calibri;sans-serif" w:hAnsi="Calibri;sans-serif"/>
                  <w:b w:val="false"/>
                  <w:strike w:val="false"/>
                  <w:dstrike w:val="false"/>
                  <w:color w:val="000000"/>
                  <w:sz w:val="20"/>
                  <w:u w:val="none"/>
                  <w:effect w:val="none"/>
                </w:rPr>
                <w:t>43</w:t>
              </w:r>
            </w:hyperlink>
          </w:p>
        </w:tc>
      </w:tr>
      <w:tr>
        <w:trPr/>
        <w:tc>
          <w:tcPr>
            <w:tcW w:w="8625" w:type="dxa"/>
            <w:gridSpan w:val="6"/>
            <w:tcBorders/>
            <w:tcMar>
              <w:top w:w="0" w:type="dxa"/>
              <w:left w:w="0" w:type="dxa"/>
              <w:bottom w:w="0" w:type="dxa"/>
              <w:right w:w="0" w:type="dxa"/>
            </w:tcMar>
            <w:vAlign w:val="center"/>
          </w:tcPr>
          <w:p>
            <w:pPr>
              <w:pStyle w:val="TableContents"/>
              <w:bidi w:val="0"/>
              <w:spacing w:lineRule="auto" w:line="252" w:before="14" w:after="283"/>
              <w:jc w:val="left"/>
              <w:rPr/>
            </w:pPr>
            <w:hyperlink w:anchor="iba33f55fcc87463e9ec0d14635e553a4_133">
              <w:r>
                <w:rPr>
                  <w:rStyle w:val="InternetLink"/>
                  <w:rFonts w:ascii="Calibri;sans-serif" w:hAnsi="Calibri;sans-serif"/>
                  <w:b w:val="false"/>
                  <w:color w:val="0563C1"/>
                  <w:sz w:val="20"/>
                  <w:u w:val="single"/>
                </w:rPr>
                <w:t>Exhibit Index</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33">
              <w:r>
                <w:rPr>
                  <w:rStyle w:val="InternetLink"/>
                  <w:rFonts w:ascii="Calibri;sans-serif" w:hAnsi="Calibri;sans-serif"/>
                  <w:b w:val="false"/>
                  <w:strike w:val="false"/>
                  <w:dstrike w:val="false"/>
                  <w:color w:val="000000"/>
                  <w:sz w:val="20"/>
                  <w:u w:val="none"/>
                  <w:effect w:val="none"/>
                </w:rPr>
                <w:t>43</w:t>
              </w:r>
            </w:hyperlink>
          </w:p>
        </w:tc>
      </w:tr>
      <w:tr>
        <w:trPr/>
        <w:tc>
          <w:tcPr>
            <w:tcW w:w="8625" w:type="dxa"/>
            <w:gridSpan w:val="6"/>
            <w:tcBorders/>
            <w:tcMar>
              <w:top w:w="0" w:type="dxa"/>
              <w:left w:w="0" w:type="dxa"/>
              <w:bottom w:w="0" w:type="dxa"/>
              <w:right w:w="0" w:type="dxa"/>
            </w:tcMar>
            <w:vAlign w:val="center"/>
          </w:tcPr>
          <w:p>
            <w:pPr>
              <w:pStyle w:val="TableContents"/>
              <w:bidi w:val="0"/>
              <w:spacing w:lineRule="auto" w:line="252" w:before="0" w:after="0"/>
              <w:jc w:val="left"/>
              <w:rPr/>
            </w:pPr>
            <w:hyperlink w:anchor="iba33f55fcc87463e9ec0d14635e553a4_136">
              <w:r>
                <w:rPr>
                  <w:rStyle w:val="InternetLink"/>
                  <w:rFonts w:ascii="Calibri;sans-serif" w:hAnsi="Calibri;sans-serif"/>
                  <w:b w:val="false"/>
                  <w:color w:val="0563C1"/>
                  <w:sz w:val="20"/>
                  <w:u w:val="single"/>
                </w:rPr>
                <w:t>Signatures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ba33f55fcc87463e9ec0d14635e553a4_136">
              <w:r>
                <w:rPr>
                  <w:rStyle w:val="InternetLink"/>
                  <w:rFonts w:ascii="Calibri;sans-serif" w:hAnsi="Calibri;sans-serif"/>
                  <w:b w:val="false"/>
                  <w:strike w:val="false"/>
                  <w:dstrike w:val="false"/>
                  <w:color w:val="000000"/>
                  <w:sz w:val="20"/>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2E74B5"/>
          <w:sz w:val="20"/>
        </w:rPr>
      </w:pPr>
      <w:r>
        <w:rPr>
          <w:rFonts w:ascii="Calibri;sans-serif" w:hAnsi="Calibri;sans-serif"/>
          <w:b/>
          <w:color w:val="2E74B5"/>
          <w:sz w:val="20"/>
        </w:rPr>
        <w:t>CAUTIONARY STATEMENT REGARDING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 </w:t>
      </w:r>
    </w:p>
    <w:p>
      <w:pPr>
        <w:pStyle w:val="TextBody"/>
        <w:bidi w:val="0"/>
        <w:spacing w:lineRule="auto" w:line="288" w:before="240" w:after="283"/>
        <w:jc w:val="left"/>
        <w:rPr/>
      </w:pPr>
      <w:r>
        <w:rPr>
          <w:rFonts w:ascii="Calibri;sans-serif" w:hAnsi="Calibri;sans-serif"/>
          <w:b w:val="false"/>
          <w:color w:val="000000"/>
          <w:sz w:val="20"/>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Calibri;sans-serif" w:hAnsi="Calibri;sans-serif"/>
          <w:b w:val="false"/>
          <w:i/>
          <w:color w:val="000000"/>
          <w:sz w:val="20"/>
        </w:rPr>
        <w:t>Risk Factors</w:t>
      </w:r>
      <w:r>
        <w:rPr>
          <w:color w:val="000000"/>
        </w:rPr>
        <w:t xml:space="preserve">” </w:t>
      </w:r>
      <w:r>
        <w:rPr>
          <w:rFonts w:ascii="Calibri;sans-serif" w:hAnsi="Calibri;sans-serif"/>
          <w:b w:val="false"/>
          <w:color w:val="000000"/>
          <w:sz w:val="20"/>
        </w:rPr>
        <w:t>of the most recent Form 10-K of Greenidge Generation Holdings Inc. (“Greenidge,” the “Company,” “we,” “us,” or “our”) filed with the Securities and Exchange Commission ("SEC") and in this Quarterly Report on Form 10-Q, as well as those described from time to time in our future reports filed with the SEC, which should be reviewed carefully. Please consider Greenidge's forward-looking statements in light of those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BALANCE SHEETS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96"/>
        <w:gridCol w:w="2276"/>
        <w:gridCol w:w="2303"/>
        <w:gridCol w:w="225"/>
        <w:gridCol w:w="771"/>
        <w:gridCol w:w="116"/>
        <w:gridCol w:w="109"/>
        <w:gridCol w:w="109"/>
        <w:gridCol w:w="109"/>
        <w:gridCol w:w="250"/>
        <w:gridCol w:w="855"/>
        <w:gridCol w:w="186"/>
      </w:tblGrid>
      <w:tr>
        <w:trPr/>
        <w:tc>
          <w:tcPr>
            <w:tcW w:w="289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r>
      <w:tr>
        <w:trPr/>
        <w:tc>
          <w:tcPr>
            <w:tcW w:w="7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including restricted cash</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14,337 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current other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Emissions and carbon offset credits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receivable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assets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30,839 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45,095 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assets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74,569 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71,179 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LIABILITIES AND STOCKHOLDERS' EQUITY</w:t>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3,495 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emissions expense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Short-term environmental liability</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short-term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liabilities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20,246 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20,977 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LIABILITIES: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deferred financing fees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68,971 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68,710 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121,433 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122,203 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COMMITMENTS AND CONTINGENCIES (NOTE 10)</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STOCKHOLDERS' DEFICIT:</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Preferred stock, par value $0.0001, 20,000,000 shares authorized, none outstanding</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Common stock, par value $0.0001, 500,000,000 shares authorized, 9,786,178 and 9,131,252 shares issued and outstanding as of March 31, 2024 and December 31, 2023, respectively</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Additional paid-in capital</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327,401 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319,992 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Cumulative translation adjustment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Common stock subscription receivable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Accumulated deficit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(373,918)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(369,974)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stockholders' deficit</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(46,864)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(51,024)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 and stockholders' deficit</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74,569 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71,179 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4"/>
        </w:rPr>
      </w:pPr>
      <w:r>
        <w:rPr>
          <w:rFonts w:ascii="Calibri;sans-serif" w:hAnsi="Calibri;sans-serif"/>
          <w:b/>
          <w:color w:val="000000"/>
          <w:sz w:val="24"/>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OPERATIONS AND COMPREHENSIVE LOSS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except per share data) </w:t>
      </w:r>
    </w:p>
    <w:tbl>
      <w:tblPr>
        <w:tblW w:w="8439" w:type="dxa"/>
        <w:jc w:val="left"/>
        <w:tblInd w:w="0" w:type="dxa"/>
        <w:tblLayout w:type="fixed"/>
        <w:tblCellMar>
          <w:top w:w="28" w:type="dxa"/>
          <w:left w:w="28" w:type="dxa"/>
          <w:bottom w:w="28" w:type="dxa"/>
          <w:right w:w="28" w:type="dxa"/>
        </w:tblCellMar>
      </w:tblPr>
      <w:tblGrid>
        <w:gridCol w:w="2024"/>
        <w:gridCol w:w="1784"/>
        <w:gridCol w:w="1801"/>
        <w:gridCol w:w="211"/>
        <w:gridCol w:w="691"/>
        <w:gridCol w:w="109"/>
        <w:gridCol w:w="109"/>
        <w:gridCol w:w="109"/>
        <w:gridCol w:w="109"/>
        <w:gridCol w:w="211"/>
        <w:gridCol w:w="691"/>
        <w:gridCol w:w="109"/>
        <w:gridCol w:w="109"/>
        <w:gridCol w:w="109"/>
        <w:gridCol w:w="109"/>
        <w:gridCol w:w="154"/>
      </w:tblGrid>
      <w:tr>
        <w:trPr/>
        <w:tc>
          <w:tcPr>
            <w:tcW w:w="202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datacenter hosting (exclusive of depreciation)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cryptocurrency mining (exclusive of depreciation)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power and capacity (exclusive of depreciation)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EPCM consulting services (exclusive of depreciation)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digital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Benefit from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 net of tax</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Comprehensive Loss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Foreign currency 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Net loss per share, basic and diluted:</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per share from continuing operations,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per share from discontinued operations, basic and diluted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per share, basic and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shares outstanding, basic and diluted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pPr>
      <w:r>
        <w:rPr>
          <w:rFonts w:ascii="Calibri;sans-serif" w:hAnsi="Calibri;sans-serif"/>
          <w:b/>
          <w:color w:val="000000"/>
          <w:sz w:val="24"/>
        </w:rPr>
        <w:t>Greenidge Generation Holdings Inc.</w:t>
      </w:r>
      <w:r>
        <w:rPr>
          <w:color w:val="000000"/>
        </w:rPr>
        <w:t xml:space="preserve">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STOCKHOLDERS’ DEFICIT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except share data) </w:t>
      </w:r>
    </w:p>
    <w:tbl>
      <w:tblPr>
        <w:tblW w:w="10205" w:type="dxa"/>
        <w:jc w:val="left"/>
        <w:tblInd w:w="0" w:type="dxa"/>
        <w:tblLayout w:type="fixed"/>
        <w:tblCellMar>
          <w:top w:w="28" w:type="dxa"/>
          <w:left w:w="28" w:type="dxa"/>
          <w:bottom w:w="28" w:type="dxa"/>
          <w:right w:w="28" w:type="dxa"/>
        </w:tblCellMar>
      </w:tblPr>
      <w:tblGrid>
        <w:gridCol w:w="685"/>
        <w:gridCol w:w="241"/>
        <w:gridCol w:w="244"/>
        <w:gridCol w:w="109"/>
        <w:gridCol w:w="109"/>
        <w:gridCol w:w="124"/>
        <w:gridCol w:w="124"/>
        <w:gridCol w:w="450"/>
        <w:gridCol w:w="406"/>
        <w:gridCol w:w="125"/>
        <w:gridCol w:w="109"/>
        <w:gridCol w:w="109"/>
        <w:gridCol w:w="109"/>
        <w:gridCol w:w="196"/>
        <w:gridCol w:w="406"/>
        <w:gridCol w:w="109"/>
        <w:gridCol w:w="185"/>
        <w:gridCol w:w="185"/>
        <w:gridCol w:w="186"/>
        <w:gridCol w:w="197"/>
        <w:gridCol w:w="728"/>
        <w:gridCol w:w="110"/>
        <w:gridCol w:w="109"/>
        <w:gridCol w:w="109"/>
        <w:gridCol w:w="109"/>
        <w:gridCol w:w="196"/>
        <w:gridCol w:w="461"/>
        <w:gridCol w:w="109"/>
        <w:gridCol w:w="109"/>
        <w:gridCol w:w="109"/>
        <w:gridCol w:w="109"/>
        <w:gridCol w:w="227"/>
        <w:gridCol w:w="487"/>
        <w:gridCol w:w="127"/>
        <w:gridCol w:w="109"/>
        <w:gridCol w:w="109"/>
        <w:gridCol w:w="109"/>
        <w:gridCol w:w="196"/>
        <w:gridCol w:w="737"/>
        <w:gridCol w:w="109"/>
        <w:gridCol w:w="109"/>
        <w:gridCol w:w="109"/>
        <w:gridCol w:w="109"/>
        <w:gridCol w:w="196"/>
        <w:gridCol w:w="647"/>
        <w:gridCol w:w="159"/>
      </w:tblGrid>
      <w:tr>
        <w:trPr/>
        <w:tc>
          <w:tcPr>
            <w:tcW w:w="68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Additional </w:t>
              <w:br/>
              <w:t xml:space="preserve">Paid - In </w:t>
              <w:br/>
              <w:t>Capital</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Subscription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Cumulative </w:t>
              <w:br/>
              <w:t xml:space="preserve">Translation </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Total</w:t>
            </w:r>
          </w:p>
        </w:tc>
        <w:tc>
          <w:tcPr>
            <w:tcW w:w="1329" w:type="dxa"/>
            <w:gridSpan w:val="6"/>
            <w:tcBorders/>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Amount</w:t>
            </w:r>
          </w:p>
        </w:tc>
        <w:tc>
          <w:tcPr>
            <w:tcW w:w="10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9,131,252 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319,992 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(369,974)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(51,024)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Issuance of shares in connection with Securities Purchase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450,300 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1,133 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1,133 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Issuance of shares,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45,269 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Restricted shares award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159,357 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Issuance of warrants in connection with Securities Purchase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(3,944)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9,786,178 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327,401 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(373,918)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(46,864)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January 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4,625,278 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293,774 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(340,464)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(47,047)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Issuance of shares,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1,211,926 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8,095 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8,096 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Restricted shares award issuance, net of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9,275 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Proceeds from 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133,333 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(8,171)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5,979,812 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303,350 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(340)</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(348,635)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(45,624)</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240" w:after="283"/>
        <w:jc w:val="center"/>
        <w:rPr/>
      </w:pPr>
      <w:r>
        <w:rPr>
          <w:rFonts w:ascii="Calibri;sans-serif" w:hAnsi="Calibri;sans-serif"/>
          <w:b/>
          <w:color w:val="000000"/>
          <w:sz w:val="24"/>
        </w:rPr>
        <w:t>Greenidge Generation Holdings Inc.</w:t>
      </w:r>
      <w:r>
        <w:rPr>
          <w:color w:val="000000"/>
        </w:rPr>
        <w:t xml:space="preserve">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CONDENSED CONSOLIDATED STATEMENTS OF CASH FLOWS (UNAUDITED)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2812"/>
        <w:gridCol w:w="2465"/>
        <w:gridCol w:w="2472"/>
        <w:gridCol w:w="211"/>
        <w:gridCol w:w="721"/>
        <w:gridCol w:w="109"/>
        <w:gridCol w:w="109"/>
        <w:gridCol w:w="109"/>
        <w:gridCol w:w="109"/>
        <w:gridCol w:w="211"/>
        <w:gridCol w:w="721"/>
        <w:gridCol w:w="156"/>
      </w:tblGrid>
      <w:tr>
        <w:trPr/>
        <w:tc>
          <w:tcPr>
            <w:tcW w:w="2812"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OPERATING ACTIVITIES FROM CONTINUING OPERATIONS: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Adjustments to reconcile net loss from continuing operations to net cash flow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 added to principal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Emissions and carbon offset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used for operating activities from continuing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INVESTING ACTIVITIES FROM CONTINUING OPERATIONS: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Purchases of and deposits for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sale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used for investing activities from continuing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FINANCING ACTIVITIES FROM CONTINUING OPERATIONS: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issuance of common stock,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issuance of common stock and pre-funded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Principal payments on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provided by financing activities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Discontinued Operations: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Net cash flow from operating activities of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Net cash flow from investing activities of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Increase (decrease) in cash and cash equivalents from discontinued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CASH EQUIVALENTS AND RESTRICTED CASH -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CASH EQUIVALENTS AND RESTRICTED CASH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Calibri;sans-serif" w:hAnsi="Calibri;sans-serif"/>
          <w:b w:val="false"/>
          <w:color w:val="000000"/>
          <w:sz w:val="20"/>
        </w:rPr>
      </w:pPr>
      <w:r>
        <w:rPr>
          <w:rFonts w:ascii="Calibri;sans-serif" w:hAnsi="Calibri;sans-serif"/>
          <w:b w:val="false"/>
          <w:color w:val="000000"/>
          <w:sz w:val="20"/>
        </w:rPr>
        <w:t>See Note 13 for supplemental cash flow information</w:t>
      </w:r>
    </w:p>
    <w:p>
      <w:pPr>
        <w:pStyle w:val="TextBody"/>
        <w:bidi w:val="0"/>
        <w:spacing w:lineRule="auto" w:line="288" w:before="120" w:after="283"/>
        <w:jc w:val="center"/>
        <w:rPr>
          <w:rFonts w:ascii="Calibri;sans-serif" w:hAnsi="Calibri;sans-serif"/>
          <w:b w:val="false"/>
          <w:color w:val="000000"/>
          <w:sz w:val="20"/>
        </w:rPr>
      </w:pPr>
      <w:r>
        <w:rPr>
          <w:rFonts w:ascii="Calibri;sans-serif" w:hAnsi="Calibri;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 ORGANIZATION AND DESCRIPTION OF BUSINESS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Greenidge Generation Holdings Inc. ("Greenidge") and its subsidiaries (collectively, the "Company") owns and operates a vertically integrated cryptocurrency datacenter and power generation company. The Company owns and operates facilities in the Town of Torrey, New York (the "New York Facility") and the Town of Columbia, Mississippi (the "Mississippi Facility"), operates a facility under a lease in the Town of Underwood, North Dakota (the "North Dakota Facility") and owned and operated a facility in Spartanburg, South Carolina (the "South Carolina Facility"). The Company generates revenue in U.S. dollars by providing hosting, power and technical support services to third-party owned bitcoin mining equipment and generates revenue in the form of bitcoin by earning bitcoin as rewards and transaction fees for supporting the global bitcoin network with application-specific integrated circuit computers ("ASICs" or "miners") owned by the Company, which may be operated at the Company's sites or at third-party hosting sites through short-term hosting agreements. The earned bitcoin are then exchanged for U.S. dollars. The Company also owns and operates a 106 megawatt ("MW") power facility that is connected to the New York Independent System Operator ("NYISO") power grid. In addition to the electricity used "behind the meter" by the New York datacenter, the Company sells electricity to the NYISO at all times when its power plant is running and increases or decreases the amount of electricity sold based on prevailing prices in the wholesale electricity market and demand for electricity.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Effective May 16, 2023, the Company effected a 1-for-10 reverse stock split of its outstanding shares of common stock. The par value remains unchanged. Unless specifically provided otherwise herein, all share and per share amounts as well as common stock and additional paid-in capital have been retroactively adjusted to reflect the reverse stock split. See Note 9, "Stockholders' Deficit",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2. SUMMARY OF SIGNIFICANT ACCOUNTING POLICIES </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Presentation of Condensed Consolidated Financial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the opinion of Greenidge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are not necessarily indicative of results to be expected for the year ending December 31, 2024 or for any future interim period. The unaudited interim condensed consolidated financial statements do not include all of the information and notes required by United States Generally Accepted Accounting Principles for complete financial statements. </w:t>
      </w:r>
    </w:p>
    <w:p>
      <w:pPr>
        <w:pStyle w:val="TextBody"/>
        <w:bidi w:val="0"/>
        <w:spacing w:lineRule="auto" w:line="288" w:before="360" w:after="283"/>
        <w:jc w:val="left"/>
        <w:rPr/>
      </w:pPr>
      <w:r>
        <w:rPr>
          <w:rFonts w:ascii="Calibri;sans-serif" w:hAnsi="Calibri;sans-serif"/>
          <w:b w:val="false"/>
          <w:color w:val="000000"/>
          <w:sz w:val="20"/>
        </w:rPr>
        <w:t>The Company has reflected the operations of its Support.com business as discontinued operations for all periods presented. See Note 3, “</w:t>
      </w:r>
      <w:r>
        <w:rPr>
          <w:rFonts w:ascii="Calibri;sans-serif" w:hAnsi="Calibri;sans-serif"/>
          <w:b w:val="false"/>
          <w:i/>
          <w:color w:val="000000"/>
          <w:sz w:val="20"/>
        </w:rPr>
        <w:t>Discontinued Operations</w:t>
      </w:r>
      <w:r>
        <w:rPr>
          <w:color w:val="000000"/>
        </w:rPr>
        <w:t xml:space="preserve">” </w:t>
      </w:r>
      <w:r>
        <w:rPr>
          <w:rFonts w:ascii="Calibri;sans-serif" w:hAnsi="Calibri;sans-serif"/>
          <w:b w:val="false"/>
          <w:color w:val="000000"/>
          <w:sz w:val="20"/>
        </w:rPr>
        <w:t>for further information. Unless otherwise noted, amounts and disclosures throughout these notes to the Company's condensed consolidated financial statements relate solely to continuing operations and exclude all discontinued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accompanying condensed consolidated financial statements should be read in conjunction with the notes to the consolidated financial statements of the Company in its 2023 Annual Report on Form 10-K.</w:t>
      </w:r>
    </w:p>
    <w:p>
      <w:pPr>
        <w:pStyle w:val="TextBody"/>
        <w:bidi w:val="0"/>
        <w:spacing w:lineRule="auto" w:line="288" w:before="120" w:after="283"/>
        <w:jc w:val="left"/>
        <w:rPr>
          <w:rFonts w:ascii="Calibri;sans-serif" w:hAnsi="Calibri;sans-serif"/>
          <w:b/>
          <w:i/>
          <w:color w:val="000000"/>
          <w:sz w:val="20"/>
        </w:rPr>
      </w:pPr>
      <w:r>
        <w:rPr>
          <w:rFonts w:ascii="Calibri;sans-serif" w:hAnsi="Calibri;sans-serif"/>
          <w:b/>
          <w:i/>
          <w:color w:val="000000"/>
          <w:sz w:val="20"/>
        </w:rPr>
        <w:t>Going Concern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accordance with the Financial Accounting Standards Board (the "FASB") Accounting Standards Update ("ASU") 2014-15, Presentation of Financial Statements – Going Concern, the Greenidge's management evaluated whether there are conditions or events that pose risk associated with the Company's ability to continue as a going concern within one year after the date these financial statements have been issued. The Company’s consolidated financial statements have been prepared assuming that it will continue as a going concern. The Company has historically incurred operating losses and negative cash flows from operations. These factors raise substantial doubt as to the Company’s ability to continue as a going concern.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The halving of bitcoin, which occurred April 19, 2024, may have an adverse effect on the Company’s projected future cash flows. The fixed costs to operate the business including, but not limited to, insurance, overhead and capital expenditures, as well as the variable input costs to operate the Company’s datacenters, has a material impact on the Company’s continuing operations and ability to generate positive cash flows. While the market has improved in 2023 and 2024, the Company continues to have to address the possibility of negative impacts of the price of bitcoin and natural gas as these have proven to be volatile markets. As a result, management took certain actions during 2023 to improve the Company's liquidity that are described further below. At March 31, 2024, the Company had $14.3 million of cash, restricted cash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cash equivalents and other current assets of $16.5 million, while having $6.9 million of accounts payable and accrued expenses, emissions liability of $12.3 million, current liabilities held for sale of $0.3 million, other short-term liabilities of $0.2 million, and an estimated $0.7 million of environmental liability spend in the next 12 months, which results in ending working capital of $10.6 million.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Additionally, the Company has $6.1 million of interest payments due over the next twelve months. The ability to continue as a going concern is dependent upon the Company generating profitable operations in the future and/or obtaining the necessary financing to meet its obligations and repay its liabilities arising from normal business operations when they come due. In an effort to improve liquidity, the Company has completed or is in the process of completing the following transactions: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In September 2022, Greenidge entered into an at-the-market issuance sales agreement, as amended, dated as of September 19, 2022, by and among the Company, B. Riley Securities, Inc. (“B. Riley Securities”) and Northland Securities, Inc., relating to shares of Greenidge’s Class A common stock (the "ATM Agreement"), and since October 23, 2022 through May 13, 2024, have received net proceeds of $20.7 million from sales of Class A common stock under the ATM Agreement. See Note 9, "Stockholder's Deficit", for further details.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On January 30, 2023, the Company entered into debt restructuring agreements with NYDIG ABL LLC ("NYDIG") and B. Riley Commercial Capital, LLC ("B. Riley Commercial"). The restructuring of the NYDIG debt improved the Company's liquidity during 2023 as the payments required in 2023 on the remaining principal balance was interest payments of $2.0 million. This reduced debt service is substantially lower than the $62.7 million of principal and interest payments which would have been required in 2023 pursuant to the 2021 and 2022 Master Equipment Finance Agreements, both of which were refinanced in January 2023. See Note 5, "Debt" of our Annual Report on Form 10-K, filed April 10, 2024, for further details regarding the debt restructuring agreements.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In conjunction with the restructuring of the debt with NYDIG, the Company also entered into hosting agreements with NYDIG on January 30, 2023 (the “NYDIG Hosting Agreements”), which improved its liquidity position, as it provided for cost reimbursements for key input costs, while allowing the Company to participate in the upside should bitcoin prices rise.</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On November 9, 2023, the Company closed the sale of the South Carolina Facility to complete the deleveraging transaction with NYDIG. In exchange for the sale to NYDIG of the upgraded 44 MW South Carolina mining facilities and the subdivided real estate of approximately 22 acres of land, the Company received total consideration of $28 million, as follows: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Senior Secured Loan with NYDIG with remaining principal of $17.7 million was extinguished;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B. Riley Commercial Secured Promissory Note with remaining principal of $4.1 million, which NYDIG purchased from B. Riley Commercial on July 20, 2023 at par was extinguished;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 cash payment of approximately $4.5 million, and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Company also received bonus payments earned of approximately $1.6 million as a result of the completion of the expansion of the upgraded mining facility and the facility's uptime performance.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recognized a gain on the sale of the South Carolina Facility of $8.2 million.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conjunction with the sale, the Company and NYDIG terminated the South Carolina Hosting Order. The NYDIG Hosting Agreement related to the New York Facility was not impacted by this transaction and remains in place.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Following the completion of the South Carolina Facility sale, the Company continues to own approximately 153 acres of land in South Carolina, and is assessing potential uses of the remaining site, which may include the sale of the property.</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In addition, the Company sold equipment, coupons and certain environmental credits for total proceeds of $11.7 million from the second quarter of 2022 through the first quarter of 2023 to raise additional funds.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Since entering into the NYDIG Hosting Agreements, the Company has identified opportunities to deploy its company-owned miners. In March 2023, the Company entered into a hosting agreement with Conifex Timber Inc. ("Conifex"), whereby Conifex will provide hosting services to Greenidge utilizing renewable power (the “Conifex Hosting Agreement”). In April 2023, the Company entered into a hosting agreement with Core Scientific, Inc. ("Core") in which Core will host and operate Greenidge-owned bitcoin miners at its facilities (the “Core Hosting Agreement”, and together with the NYDIG Hosting Agreements and the Conifex Hosting Agreement, the “Hosting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On April 10, 2024, we closed on the purchase a parcel of land containing approximately 12 acres located in Columbus, Mississippi, including over 73,000 square feet of industrial warehouse space. We intend to deploy 7 MW of miners on the property in the second quarter of 2024. We have also deployed additional miners in conjunction with a 7.5 MW mining capacity lease in North Dakota, which has a term of five years and provides us with energy to power mining. The Company believes the addition of these datacenters will improve the Company’s profits and liquidity during the remainder of 2024 and beyond.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On February 12, 2024, the Company entered into a securities purchase agreement (the “SPA”) with Armistice Capital Master Fund Ltd. (“Armistice”). Pursuant to the SPA, Armistice purchased shares of the Company’s Class A common stock and a pre-funded Class A common stock purchase warrant entitling them to purchase shares of the Company’s Class A common stock. In addition, the Company issued to Armistice a Class A common stock purchase warrant entitling Armistice, commencing on August 14, 2024, to acquire additional shares of the Company’s Class A common stock from time to time. The SPA resulted in net proceeds of $6.0 million. See Note 9, "Stockholders' Deficit", for further details.</w:t>
      </w:r>
    </w:p>
    <w:p>
      <w:pPr>
        <w:pStyle w:val="TextBody"/>
        <w:bidi w:val="0"/>
        <w:spacing w:lineRule="auto" w:line="288" w:before="120" w:after="283"/>
        <w:ind w:left="0" w:right="0" w:hanging="360"/>
        <w:jc w:val="left"/>
        <w:rPr/>
      </w:pPr>
      <w:r>
        <w:rPr>
          <w:strike/>
          <w:color w:val="000000"/>
        </w:rPr>
        <w:t>•</w:t>
      </w:r>
      <w:r>
        <w:rPr>
          <w:rFonts w:ascii="Calibri;sans-serif" w:hAnsi="Calibri;sans-serif"/>
          <w:b w:val="false"/>
          <w:color w:val="000000"/>
          <w:sz w:val="20"/>
        </w:rPr>
        <w:t>On September 15, 2021, as amended on April 7, 2022, Greenidge entered into the Equity Purchase Agreement with B. Riley Principal. Pursuant to the Equity Purchase Agreement, Greenidge has the right to sell to B. Riley up to $500 million in shares of its Class A common stock, subject to certain limitations and the satisfaction of specified conditions in the Equity Purchase Agreement, from time to time over the 24-month period commencing on April 28, 2022. From the Effective Date to March 31, 2024, The Company has received aggregate proceeds of $8.0 million, net of discounts, of which $0.3 million were received during the three months ended March 31, 2024. See Note 9, "Stockholders' Deficit", for further details.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Despite these improvements to the Company's financial condition, Greenidge management expects that it will require additional capital in order to fund the Company’s expenses and to support the Company’s near-term working capital needs and remaining debt servicing requirements. Management continues to assess different options to improve its liquidity which include, but are not limited to:</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issuances of equity, including but not limited to issuances under the Equity Purchase Agreement and/or the ATM Agreement.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 sale of the Company's remaining real estate in South Carolina and/or sale of the remaining miner infrastructure equipment inventory, which was not used in the South Carolina expansion.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estimates that substantially all of its cash resources will be depleted by the end of the first quarter of 2025. The Company's estimate of cash resources available to the Company for the next 12 months is dependent on completion of certain actions, including obtaining additional short-term outside financing, executing on certain investing transactions; as well as bitcoin prices and blockchain difficulty levels similar to those existing as of the filing of this Quarterly Report on Form 10-Q and energy prices similar to the those experienced in the first quarter of 2024. While bitcoin prices have begun to recover during 2023 and the first quarter of 2024 from the significant declines experienced in 2022, management cannot predict when or if bitcoin prices will recover to sufficient levels for a sustained period of time in light of the halving that occurred in April 2024, or the volatility of energy costs. While the Company continues to work to implement options to improve liquidity, there can be no assurance that these efforts will be successful and the Company's liquidity could be negatively impacted by factors outside of its control, in particular, significant decreases in the price of bitcoin, our inability to procure and comply with the permits and licenses required to operate our facilities, including the Title V Air Permit for the New York Facility, or the cost to us of such procurement or compliance, regulatory changes concerning cryptocurrency, increases in energy costs or other macroeconomic conditions and other matters identified in Part I, Item 1A "Risk Factors" in the Company's Annual Report on Form 10-K for the year ended December 31, 2024 and in this Quarterly Report on Form 10-Q. Given this uncertainty regarding the Company's financial condition over the next 12 months from the date these financial statements were issued, the Company has concluded that there is substantial doubt about its ability to continue as a going concern for a reasonable period of time. The consolidated financial statements do not include any adjustments that might result from the outcome of this uncertainty.</w:t>
      </w:r>
    </w:p>
    <w:p>
      <w:pPr>
        <w:pStyle w:val="TextBody"/>
        <w:bidi w:val="0"/>
        <w:spacing w:lineRule="auto" w:line="288" w:before="240" w:after="180"/>
        <w:jc w:val="left"/>
        <w:rPr>
          <w:rFonts w:ascii="Calibri;sans-serif" w:hAnsi="Calibri;sans-serif"/>
          <w:b/>
          <w:i/>
          <w:color w:val="000000"/>
          <w:sz w:val="20"/>
        </w:rPr>
      </w:pPr>
      <w:r>
        <w:rPr>
          <w:rFonts w:ascii="Calibri;sans-serif" w:hAnsi="Calibri;sans-serif"/>
          <w:b/>
          <w:i/>
          <w:color w:val="000000"/>
          <w:sz w:val="20"/>
        </w:rPr>
        <w:t>Reclassifications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Certain prior year amounts have been reclassified to conform to the current year’s presentation.</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significant accounting policies are described in Note 2. Summary of Significant Accounting Policies, in the Company's consolidated financial statements included in the Company's Annual Report filed on Form 10-K for the year ended December 31,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There have been no material changes to the significant accounting policies, except as described herein, for the three months ended March 31, 2024.</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Revenue Recognition</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Greenidge has entered into digital asset mining pools by executing contracts with the mining pool operators to perform hash computations for a mining pool. The contracts are terminable at any time at no cost by either party and Greenidge’s enforceable right to compensation begins only when, and lasts as long as, Greenidge performs hash computations for the mining pool operator. In exchange for performing hash computations, Greenidge is entitled to a fractional share of the cryptocurrency award the mining pool operator theoretically receives less the mining pool fees. The agreements entered into with the pool operators pay out based on a Full-Pay-Per-Share (“FPPS”) payout formula, which is a conceptual formula that entitles Greenidge to consideration upon the provision of hash computations to the pool even if a block is not successfully placed by the pool operator. Revenue is measured as the value of the consideration received in the form of cryptocurrency from the pool operator, less the mining pool fees retained by the mining pool operator. Greenidge does not expect any material future changes in mining pool fee rates.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exchange for performing hash computations for the mining pool, the Company is entitled to a fractional share of the cryptocurrency award the mining pool operator theoretically receives (less pool operator fees to the mining pool operator which are netted as a reduction of the transaction price). Greenidge’s fractional share is based on the proportion of hash computations the Company performed for the mining pool operator to the total hash computations contributed by all miners in solving the current algorithm during the 24-hour period. Daily earnings calculated under the FPPS payout formula are calculated from midnight-to-midnight UTC time and are credited to pool members’ accounts at 1:00:00 A.M. UTC. The pool sends Greenidge’s cryptocurrency balance in the account to a digital wallet designated by the Company between 9:00 A.M. and 5:00 P.M. UTC time each day, which Greenidge automatically sells for cash within minutes of receipt.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service of performing hash computations for the mining pool operators is an output of Greenidge’s ordinary activities and is the only performance obligation in Greenidge’s contracts with mining pool operators. The cryptocurrency that Greenidge receives as transaction consideration is noncash consideration, which Greenidge measures at fair value on the contract inception date at 0:00:00 UTC on the start date of the contract. The duration of each contract is 24 hours or less and provides the same rate of payment upon renewal. Since the pricing remains the same upon contract renewal, the contract does not provide the applicable mining pool operator with a material right that represents a separate performance obligation. The fair value is based on Greenidge’s primary exchange of the related cryptocurrency which is considered to be Coinbase. The consideration Greenidge earns is variable since it is based on the amount of hash computations provided by both Greenidge and the bitcoin network as a whole. The Company does not constrain this variable consideration because it is probable that a significant reversal in the amount of revenue recognized from the contract will not occur when the uncertainty is subsequently resolved and recognizes the non-cash consideration on the same day that control is transferred, which is the same day as contract inception.</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Engineering Procurement and Construction Management ("EPCM") Revenue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entered into contracts with customers to perform engineering procurement and construction management services for customers developing cryptocurrency mining facilities. The services defined in the contracts are generally separated into phases, being 1) engineering 2) construction and 3) procurement.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While the services discussed above are capable of being distinct and separately identifiable, the Company concluded that the services provided are inputs to produce the combined output to the customer, which is the completed site buildout. Further, the services provided are significantly modified by the other services in the contract. As such, while the performance obligations may be capable of being distinct, they are not distinct in the context of the contract and therefore the promises in the contract are combined into one single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recognizes EPCM revenue over time, as performance obligations are satisfied, due to the continuous transfer of control to the customer. The Company utilizes the percentage-of-completion method, based primarily on contract cost incurred to date compared to total estimated contract cost. The percentage-of-completion method, and input method, is used as management considers it to be the best available measure of progress on these contracts.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To the extent a contract is cancelled, the Company assesses whether there are any remaining goods or services to be provided after cancellation. If there are any remaining goods or services to be provided, the Company follows the guidance under ASC 606 for contract modifications. If there are no remaining goods or services to be provided, the Company considers whether consideration received is refundable or nonrefundable. To the extent consideration received is refundable, the Company recognizes a refund liability, otherwise, it recognizes revenue for the consideration received.</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Recent Accounting Pronouncements, Not Yet Adopted</w:t>
      </w:r>
    </w:p>
    <w:p>
      <w:pPr>
        <w:pStyle w:val="TextBody"/>
        <w:bidi w:val="0"/>
        <w:spacing w:lineRule="auto" w:line="288" w:before="240" w:after="283"/>
        <w:jc w:val="left"/>
        <w:rPr/>
      </w:pPr>
      <w:r>
        <w:rPr>
          <w:rFonts w:ascii="Calibri;sans-serif" w:hAnsi="Calibri;sans-serif"/>
          <w:b w:val="false"/>
          <w:color w:val="000000"/>
          <w:sz w:val="20"/>
        </w:rPr>
        <w:t xml:space="preserve">In November 2023, the FASB issued ASU No. 2023-07, </w:t>
      </w:r>
      <w:r>
        <w:rPr>
          <w:rFonts w:ascii="Calibri;sans-serif" w:hAnsi="Calibri;sans-serif"/>
          <w:b w:val="false"/>
          <w:i/>
          <w:color w:val="000000"/>
          <w:sz w:val="20"/>
        </w:rPr>
        <w:t xml:space="preserve">Segment Reporting (Topic 280): Improvements to Reportable Segment Disclosures. </w:t>
      </w:r>
      <w:r>
        <w:rPr>
          <w:rFonts w:ascii="Calibri;sans-serif" w:hAnsi="Calibri;sans-serif"/>
          <w:b w:val="false"/>
          <w:color w:val="000000"/>
          <w:sz w:val="20"/>
        </w:rPr>
        <w:t>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of other segment items, and interim disclosures of a reportable segment's profit or loss and assets. This guidance becomes effective for fiscal years beginning after December 15, 2023 and interim periods within fiscal years beginning after December 15, 2024 and is required to be applied retrospectively. Early adoption is permitted. The Company is currently evaluating this guidance to determine the impact it may have on its consolidated financial statements disclosures.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December 2023, the FASB issued ASU No. 2023-08, Intangibles - Goodwill and Other - Crypto Assets (Subtopic 350-60): Accounting for and Disclosure of Crypto Assets ("ASU 2023-08"), which is intended to improve the accounting for and disclosure of crypto assets. ASU 2023-08 requires entities that hold assets that meet certain criteria to measure those assets at fair value with changes recognized in net income each reporting period. The guidance also requires entities to (1) present crypto assets separately from other intangible assets in its balance sheet and (2) changes from remeasurement of crypto assets separately from changes in the carrying amounts of other intangible assets in the income statement. Additionally, the guidance requires entities to disclose in their annual and interim reports certain information of each significant crypto asset and in their annual interim report, a rollforward of activity during the reporting period, differences between disposal price and cost basis for dispositions, gain and losses to the extent they are not presented separately and the entity's method for determining the cost basis. This guidance is effective for fiscal years, and interim periods within those fiscal years, beginning after December 15, 2024, with early adoption permitted. The Company is currently evaluating the impact the adoption of this ASU will have on its consolidated financial statements and disclosures.</w:t>
      </w:r>
    </w:p>
    <w:p>
      <w:pPr>
        <w:pStyle w:val="TextBody"/>
        <w:bidi w:val="0"/>
        <w:spacing w:lineRule="auto" w:line="288" w:before="240" w:after="283"/>
        <w:jc w:val="left"/>
        <w:rPr/>
      </w:pPr>
      <w:r>
        <w:rPr>
          <w:rFonts w:ascii="Calibri;sans-serif" w:hAnsi="Calibri;sans-serif"/>
          <w:b w:val="false"/>
          <w:color w:val="000000"/>
          <w:sz w:val="20"/>
        </w:rPr>
        <w:t>In December 2023, the FASB issued ASU No. 2023-09,</w:t>
      </w:r>
      <w:r>
        <w:rPr>
          <w:color w:val="000000"/>
        </w:rPr>
        <w:t xml:space="preserve"> </w:t>
      </w:r>
      <w:r>
        <w:rPr>
          <w:rFonts w:ascii="Calibri;sans-serif" w:hAnsi="Calibri;sans-serif"/>
          <w:b w:val="false"/>
          <w:i/>
          <w:color w:val="000000"/>
          <w:sz w:val="20"/>
        </w:rPr>
        <w:t>Income Taxes (Topic 740): Improvements to Income Tax Disclosure</w:t>
      </w:r>
      <w:r>
        <w:rPr>
          <w:rFonts w:ascii="Calibri;sans-serif" w:hAnsi="Calibri;sans-serif"/>
          <w:b w:val="false"/>
          <w:color w:val="000000"/>
          <w:sz w:val="20"/>
        </w:rPr>
        <w:t>.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is currently evaluating the impact the adoption of this ASU will have on its consolidated financial statements and disclosures.</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Recent Accounting Pronouncements, Adopted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There were not any recently adopted or newly issued accounting pronouncements, that have had, or are expected to have, a material impact on the Company's condensed consolidated financial statements and disclosures.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3. DISCONTINUED OPERATIONS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 business is classified as held for sale when management having the authority to approve the action commits to a plan to sell or exit the business, the sale or exit is probable to occur during the next 12 months at a price or cost that is reasonable in relation to its current fair value and certain other criteria are met. A business classified as held for sale is recorded at the lower of its carrying amount or estimated fair value less cost to sell. When the carrying amount of the business exceeds its estimated fair value less cost to sell, a loss is recognized and updated each reporting period as appropriate.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contract for Support.com's largest customer was not renewed upon expiration on December 31, 2022. As a result of this material change in the business, management and the board of directors made the determination to consider various alternatives for Support.com, including the disposition of assets. At December 31, 2022, the Company classified the Support.com business as held for sale and discontinued operations in the condensed consolidated financial statements as a result of its strategic shift to strictly focus on its cryptocurrency datacenter and power generation operations.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January 2023, Greenidge completed the sale of a portion of the assets of Support.com for net proceeds of approximately $2.6 million and is continuing to evaluate alternatives for the remainder of the Support.com segment assets. </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Major classes of assets and liabilities consist of the following:</w:t>
      </w:r>
    </w:p>
    <w:p>
      <w:pPr>
        <w:pStyle w:val="TextBody"/>
        <w:bidi w:val="0"/>
        <w:spacing w:before="0" w:after="0"/>
        <w:jc w:val="left"/>
        <w:rPr/>
      </w:pPr>
      <w:r>
        <w:rPr/>
      </w:r>
    </w:p>
    <w:tbl>
      <w:tblPr>
        <w:tblW w:w="6522" w:type="dxa"/>
        <w:jc w:val="left"/>
        <w:tblInd w:w="0" w:type="dxa"/>
        <w:tblLayout w:type="fixed"/>
        <w:tblCellMar>
          <w:top w:w="28" w:type="dxa"/>
          <w:left w:w="28" w:type="dxa"/>
          <w:bottom w:w="28" w:type="dxa"/>
          <w:right w:w="28" w:type="dxa"/>
        </w:tblCellMar>
      </w:tblPr>
      <w:tblGrid>
        <w:gridCol w:w="1255"/>
        <w:gridCol w:w="1102"/>
        <w:gridCol w:w="1108"/>
        <w:gridCol w:w="322"/>
        <w:gridCol w:w="712"/>
        <w:gridCol w:w="166"/>
        <w:gridCol w:w="109"/>
        <w:gridCol w:w="109"/>
        <w:gridCol w:w="109"/>
        <w:gridCol w:w="387"/>
        <w:gridCol w:w="857"/>
        <w:gridCol w:w="286"/>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other current assets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 held for sale</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assets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 held for sale</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classification to held for sale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 held for sale</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Liabilities: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Financial results from discontinued operations consist of the following:</w:t>
      </w:r>
    </w:p>
    <w:p>
      <w:pPr>
        <w:pStyle w:val="TextBody"/>
        <w:bidi w:val="0"/>
        <w:spacing w:before="0" w:after="0"/>
        <w:jc w:val="left"/>
        <w:rPr/>
      </w:pPr>
      <w:r>
        <w:rPr/>
      </w:r>
    </w:p>
    <w:tbl>
      <w:tblPr>
        <w:tblW w:w="8499" w:type="dxa"/>
        <w:jc w:val="left"/>
        <w:tblInd w:w="0" w:type="dxa"/>
        <w:tblLayout w:type="fixed"/>
        <w:tblCellMar>
          <w:top w:w="28" w:type="dxa"/>
          <w:left w:w="28" w:type="dxa"/>
          <w:bottom w:w="28" w:type="dxa"/>
          <w:right w:w="28" w:type="dxa"/>
        </w:tblCellMar>
      </w:tblPr>
      <w:tblGrid>
        <w:gridCol w:w="2337"/>
        <w:gridCol w:w="2055"/>
        <w:gridCol w:w="2073"/>
        <w:gridCol w:w="211"/>
        <w:gridCol w:w="406"/>
        <w:gridCol w:w="109"/>
        <w:gridCol w:w="109"/>
        <w:gridCol w:w="109"/>
        <w:gridCol w:w="109"/>
        <w:gridCol w:w="211"/>
        <w:gridCol w:w="616"/>
        <w:gridCol w:w="154"/>
      </w:tblGrid>
      <w:tr>
        <w:trPr/>
        <w:tc>
          <w:tcPr>
            <w:tcW w:w="2337"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w:t>
              <w:br/>
              <w:t>March 31,</w:t>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services and other (exclusive of depreciation and amortization)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asset disposal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assets classified as held for sale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(loss),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The Company’s effective income tax rate from discontinued operations for the three months ended March 31, 2024 and 2023 was 0% and 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4. PROPERTY AND EQUIPMENT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Property and equipment, net consisted of the following at March 31, 2024 and December 31, 2023:</w:t>
      </w:r>
    </w:p>
    <w:tbl>
      <w:tblPr>
        <w:tblW w:w="7207" w:type="dxa"/>
        <w:jc w:val="left"/>
        <w:tblInd w:w="0" w:type="dxa"/>
        <w:tblLayout w:type="fixed"/>
        <w:tblCellMar>
          <w:top w:w="28" w:type="dxa"/>
          <w:left w:w="28" w:type="dxa"/>
          <w:bottom w:w="28" w:type="dxa"/>
          <w:right w:w="28" w:type="dxa"/>
        </w:tblCellMar>
      </w:tblPr>
      <w:tblGrid>
        <w:gridCol w:w="933"/>
        <w:gridCol w:w="822"/>
        <w:gridCol w:w="825"/>
        <w:gridCol w:w="414"/>
        <w:gridCol w:w="414"/>
        <w:gridCol w:w="416"/>
        <w:gridCol w:w="109"/>
        <w:gridCol w:w="109"/>
        <w:gridCol w:w="109"/>
        <w:gridCol w:w="243"/>
        <w:gridCol w:w="831"/>
        <w:gridCol w:w="125"/>
        <w:gridCol w:w="109"/>
        <w:gridCol w:w="109"/>
        <w:gridCol w:w="109"/>
        <w:gridCol w:w="297"/>
        <w:gridCol w:w="1016"/>
        <w:gridCol w:w="217"/>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Estimated Useful</w:t>
              <w:br/>
              <w:t>Lives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Plant infrastructure</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1,367 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32,026 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32,195 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facility infrastructure</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8,154 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Land</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7,679 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Construction in process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6,229 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55,863 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55,669 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Accumulated depreciation</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(13,808)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(10,574)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42,055 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45,095 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Total depreciation expense was $3.2 million and $3.8 million for the three months ended March 31, 2024 and 2023,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January 30, 2023, Greenidge entered into an agreement regarding its 2021 and 2022 Master Equipment Finance Agreements with NYDIG. During the three months ended March 31, 2023, the Company transferred ownership of bitcoin mining equipment with net book value of $50.0 million and miner deposits of $7.4 million that remained accrued to Greenidge for previous purchases of mining equipment with a bitcoin miner manufacturer and the related debt was canceled pursuant to a debt settlement agreement entered into with NYDIG. The Company recognized a gain on the sale of assets of $1.2 million, which relates to the sale of bitcoin miner manufacturer coupons that were transferred as part of the debt restructuring agreement with NYDIG.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5. DEBT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on the Company's debt agreements:</w:t>
      </w:r>
    </w:p>
    <w:tbl>
      <w:tblPr>
        <w:tblW w:w="10205" w:type="dxa"/>
        <w:jc w:val="left"/>
        <w:tblInd w:w="0" w:type="dxa"/>
        <w:tblLayout w:type="fixed"/>
        <w:tblCellMar>
          <w:top w:w="28" w:type="dxa"/>
          <w:left w:w="28" w:type="dxa"/>
          <w:bottom w:w="28" w:type="dxa"/>
          <w:right w:w="28" w:type="dxa"/>
        </w:tblCellMar>
      </w:tblPr>
      <w:tblGrid>
        <w:gridCol w:w="539"/>
        <w:gridCol w:w="439"/>
        <w:gridCol w:w="423"/>
        <w:gridCol w:w="109"/>
        <w:gridCol w:w="109"/>
        <w:gridCol w:w="109"/>
        <w:gridCol w:w="529"/>
        <w:gridCol w:w="529"/>
        <w:gridCol w:w="536"/>
        <w:gridCol w:w="109"/>
        <w:gridCol w:w="109"/>
        <w:gridCol w:w="109"/>
        <w:gridCol w:w="326"/>
        <w:gridCol w:w="309"/>
        <w:gridCol w:w="310"/>
        <w:gridCol w:w="109"/>
        <w:gridCol w:w="109"/>
        <w:gridCol w:w="109"/>
        <w:gridCol w:w="203"/>
        <w:gridCol w:w="203"/>
        <w:gridCol w:w="349"/>
        <w:gridCol w:w="109"/>
        <w:gridCol w:w="109"/>
        <w:gridCol w:w="109"/>
        <w:gridCol w:w="235"/>
        <w:gridCol w:w="806"/>
        <w:gridCol w:w="121"/>
        <w:gridCol w:w="109"/>
        <w:gridCol w:w="109"/>
        <w:gridCol w:w="109"/>
        <w:gridCol w:w="224"/>
        <w:gridCol w:w="767"/>
        <w:gridCol w:w="115"/>
        <w:gridCol w:w="109"/>
        <w:gridCol w:w="109"/>
        <w:gridCol w:w="109"/>
        <w:gridCol w:w="247"/>
        <w:gridCol w:w="845"/>
        <w:gridCol w:w="188"/>
      </w:tblGrid>
      <w:tr>
        <w:trPr/>
        <w:tc>
          <w:tcPr>
            <w:tcW w:w="5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Balance as of: </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Loan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Maturity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Interest</w:t>
              <w:br/>
              <w:t xml:space="preserve">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Amount Financed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2021/December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Debt discount and issue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(3,229)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(3,490)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 at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68,971 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68,710 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current portion and deferred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68,971 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68,710 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incurred interest expense of $1.8 million during the three months ended March 31, 2024 under the terms of these notes payable. The Company incurred interest expense of $3.6 million during the three months ended March 31, 2023 under the terms of these notes payable and other financings that were extinguished during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Senior Unsecured Notes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During the fourth quarter of 2021, the Company sold $72.2 million of 8.50% Senior Notes due October 2026 (the "Notes") pursuant to the Company's registration statement on Form S-1. Interest on the Notes is payable quarterly in arrears on January 31, April 30, July 31 and October 31 of each year to the holders of record at the close of business on the immediately preceding January 15, April 15, July 15 and October 15, respectively. The Notes are senior unsecured obligations of the Company and rank equal in right of payment with the Company's existing and future senior unsecured indebtedness. The Notes trade on the Nasdaq Global Select Market under the symbol "GREEL."</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may redeem the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Notes, in whole, but not in part, at any time at its option, at a redemption price equal to 100.5% of the principal amount plus accrued and unpaid interest to, but not including, the date of redemption, upon the occurrence of certain change of control events.</w:t>
      </w:r>
    </w:p>
    <w:p>
      <w:pPr>
        <w:pStyle w:val="TextBody"/>
        <w:bidi w:val="0"/>
        <w:spacing w:lineRule="auto" w:line="276" w:before="180" w:after="283"/>
        <w:jc w:val="left"/>
        <w:rPr>
          <w:rFonts w:ascii="Calibri;sans-serif" w:hAnsi="Calibri;sans-serif"/>
          <w:b/>
          <w:color w:val="000000"/>
          <w:sz w:val="20"/>
        </w:rPr>
      </w:pPr>
      <w:r>
        <w:rPr>
          <w:rFonts w:ascii="Calibri;sans-serif" w:hAnsi="Calibri;sans-serif"/>
          <w:b/>
          <w:color w:val="000000"/>
          <w:sz w:val="20"/>
        </w:rPr>
        <w:t>Minimum Future Principal Payments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Minimum future principal payments on debt at March 31, 2024 were as follows:</w:t>
      </w:r>
    </w:p>
    <w:tbl>
      <w:tblPr>
        <w:tblW w:w="2736" w:type="dxa"/>
        <w:jc w:val="left"/>
        <w:tblInd w:w="0" w:type="dxa"/>
        <w:tblLayout w:type="fixed"/>
        <w:tblCellMar>
          <w:top w:w="28" w:type="dxa"/>
          <w:left w:w="28" w:type="dxa"/>
          <w:bottom w:w="28" w:type="dxa"/>
          <w:right w:w="28" w:type="dxa"/>
        </w:tblCellMar>
      </w:tblPr>
      <w:tblGrid>
        <w:gridCol w:w="597"/>
        <w:gridCol w:w="525"/>
        <w:gridCol w:w="528"/>
        <w:gridCol w:w="211"/>
        <w:gridCol w:w="72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u w:val="single"/>
              </w:rPr>
            </w:pPr>
            <w:r>
              <w:rPr>
                <w:rFonts w:ascii="Calibri;sans-serif" w:hAnsi="Calibri;sans-serif"/>
                <w:b/>
                <w:color w:val="000000"/>
                <w:sz w:val="16"/>
                <w:u w:val="single"/>
              </w:rPr>
              <w:t>$ 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Fair Value Disclosure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notional value and estimated fair value of the Company's debt totaled $72.2 million and $27.7 million, respectively at March 31, 2024 and $72.2 million and $29.3 million, respectively at December 31, 2023. The notional value does not include unamortized discounts and debt issuance costs of $3.2 million and $3.5 million at March 31, 2024 and December 31, 2023, respectively. The estimated fair value of the senior unsecured notes, representing the fair value of the Company's 8.50% senior secured notes due October 2026, was measured using quoted market prices at the reporting date. Such instruments were valued using Level 1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6. EARNINGS PER SHARE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calculates basic earnings per share by dividing the net income (loss) by the weighted average number of shares of common stock outstanding for the period. The diluted earnings (loss) per share is computed by assuming the exercise, settlement, and vesting of all potential dilutive common stock equivalents outstanding for the period using the treasury stock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following table sets forth a reconciliation of the numerator and denominator used to compute basic earnings and diluted per share of common stock (In thousands, except per share data): </w:t>
      </w:r>
    </w:p>
    <w:tbl>
      <w:tblPr>
        <w:tblW w:w="8139" w:type="dxa"/>
        <w:jc w:val="left"/>
        <w:tblInd w:w="0" w:type="dxa"/>
        <w:tblLayout w:type="fixed"/>
        <w:tblCellMar>
          <w:top w:w="28" w:type="dxa"/>
          <w:left w:w="28" w:type="dxa"/>
          <w:bottom w:w="28" w:type="dxa"/>
          <w:right w:w="28" w:type="dxa"/>
        </w:tblCellMar>
      </w:tblPr>
      <w:tblGrid>
        <w:gridCol w:w="1924"/>
        <w:gridCol w:w="1687"/>
        <w:gridCol w:w="1698"/>
        <w:gridCol w:w="211"/>
        <w:gridCol w:w="691"/>
        <w:gridCol w:w="109"/>
        <w:gridCol w:w="109"/>
        <w:gridCol w:w="109"/>
        <w:gridCol w:w="109"/>
        <w:gridCol w:w="211"/>
        <w:gridCol w:w="691"/>
        <w:gridCol w:w="109"/>
        <w:gridCol w:w="109"/>
        <w:gridCol w:w="109"/>
        <w:gridCol w:w="109"/>
        <w:gridCol w:w="154"/>
      </w:tblGrid>
      <w:tr>
        <w:trPr/>
        <w:tc>
          <w:tcPr>
            <w:tcW w:w="1924"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Numerator</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 net of tax</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Denominator</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weighted average shares outstanding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dilutive securities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weighted average shares outstanding</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Net loss per share, basic and diluted:</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per share from continuing operations,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per share from discontinued operations, basic and diluted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per share, basic and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For the three months ended March 31, 2024 and 2023, because the Company was in a loss position, basic net loss per share is the same as diluted net loss per share, as the inclusion of the potential common shares would have been anti-dilutive.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sets forth potential shares of common stock that are not included in the diluted net loss per share calculation because to do so would be anti-dilutive for the period indicated (in thousands):</w:t>
      </w:r>
    </w:p>
    <w:tbl>
      <w:tblPr>
        <w:tblW w:w="6840" w:type="dxa"/>
        <w:jc w:val="left"/>
        <w:tblInd w:w="0" w:type="dxa"/>
        <w:tblLayout w:type="fixed"/>
        <w:tblCellMar>
          <w:top w:w="28" w:type="dxa"/>
          <w:left w:w="28" w:type="dxa"/>
          <w:bottom w:w="28" w:type="dxa"/>
          <w:right w:w="28" w:type="dxa"/>
        </w:tblCellMar>
      </w:tblPr>
      <w:tblGrid>
        <w:gridCol w:w="1634"/>
        <w:gridCol w:w="1437"/>
        <w:gridCol w:w="1444"/>
        <w:gridCol w:w="247"/>
        <w:gridCol w:w="247"/>
        <w:gridCol w:w="247"/>
        <w:gridCol w:w="247"/>
        <w:gridCol w:w="247"/>
        <w:gridCol w:w="247"/>
        <w:gridCol w:w="247"/>
        <w:gridCol w:w="247"/>
        <w:gridCol w:w="349"/>
      </w:tblGrid>
      <w:tr>
        <w:trPr/>
        <w:tc>
          <w:tcPr>
            <w:tcW w:w="16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Anti-dilutive securities</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Restricted stock awards</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shares issuable upon exercise of stock options</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458</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364</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shares issuable upon exercise of warrants</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2,251</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7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2,841</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7. EQUITY BASED COMPENSATION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February 2021, Greenidge adopted an equity incentive plan and reserved 383,111 shares of Class A common stock for issuance under the plan (the “2021 Equity Plan”), applicable to employees and non-employee directors. In April 2023, the stockholders approved an amendment and restatement of the Company's 2021 Equity Plan to increase the maximum aggregate number of shares of Class A common stock that may be issued for all purposes under the Plan by 500,000 shares of Class A common stock from 383,111 to 883,111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For the three months ended March 31, 2024, no additional shares had been granted under the 2021 Equity Plan. In October 2022, the Company registered 307,684 shares of Class A common stock, outside the 2021 Equity Plan, that were reserved for issuance upon the vesting and exercise of non-qualified stock options inducement grants.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RSAs and RSUs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Restricted stock awards ("RSA") are generally granted with an eligible vesting range from upon grant to over a three-year period. Restricted stock unit ("RSU") awards are generally eligible to vest over a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unvested RSA and RSU award activity for the three months ended March 31, 2024 is summarized below:</w:t>
      </w:r>
    </w:p>
    <w:tbl>
      <w:tblPr>
        <w:tblW w:w="5364" w:type="dxa"/>
        <w:jc w:val="left"/>
        <w:tblInd w:w="0" w:type="dxa"/>
        <w:tblLayout w:type="fixed"/>
        <w:tblCellMar>
          <w:top w:w="28" w:type="dxa"/>
          <w:left w:w="28" w:type="dxa"/>
          <w:bottom w:w="28" w:type="dxa"/>
          <w:right w:w="28" w:type="dxa"/>
        </w:tblCellMar>
      </w:tblPr>
      <w:tblGrid>
        <w:gridCol w:w="962"/>
        <w:gridCol w:w="843"/>
        <w:gridCol w:w="849"/>
        <w:gridCol w:w="314"/>
        <w:gridCol w:w="314"/>
        <w:gridCol w:w="316"/>
        <w:gridCol w:w="109"/>
        <w:gridCol w:w="109"/>
        <w:gridCol w:w="109"/>
        <w:gridCol w:w="309"/>
        <w:gridCol w:w="904"/>
        <w:gridCol w:w="226"/>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RSAs &amp;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Grant Date</w:t>
              <w:br/>
              <w:t>Fair Value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December 31, 2023</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Granted</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Vested</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March 31, 2024</w:t>
            </w:r>
          </w:p>
        </w:tc>
        <w:tc>
          <w:tcPr>
            <w:tcW w:w="9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Calibri;sans-serif" w:hAnsi="Calibri;sans-serif"/>
          <w:b w:val="false"/>
          <w:color w:val="000000"/>
          <w:sz w:val="20"/>
        </w:rPr>
        <w:t>The value of RSA and RSU grants are measured based on their fair market value on the date of grant and amortized over their requisite service periods. The fair market value of the awards granted totaled $1.1 million for the three months ended March 31, 2024</w:t>
      </w:r>
      <w:r>
        <w:rPr>
          <w:rFonts w:ascii="Arial;sans-serif" w:hAnsi="Arial;sans-serif"/>
          <w:b w:val="false"/>
          <w:color w:val="000000"/>
          <w:sz w:val="24"/>
        </w:rPr>
        <w:t xml:space="preserve">. </w:t>
      </w:r>
      <w:r>
        <w:rPr>
          <w:rFonts w:ascii="Calibri;sans-serif" w:hAnsi="Calibri;sans-serif"/>
          <w:b w:val="false"/>
          <w:color w:val="000000"/>
          <w:sz w:val="20"/>
        </w:rPr>
        <w:t>There were no grants awarded during the three months ended March 31, 2023. At March 31, 2024, there was approximately $0.4 million of total unrecognized compensation cost related to unvested restricted stock rights, which is expected to be recognized over a remaining weighted-average vesting period of approximately 1.7 years.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Common Stock Options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common stock options activity for the three months ended March 31, 2024 is summarized below:</w:t>
      </w:r>
    </w:p>
    <w:tbl>
      <w:tblPr>
        <w:tblW w:w="8894" w:type="dxa"/>
        <w:jc w:val="left"/>
        <w:tblInd w:w="0" w:type="dxa"/>
        <w:tblLayout w:type="fixed"/>
        <w:tblCellMar>
          <w:top w:w="28" w:type="dxa"/>
          <w:left w:w="28" w:type="dxa"/>
          <w:bottom w:w="28" w:type="dxa"/>
          <w:right w:w="28" w:type="dxa"/>
        </w:tblCellMar>
      </w:tblPr>
      <w:tblGrid>
        <w:gridCol w:w="1049"/>
        <w:gridCol w:w="922"/>
        <w:gridCol w:w="924"/>
        <w:gridCol w:w="109"/>
        <w:gridCol w:w="109"/>
        <w:gridCol w:w="109"/>
        <w:gridCol w:w="413"/>
        <w:gridCol w:w="413"/>
        <w:gridCol w:w="221"/>
        <w:gridCol w:w="109"/>
        <w:gridCol w:w="109"/>
        <w:gridCol w:w="109"/>
        <w:gridCol w:w="314"/>
        <w:gridCol w:w="918"/>
        <w:gridCol w:w="162"/>
        <w:gridCol w:w="109"/>
        <w:gridCol w:w="109"/>
        <w:gridCol w:w="109"/>
        <w:gridCol w:w="464"/>
        <w:gridCol w:w="464"/>
        <w:gridCol w:w="466"/>
        <w:gridCol w:w="109"/>
        <w:gridCol w:w="109"/>
        <w:gridCol w:w="109"/>
        <w:gridCol w:w="234"/>
        <w:gridCol w:w="450"/>
        <w:gridCol w:w="172"/>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Aggregate</w:t>
              <w:br/>
              <w:t>Intrinsic</w:t>
              <w:br/>
              <w:t>Value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458,982 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458,181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Exercisable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value of common stock option grants is measured based on their fair market value on the date of grant and amortized over their requisite service periods. At March 31, 2024, there was approximately $2.0 million of total unrecognized compensation cost related to unvested common stock options, which is expected to be recognized over a remaining weighted-average vesting period of approximately 1.9 years.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Stock-Based Compensation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recognized stock-based compensation expense of $1.1 million and $0.5 million during the three months ended March 31, 2024 and 2023, respectively. Stock-based compensation expense is included in selling, general and administrative expenses in the accompanying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8. INCOME TAXES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The effective tax rate for the three months ended March 31, 2024 was 0.0% which was lower than the statutory rate of 21% because the Company has recognized a full valuation allowance on its deferred tax assets. The Company continued to evaluate the realizability of deferred tax assets, due to continued reduced profitability, concluded that a valuation allowance should continue to be recognized for any deferred tax assets generated during the quarter. As a result, there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was no net income tax benefit recorded for pretax losses of the U.S. operations in the three months ended March 31, 2024.</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effective tax rate for the three months ended March 31, 2023 was 0.0% which was lower than the statutory rate of 21% primarily related to historical net operating loss carryforwards of the Support.com business that was acquired in 2021, due to the reduced profitability caused by the declines in the price of bitcoin and the increased power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9. STOCKHOLDERS' DEFICIT</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Equity Purchase Agreement with B. Riley Principal Capital, LLC</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September 15, 2021, as amended on April 7, 2022, Greenidge entered into the Equity Purchase Agreement with B. Riley Principal. Pursuant to the Equity Purchase Agreement, Greenidge has the right to sell to B. Riley up to $500 million in shares of its Class A common stock, subject to certain limitations and the satisfaction of specified conditions in the Equity Purchase Agreement, from time to time over the 24-month period commencing on April 28,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connection with the Equity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Equity Purchase Agreement. The registration statement became effective on April 28, 2022 (the "Effective Date"), relating to the resale of 572,095 shares of Greenidge’s Class A common stock in connection with the Equity Purchase Agreement.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the Effective Date to March 31, 2024, Greenidge issued 549,285 shares of Class A common stock to the Investor pursuant to the Equity Purchase Agreement for aggregate proceeds of $8.0 million, net of discounts, of which there were 45,269 shares issued for aggregate proceeds of $0.3 million, net of discounts, during the three months ended March 31, 2024.</w:t>
      </w:r>
    </w:p>
    <w:p>
      <w:pPr>
        <w:pStyle w:val="TextBody"/>
        <w:bidi w:val="0"/>
        <w:spacing w:lineRule="auto" w:line="288" w:before="240" w:after="180"/>
        <w:jc w:val="left"/>
        <w:rPr>
          <w:rFonts w:ascii="Calibri;sans-serif" w:hAnsi="Calibri;sans-serif"/>
          <w:b/>
          <w:color w:val="000000"/>
          <w:sz w:val="20"/>
        </w:rPr>
      </w:pPr>
      <w:r>
        <w:rPr>
          <w:rFonts w:ascii="Calibri;sans-serif" w:hAnsi="Calibri;sans-serif"/>
          <w:b/>
          <w:color w:val="000000"/>
          <w:sz w:val="20"/>
        </w:rPr>
        <w:t>At The Market Issuance Sales Agreement with B. Riley Securities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On September 19, 2022, as amended on October 3, 2022, Greenidge entered into the ATM Agreement with B. Riley and Northland, relating to shares of Greenidge’s Class A common stock. Under the ATM Agreement, B. Riley will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pays B. Riley commissions for its services in acting as sales agent, in an amount to up to 3.0% of the gross proceeds of all Class A common stock sold through it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October 1, 2022 through May 15, 2024, Greenidge issued 4,167,463 shares under the ATM Agreement for net proceeds of $20.7 million, of which no shares were issued for the three months ended March 31, 2024.</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Armistice Capital Agreement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February 12, 2024, the Company entered into a securities purchase agreement (the “SPA”) with Armistice Capital Master Fund Ltd. (“Armistice”). Pursuant to the SPA, Armistice purchased (i) 450,300 shares (the “Shares”) of the Company’s Class A common stock, and (ii) a pre-funded Class A common stock purchase warrant (the “Pre-Funded Warrant”) for 810,205 shares of the Company’s Class A common stock (the “Pre-Funded Warrant Shares”). The per share purchase price of the Shares and the Pre-Funded Warrant Shares was $4.76, resulting in aggregate gross proceeds of $6.0 million, and after giving effect to the exercise price of $0.0001 per Pre-Funded Warrant Share, the Company received net proceeds of $6.0 million. The Pre-Funded Warrant has an initial exercise date of February 14, 2024 and gives Armistice the right to acquire the Pre-Funded Warrant Shares, subject to limitations and conditions as set forth in the Pre-Funded Warrant, until it is exercised in full. In addition, the Company issued to Armistice a five (5) year Class A common stock purchase warrant entitling Armistice, commencing on August 14, 2024, to acquire up to 1,260,505 shares of the Company’s Class A common stock from time to time at an exercise price of $5.25 per share (the “Warrant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pre-funded and common stock warrants were classified as a component of permanent stockholders' equity within additional paid-in capital and were recorded at the issuance date using a relative fair value allocation method. The Company valued the pre-funded warrant at issuance, concluding that its sale price approximated their fair value, and allocated the aggregate net proceeds from the sale proportionately to the common stock and pre-funded warrant, including approximately $2.0 million allocated to the pre-funded warrant and recorded as a component of additional paid-in capital. The Company valued the common stock warrant using the Black-Scholes-Merton option pricing model and recorded as a component of additional paid-in capital with an allocated amount of $2.8 million. By analogy to ASC 505-20-30-3, the Company would have recorded a charge to retained earnings, however, as the Company is in a deficit position it recorded as a component of additional paid-in capital.</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Warrants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summarizes the Company's warrant activity:</w:t>
      </w:r>
    </w:p>
    <w:tbl>
      <w:tblPr>
        <w:tblW w:w="8605" w:type="dxa"/>
        <w:jc w:val="left"/>
        <w:tblInd w:w="0" w:type="dxa"/>
        <w:tblLayout w:type="fixed"/>
        <w:tblCellMar>
          <w:top w:w="28" w:type="dxa"/>
          <w:left w:w="28" w:type="dxa"/>
          <w:bottom w:w="28" w:type="dxa"/>
          <w:right w:w="28" w:type="dxa"/>
        </w:tblCellMar>
      </w:tblPr>
      <w:tblGrid>
        <w:gridCol w:w="1325"/>
        <w:gridCol w:w="1164"/>
        <w:gridCol w:w="1171"/>
        <w:gridCol w:w="594"/>
        <w:gridCol w:w="594"/>
        <w:gridCol w:w="596"/>
        <w:gridCol w:w="109"/>
        <w:gridCol w:w="109"/>
        <w:gridCol w:w="109"/>
        <w:gridCol w:w="681"/>
        <w:gridCol w:w="1652"/>
        <w:gridCol w:w="501"/>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Number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Weighted Average Exercise Price</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Warrants outstanding at December 31, 2023</w:t>
            </w:r>
          </w:p>
        </w:tc>
        <w:tc>
          <w:tcPr>
            <w:tcW w:w="1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Issued</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2,070,710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Warrants outstanding at March 31, 2024</w:t>
            </w:r>
          </w:p>
        </w:tc>
        <w:tc>
          <w:tcPr>
            <w:tcW w:w="17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2,250,710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3.50 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summarizes information about warrants outstanding at March 31, 2024:</w:t>
      </w:r>
    </w:p>
    <w:tbl>
      <w:tblPr>
        <w:tblW w:w="10205" w:type="dxa"/>
        <w:jc w:val="left"/>
        <w:tblInd w:w="0" w:type="dxa"/>
        <w:tblLayout w:type="fixed"/>
        <w:tblCellMar>
          <w:top w:w="28" w:type="dxa"/>
          <w:left w:w="28" w:type="dxa"/>
          <w:bottom w:w="28" w:type="dxa"/>
          <w:right w:w="28" w:type="dxa"/>
        </w:tblCellMar>
      </w:tblPr>
      <w:tblGrid>
        <w:gridCol w:w="872"/>
        <w:gridCol w:w="721"/>
        <w:gridCol w:w="726"/>
        <w:gridCol w:w="736"/>
        <w:gridCol w:w="736"/>
        <w:gridCol w:w="738"/>
        <w:gridCol w:w="109"/>
        <w:gridCol w:w="109"/>
        <w:gridCol w:w="109"/>
        <w:gridCol w:w="701"/>
        <w:gridCol w:w="701"/>
        <w:gridCol w:w="703"/>
        <w:gridCol w:w="109"/>
        <w:gridCol w:w="109"/>
        <w:gridCol w:w="109"/>
        <w:gridCol w:w="232"/>
        <w:gridCol w:w="796"/>
        <w:gridCol w:w="120"/>
        <w:gridCol w:w="109"/>
        <w:gridCol w:w="109"/>
        <w:gridCol w:w="109"/>
        <w:gridCol w:w="419"/>
        <w:gridCol w:w="419"/>
        <w:gridCol w:w="604"/>
      </w:tblGrid>
      <w:tr>
        <w:trPr/>
        <w:tc>
          <w:tcPr>
            <w:tcW w:w="87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Number of Warrants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Number of Warrants Exercisable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Expiration Date</w:t>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December 2023 Warrants</w:t>
            </w:r>
          </w:p>
        </w:tc>
        <w:tc>
          <w:tcPr>
            <w:tcW w:w="2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December 11, 2024</w:t>
            </w:r>
          </w:p>
        </w:tc>
      </w:tr>
      <w:tr>
        <w:trPr/>
        <w:tc>
          <w:tcPr>
            <w:tcW w:w="2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February 2024 Pre-Funded Warrants</w:t>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810,205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810,205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Until exercised</w:t>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February 2024 Warrants</w:t>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1,260,505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August 14, 2029</w:t>
            </w:r>
          </w:p>
        </w:tc>
      </w:tr>
      <w:tr>
        <w:trPr/>
        <w:tc>
          <w:tcPr>
            <w:tcW w:w="2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2,250,710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990,205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10. COMMITMENTS AND CONTINGENCIES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Legal Matters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From time to time, the Company may be involved in various lawsuits and legal proceedings that arise in the ordinary course of business. However, litigation is subject to inherent uncertainties, and an adverse result in such matters may arise and harm the Company's business. The Company is currently not aware of any such legal proceedings or claims that it believes will have a material adverse effect on its business, financial condition, or operating results.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Environmental Liabilities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Company has a coal combustion residual ("CCR") liability associated with the closure of a coal ash pond located on the Company's property in the Town of Torrey, New York. In accordance with ASC 410-30, the Company has a liability of $17.3 million as of March 31, 2024 and December 31, 2023. CCRs are subject to federal and state requirements. In October 2023, the Company completed the necessary steps to officially cease use of the coal ash pond. Following this occurring, the Company is required to complete the remediation of the coal ash pond CCR by November 2028 and will perform the work in stages over the next five years.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Company owns and operates a fully permitted landfill that also acts as a leachate treatment facility. In accordance with ASC 410-30, Environmental Obligations ("ASC 410-30"), the Company has recorded an environmental liability of $12.9 million as of March 31, 2024 and December 31, 2023. As required by NYSDEC, companies with landfills are required to fund a trust to cover closure costs and expenses after the landfill has stopped operating or, in lieu of a trust,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2.4%.</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Commitments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Company entered into a contract with Empire Pipeline Incorporated in September 2020 which provides for the transportation to its pipeline of 15,000 dekatherms of natural gas per day, approximately $0.2 million per month. The contract ends in September 2030 and may be terminated by either party with 12 months' notice after the initial 10-year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11. CONCENTRATIONS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a single hosting customer that accounted for 47% and 46% of the company's revenue during the three months ended March 31, 2024 and 2023,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For the Company's self-mining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one of the Company’s pool operator customers accounted for approximately 36% and 34% of total revenue for the three months ended March 31, 2024 and 2023, respectively.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has one major power customer, NYISO, that accounted for 16% and 12% of its revenue for the three months ended March 31, 2024 and 2023,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one natural gas vendor that accounted for approximately 45% and 42% of cost of revenue for the three months ended March 31, 2024 and 2023,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one major provider of hosting services for its self-mining operation that accounted for approximately 23% of cost of revenue for the three months ended March 31, 2024. There were no hosting services for the self-mining operation for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12. RELATED PARTY TRANSACTIONS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Letters of Credit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Atlas obtained a letter of credit from a financial institution in the amount of $5.0 million at March 31, 2024 and December 31, 2023, payable to the NYSDEC. This letter of credit guarantees the current value of the Company’s landfill environmental trust liability. See Note 10, "Commitments and Contingencies" for further details.</w:t>
      </w:r>
    </w:p>
    <w:p>
      <w:pPr>
        <w:pStyle w:val="TextBody"/>
        <w:bidi w:val="0"/>
        <w:spacing w:lineRule="auto" w:line="288" w:before="240" w:after="283"/>
        <w:jc w:val="left"/>
        <w:rPr/>
      </w:pPr>
      <w:r>
        <w:rPr>
          <w:rFonts w:ascii="Calibri;sans-serif" w:hAnsi="Calibri;sans-serif"/>
          <w:b w:val="false"/>
          <w:color w:val="000000"/>
          <w:sz w:val="20"/>
        </w:rPr>
        <w:t>Atlas also has a letter of credit from a financial institution in the amount of $3.6 million at March 31, 2024 and December 31, 2023, payable to Empire Pipeline Incorporated (“Empire”) in the event the Company should not make contracted payments for costs related to a pipeline interconnection project the Company has entered into with Empire (see Note 10, "</w:t>
      </w:r>
      <w:r>
        <w:rPr>
          <w:rFonts w:ascii="Calibri;sans-serif" w:hAnsi="Calibri;sans-serif"/>
          <w:b w:val="false"/>
          <w:i/>
          <w:color w:val="000000"/>
          <w:sz w:val="20"/>
        </w:rPr>
        <w:t>Commitments and Contingencies"</w:t>
      </w:r>
      <w:r>
        <w:rPr>
          <w:rFonts w:ascii="Calibri;sans-serif" w:hAnsi="Calibri;sans-serif"/>
          <w:b w:val="false"/>
          <w:color w:val="000000"/>
          <w:sz w:val="20"/>
        </w:rPr>
        <w:t>).</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Mississippi Expansion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April 10, 2024, we closed on the purchase of a parcel of land containing approximately 12 acres located in Columbus, Mississippi, including over 73,000 square feet of industrial warehouse space, from a subsidiary of Motus Pivot Inc., a portfolio company of Atlas, our controlling shareholder and a related party. The purchase price was $1.45 million, of which $500,000 is to be paid no later than 60 days after the closing and $350,000 is to be paid no later than 120 days after the closing, This property provides us with access to 32.5 MW of additional power capacity. The transaction closed in April 2024 and we deployed 7 MW of miners on the property in the second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Other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Affiliates of Atlas from time to time incur certain costs for the benefit of Greenidge, including for the maintenance of certain aforementioned letters of credit, which are fully reimbursed by Greenidge. Greenidge did not reimburse Atlas or its affiliates for any such costs during the quarter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13. SUPPLEMENTAL BALANCE SHEET AND CASH FLOW INFORMATION</w:t>
      </w:r>
    </w:p>
    <w:tbl>
      <w:tblPr>
        <w:tblW w:w="4705" w:type="dxa"/>
        <w:jc w:val="left"/>
        <w:tblInd w:w="0" w:type="dxa"/>
        <w:tblLayout w:type="fixed"/>
        <w:tblCellMar>
          <w:top w:w="28" w:type="dxa"/>
          <w:left w:w="28" w:type="dxa"/>
          <w:bottom w:w="28" w:type="dxa"/>
          <w:right w:w="28" w:type="dxa"/>
        </w:tblCellMar>
      </w:tblPr>
      <w:tblGrid>
        <w:gridCol w:w="598"/>
        <w:gridCol w:w="524"/>
        <w:gridCol w:w="527"/>
        <w:gridCol w:w="270"/>
        <w:gridCol w:w="790"/>
        <w:gridCol w:w="139"/>
        <w:gridCol w:w="109"/>
        <w:gridCol w:w="109"/>
        <w:gridCol w:w="109"/>
        <w:gridCol w:w="329"/>
        <w:gridCol w:w="961"/>
        <w:gridCol w:w="240"/>
      </w:tblGrid>
      <w:tr>
        <w:trPr/>
        <w:tc>
          <w:tcPr>
            <w:tcW w:w="5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Prepaid expenses:</w:t>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Electric deposits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insurance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2,818 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 Asset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2,818 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3,864 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Accrued expenses:</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5,090 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4,266 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6,116 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Greenidge had the following noncash investing and financing activities:</w:t>
      </w:r>
    </w:p>
    <w:tbl>
      <w:tblPr>
        <w:tblW w:w="6825" w:type="dxa"/>
        <w:jc w:val="left"/>
        <w:tblInd w:w="0" w:type="dxa"/>
        <w:tblLayout w:type="fixed"/>
        <w:tblCellMar>
          <w:top w:w="28" w:type="dxa"/>
          <w:left w:w="28" w:type="dxa"/>
          <w:bottom w:w="28" w:type="dxa"/>
          <w:right w:w="28" w:type="dxa"/>
        </w:tblCellMar>
      </w:tblPr>
      <w:tblGrid>
        <w:gridCol w:w="1630"/>
        <w:gridCol w:w="1431"/>
        <w:gridCol w:w="1439"/>
        <w:gridCol w:w="247"/>
        <w:gridCol w:w="247"/>
        <w:gridCol w:w="247"/>
        <w:gridCol w:w="247"/>
        <w:gridCol w:w="247"/>
        <w:gridCol w:w="247"/>
        <w:gridCol w:w="247"/>
        <w:gridCol w:w="247"/>
        <w:gridCol w:w="349"/>
      </w:tblGrid>
      <w:tr>
        <w:trPr/>
        <w:tc>
          <w:tcPr>
            <w:tcW w:w="163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purchases in accounts payable</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224</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751</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stock issued for amendment fee to lender</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assets for reduction in debt</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49,950</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coupons for reduction in debt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equipment deposits for reduction in debt</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7,381</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 added to debt principal</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680</w:t>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supplemental cash flow information for cash paid for interest:</w:t>
      </w:r>
    </w:p>
    <w:tbl>
      <w:tblPr>
        <w:tblW w:w="4133" w:type="dxa"/>
        <w:jc w:val="left"/>
        <w:tblInd w:w="0" w:type="dxa"/>
        <w:tblLayout w:type="fixed"/>
        <w:tblCellMar>
          <w:top w:w="28" w:type="dxa"/>
          <w:left w:w="28" w:type="dxa"/>
          <w:bottom w:w="28" w:type="dxa"/>
          <w:right w:w="28" w:type="dxa"/>
        </w:tblCellMar>
      </w:tblPr>
      <w:tblGrid>
        <w:gridCol w:w="657"/>
        <w:gridCol w:w="577"/>
        <w:gridCol w:w="580"/>
        <w:gridCol w:w="218"/>
        <w:gridCol w:w="638"/>
        <w:gridCol w:w="112"/>
        <w:gridCol w:w="112"/>
        <w:gridCol w:w="112"/>
        <w:gridCol w:w="112"/>
        <w:gridCol w:w="218"/>
        <w:gridCol w:w="638"/>
        <w:gridCol w:w="159"/>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Three Months Ended March 31,</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Cash paid for interest</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14. DIGITAL ASSETS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presents our bitcoin activities for the three months ended March 31, 2024:</w:t>
      </w:r>
    </w:p>
    <w:tbl>
      <w:tblPr>
        <w:tblW w:w="4040" w:type="dxa"/>
        <w:jc w:val="left"/>
        <w:tblInd w:w="0" w:type="dxa"/>
        <w:tblLayout w:type="fixed"/>
        <w:tblCellMar>
          <w:top w:w="28" w:type="dxa"/>
          <w:left w:w="28" w:type="dxa"/>
          <w:bottom w:w="28" w:type="dxa"/>
          <w:right w:w="28" w:type="dxa"/>
        </w:tblCellMar>
      </w:tblPr>
      <w:tblGrid>
        <w:gridCol w:w="1156"/>
        <w:gridCol w:w="1017"/>
        <w:gridCol w:w="1021"/>
        <w:gridCol w:w="211"/>
        <w:gridCol w:w="481"/>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0"/>
              </w:rPr>
            </w:pPr>
            <w:r>
              <w:rPr>
                <w:rFonts w:ascii="Calibri;sans-serif" w:hAnsi="Calibri;sans-serif"/>
                <w:b/>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20"/>
              </w:rPr>
              <w:t>347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Revenues from digital asset production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Sale of digital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Gain on sale of digital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0"/>
              </w:rPr>
            </w:pPr>
            <w:r>
              <w:rPr>
                <w:rFonts w:ascii="Calibri;sans-serif" w:hAnsi="Calibri;sans-serif"/>
                <w:b/>
                <w:color w:val="000000"/>
                <w:sz w:val="20"/>
              </w:rPr>
              <w:t>Digital Assets at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Calibri;sans-serif" w:hAnsi="Calibri;sans-serif"/>
                <w:b/>
                <w:color w:val="000000"/>
                <w:sz w:val="20"/>
              </w:rPr>
              <w:t>301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15. FAIR VALUE</w:t>
      </w:r>
    </w:p>
    <w:p>
      <w:pPr>
        <w:pStyle w:val="TextBody"/>
        <w:bidi w:val="0"/>
        <w:spacing w:lineRule="auto" w:line="288" w:before="240" w:after="283"/>
        <w:jc w:val="left"/>
        <w:rPr/>
      </w:pPr>
      <w:r>
        <w:rPr>
          <w:rFonts w:ascii="Calibri;sans-serif" w:hAnsi="Calibri;sans-serif"/>
          <w:b w:val="false"/>
          <w:color w:val="000000"/>
          <w:sz w:val="20"/>
        </w:rPr>
        <w:t xml:space="preserve">The Company follows the guidance in ASC Topic 820, </w:t>
      </w:r>
      <w:r>
        <w:rPr>
          <w:rFonts w:ascii="Calibri;sans-serif" w:hAnsi="Calibri;sans-serif"/>
          <w:b w:val="false"/>
          <w:i/>
          <w:color w:val="000000"/>
          <w:sz w:val="20"/>
        </w:rPr>
        <w:t>Fair Value Measurement</w:t>
      </w:r>
      <w:r>
        <w:rPr>
          <w:rFonts w:ascii="Calibri;sans-serif" w:hAnsi="Calibri;sans-serif"/>
          <w:b w:val="false"/>
          <w:color w:val="000000"/>
          <w:sz w:val="20"/>
        </w:rPr>
        <w:t>. For assets and liabilities measured at fair value on a recurring and nonrecurring basis, a three-level hierarchy based upon observable and unobservable inputs is used to arrive at fair value.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Level 1 inputs: Unadjusted quoted prices in active markets for identical assets or liabilities accessible to the reporting entity at the measurement date.</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Level 2 inputs: Other than quoted prices included in Level 1 inputs that are observable for the asset or liability, either directly or indirectly, for substantially the full term of the asset or liability.</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As of March 31, 2024, and December 31, 2023, the carrying amount of accounts receivable, prepaid expenses and other assets, income tax receivable, emissions and carbon offset credits, income tax receivable, accounts payable,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expenses, accrued emissions expense, and other short-term liabilities approximated their fair value due to their relatively short maturities.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tables present information about the Company's assets and liabilities that are measured at fair value on a recurring basis and indicate the fair value hierarchy of the valuation inputs the Company utilized to determine such fair value (in thousands):</w:t>
      </w:r>
    </w:p>
    <w:tbl>
      <w:tblPr>
        <w:tblW w:w="7560" w:type="dxa"/>
        <w:jc w:val="left"/>
        <w:tblInd w:w="0" w:type="dxa"/>
        <w:tblLayout w:type="fixed"/>
        <w:tblCellMar>
          <w:top w:w="28" w:type="dxa"/>
          <w:left w:w="28" w:type="dxa"/>
          <w:bottom w:w="28" w:type="dxa"/>
          <w:right w:w="28" w:type="dxa"/>
        </w:tblCellMar>
      </w:tblPr>
      <w:tblGrid>
        <w:gridCol w:w="1269"/>
        <w:gridCol w:w="1110"/>
        <w:gridCol w:w="1131"/>
        <w:gridCol w:w="211"/>
        <w:gridCol w:w="406"/>
        <w:gridCol w:w="109"/>
        <w:gridCol w:w="109"/>
        <w:gridCol w:w="109"/>
        <w:gridCol w:w="109"/>
        <w:gridCol w:w="211"/>
        <w:gridCol w:w="406"/>
        <w:gridCol w:w="109"/>
        <w:gridCol w:w="109"/>
        <w:gridCol w:w="109"/>
        <w:gridCol w:w="109"/>
        <w:gridCol w:w="211"/>
        <w:gridCol w:w="466"/>
        <w:gridCol w:w="109"/>
        <w:gridCol w:w="109"/>
        <w:gridCol w:w="109"/>
        <w:gridCol w:w="109"/>
        <w:gridCol w:w="211"/>
        <w:gridCol w:w="46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As of December 31, 2023</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current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 asset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50" w:type="dxa"/>
        <w:jc w:val="left"/>
        <w:tblInd w:w="0" w:type="dxa"/>
        <w:tblLayout w:type="fixed"/>
        <w:tblCellMar>
          <w:top w:w="28" w:type="dxa"/>
          <w:left w:w="28" w:type="dxa"/>
          <w:bottom w:w="28" w:type="dxa"/>
          <w:right w:w="28" w:type="dxa"/>
        </w:tblCellMar>
      </w:tblPr>
      <w:tblGrid>
        <w:gridCol w:w="1269"/>
        <w:gridCol w:w="1110"/>
        <w:gridCol w:w="1131"/>
        <w:gridCol w:w="211"/>
        <w:gridCol w:w="406"/>
        <w:gridCol w:w="109"/>
        <w:gridCol w:w="109"/>
        <w:gridCol w:w="109"/>
        <w:gridCol w:w="109"/>
        <w:gridCol w:w="211"/>
        <w:gridCol w:w="406"/>
        <w:gridCol w:w="109"/>
        <w:gridCol w:w="109"/>
        <w:gridCol w:w="109"/>
        <w:gridCol w:w="109"/>
        <w:gridCol w:w="211"/>
        <w:gridCol w:w="361"/>
        <w:gridCol w:w="109"/>
        <w:gridCol w:w="109"/>
        <w:gridCol w:w="109"/>
        <w:gridCol w:w="109"/>
        <w:gridCol w:w="211"/>
        <w:gridCol w:w="361"/>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As of March 31, 2024</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current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 asset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Warrant Asset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fair value of the warrant asset was estimated by utilizing a Black-Scholes-Merton option pricing model. The inputs into the Black-Scholes-Merton option pricing model included significant unobservable inputs. The following table provides quantitative information regarding the Level 3 fair value inputs:</w:t>
      </w:r>
    </w:p>
    <w:tbl>
      <w:tblPr>
        <w:tblW w:w="5619" w:type="dxa"/>
        <w:jc w:val="left"/>
        <w:tblInd w:w="0" w:type="dxa"/>
        <w:tblLayout w:type="fixed"/>
        <w:tblCellMar>
          <w:top w:w="28" w:type="dxa"/>
          <w:left w:w="28" w:type="dxa"/>
          <w:bottom w:w="28" w:type="dxa"/>
          <w:right w:w="28" w:type="dxa"/>
        </w:tblCellMar>
      </w:tblPr>
      <w:tblGrid>
        <w:gridCol w:w="776"/>
        <w:gridCol w:w="682"/>
        <w:gridCol w:w="686"/>
        <w:gridCol w:w="302"/>
        <w:gridCol w:w="732"/>
        <w:gridCol w:w="345"/>
        <w:gridCol w:w="109"/>
        <w:gridCol w:w="109"/>
        <w:gridCol w:w="109"/>
        <w:gridCol w:w="370"/>
        <w:gridCol w:w="897"/>
        <w:gridCol w:w="502"/>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 Price</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4.83 </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5.21 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5.14 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Volatility</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67.09 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172.64 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Remaining term (in years)</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Assets Measured on a Nonrecurring Basis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Assets that are measured at fair value on a nonrecurring basis are remeasured when carrying value exceeds fair value. This includes the evaluation of long-lived assets. Where an indication of an impairment exists, the Company's estimates of fair value of long-lived assets require the use of significant unobservable inputs, representative of Level 3 fair value measurements, including numerous assumptions with respect to future circumstances that might impact the long-lived assets' operations in the future and are therefore uncertain.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During the three months ended March 31, 2024, the Company recognized an impairment charge of $0.2 million of property and equipment, net. There were no impairment charges for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16. SUBSEQUENT EVENTS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Subsequent events have been evaluated through May 15, 2024, the date at which the condensed consolidated financial statements were available to be issued, and the Company has concluded that no such events or transactions took place that would require disclosure herein except as stated directly below.</w:t>
      </w:r>
    </w:p>
    <w:p>
      <w:pPr>
        <w:pStyle w:val="TextBody"/>
        <w:bidi w:val="0"/>
        <w:spacing w:lineRule="auto" w:line="288" w:before="240" w:after="240"/>
        <w:jc w:val="left"/>
        <w:rPr>
          <w:rFonts w:ascii="Calibri;sans-serif" w:hAnsi="Calibri;sans-serif"/>
          <w:b/>
          <w:color w:val="000000"/>
          <w:sz w:val="20"/>
        </w:rPr>
      </w:pPr>
      <w:r>
        <w:rPr>
          <w:rFonts w:ascii="Calibri;sans-serif" w:hAnsi="Calibri;sans-serif"/>
          <w:b/>
          <w:color w:val="000000"/>
          <w:sz w:val="20"/>
        </w:rPr>
        <w:t>Mississippi Expansion</w:t>
      </w:r>
    </w:p>
    <w:p>
      <w:pPr>
        <w:pStyle w:val="TextBody"/>
        <w:bidi w:val="0"/>
        <w:spacing w:lineRule="auto" w:line="288" w:before="240" w:after="240"/>
        <w:jc w:val="left"/>
        <w:rPr>
          <w:rFonts w:ascii="Calibri;sans-serif" w:hAnsi="Calibri;sans-serif"/>
          <w:b w:val="false"/>
          <w:color w:val="000000"/>
          <w:sz w:val="20"/>
        </w:rPr>
      </w:pPr>
      <w:r>
        <w:rPr>
          <w:rFonts w:ascii="Calibri;sans-serif" w:hAnsi="Calibri;sans-serif"/>
          <w:b w:val="false"/>
          <w:color w:val="000000"/>
          <w:sz w:val="20"/>
        </w:rPr>
        <w:t>On April 10, 2024, a subsidiary of the Company entered into a Commercial Purchase and Sale Agreement (the “Motus Agreement”) with a subsidiary of Motus Pivot Inc., a Delaware corporation ("Motus"), pursuant to which the Company has agreed to purchase from Motus a parcel of land containing approximately 12 acres located in Columbus, Mississippi, including over 73,000 square feet of industrial warehouse space (the “Property”). The purchase price for the Property is $1.45 million (the “Purchase Price”), which the Company expects to finance with cash on hand. As such, financing the transaction with cash on hand will impact the Company's liquidity and capital resources. Motus is a portfolio company of private investment funds managed by Atlas Holdings LLC (“Atlas”), a related party of the Company. Greenidge’s controlling shareholder consists of certain funds associated with Atlas. Under the terms of the Motus Agreement, Greenidge will deposit $50 thousand in escrow, with such amount to be applied at closing to the Purchase Price. The Motus Agreement contains customary representations, warranties and covenants of the parties and closing conditions as well as other customary provisions.</w: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Calibri;sans-serif" w:hAnsi="Calibri;sans-serif"/>
          <w:b w:val="false"/>
          <w:i/>
          <w:color w:val="000000"/>
          <w:sz w:val="20"/>
        </w:rPr>
        <w:t xml:space="preserve">The following discussion should be read together with the audited financial statements and the related notes thereto of Greenidge Generation Holdings Inc. (“Greenidge”), together with its consolidated subsidiaries (the “Company”) for the years ended December 31, 2023 and 2022 included in our Annual Report on Form 10-K and the unaudited interim financial statements and related notes thereto of the Company for the three months ended March 31, 2024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Greenidge's Annual Report on Form 10-K for the year ended December 31, 2023 </w:t>
      </w:r>
      <w:r>
        <w:rPr>
          <w:rFonts w:ascii="Calibri;sans-serif" w:hAnsi="Calibri;sans-serif"/>
          <w:b w:val="false"/>
          <w:color w:val="000000"/>
          <w:sz w:val="20"/>
        </w:rPr>
        <w:t>and in this Quarterly Report on Form 10-Q,</w:t>
      </w:r>
      <w:r>
        <w:rPr>
          <w:color w:val="000000"/>
        </w:rPr>
        <w:t xml:space="preserve"> </w:t>
      </w:r>
      <w:r>
        <w:rPr>
          <w:rFonts w:ascii="Calibri;sans-serif" w:hAnsi="Calibri;sans-serif"/>
          <w:b w:val="false"/>
          <w:i/>
          <w:color w:val="000000"/>
          <w:sz w:val="20"/>
        </w:rPr>
        <w:t>and “Cautionary Statement Regarding Forward-Looking Statements” sections of this Quarterly Report on Form 10-Q. Actual results may differ materially from those contained in any forward-looking statements. For purposes of this section, “the Company,” “we,” “us” and “our” refer to Greenidge Generation Holdings Inc. together with its consolidated subsidiaries. You should carefully read “Cautionary Statement Regarding Forward-Looking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Overview</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own cryptocurrency datacenter operations in the Town of Torrey, New York (the "New York Facility"), the Town of Columbia, Mississippi (the "Mississippi Facility") owned and operated a facility in Spartanburg, South Carolina (the "South Carolina Facility") and lease property for purposes of operating a cryptocurrency datacenter in the Town of Underwood, North Dakota (the "North Dakota Facility" and, together with the New York Facility, Mississippi Facility, and South Carolina Facility, the "facilities"). The New York Facility is a vertically integrated cryptocurrency datacenter and power generation facility with an approximately 106 megawatt ("MW") nameplate capacity, natural gas power generation facility. We generate revenue from four primary sources: (1) datacenter hosting, which we commenced on January 30, 2023, (2) cryptocurrency mining, (3) power and capacity, and (4) engineering procurement and construction management.</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generate all the power we require for operations in the New York Facility, where we enjoy relatively lower market prices for natural gas due to our access to the Millennium Gas Pipeline price hub.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assist in meeting the power needs of homes and businesses in the region served by our New York Facility.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datacenter operations consisted of approximately 42,300 miners with approximately 4.6 EH/s of combined capacity for both datacenter hosting and cryptocurrency mining, of which 32,100 miners, or 3.4 EH/s, were associated with datacenter hosting and 10,200 miners, or 1.2 EH/s, were associated with Greenidge's cryptocurrency mining. Subsequent to the South Carolina transaction, datacenter operations consists of approximately 28,800 miners with approximately 3.0 EH/S of combined capacity for both datacenter hosting and cryptocurrency mining, of which 18,100 miners or 1.8 EH/s, is associated with datacenter hosting and 10,700 miners, or 1.2 EH/s is associated with our cryptocurrency mining.</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Recent Developments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February 12, 2024, we entered into a securities purchase agreement (the “SPA”) with Armistice Capital Master Fund Ltd. (“Armistice”). Pursuant to the SPA, Armistice purchased (i) 450,300 shares of our Class A common stock (the “SPA Shares”), and (ii) a pre-funded warrant (the “Pre-Funded Warrant”) to purchase 810,205 shares of our Class A common stock (the “Pre-Funded Warrant Shares”). The per share purchase price of the SPA Shares and the Pre-Funded Warrant Shares was $4.76, resulting in proceeds of $6.0 million. In addition, we issued to Armistice a five-year warrant (the “5-Year Warrant”) to purchase up to 1,260,505 shares of Class A common stock (the "Warrant Shares"), exercisable commencing on August 14, 2024 at an exercise price of $5.25 per share.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Pursuant to the SPA, filed a resale registration statement with the SEC covering the SPA Shares, the Pre-Funded Warrant Shares, and the Warrant Shares.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SPA Shares and the shares of Class A common stock issuable pursuant to the Pre-Funded Warrant and the 5-Year Warrant were offered and sold in a transaction exempt from registration under the Securities Act, in reliance on Section 4(a)(2) of the Securities Act. Armistice represented to the Company in the SPA that it is an “accredited investor,” as defined in Rule 501(a) of Regulation D under the Securities Act.</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On April 10, 2024, we closed on the purchase of a parcel of land containing approximately 12 acres located in Columbus, Mississippi, including over 73,000 square feet of industrial warehouse space, from a subsidiary of Motus Pivot Inc., a portfolio company of Atlas, our controlling shareholder and a related party. The purchase price was $1.45 million, of which $500,000 is to be paid no later than 60 days after the closing and $350,000 is to be paid no later than 120 days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after the closing, This property provides us with access to 32.5 MW of additional power capacity. The transaction closed in April 2024 and we deployed 7 MW of miners on the property in the second quarter of 2024. We have also deployed additional miners in conjunction with a 7.5 MW mining capacity lease in North Dakota, which has a term of five years and provides us with energy to power mining.</w:t>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Discontinued Operations</w:t>
      </w:r>
    </w:p>
    <w:p>
      <w:pPr>
        <w:pStyle w:val="TextBody"/>
        <w:bidi w:val="0"/>
        <w:spacing w:lineRule="auto" w:line="288" w:before="240" w:after="283"/>
        <w:jc w:val="left"/>
        <w:rPr/>
      </w:pPr>
      <w:r>
        <w:rPr>
          <w:rFonts w:ascii="Calibri;sans-serif" w:hAnsi="Calibri;sans-serif"/>
          <w:b w:val="false"/>
          <w:color w:val="000000"/>
          <w:sz w:val="20"/>
        </w:rPr>
        <w:t>The contract with the Support.com's largest customer expired on December 31, 2022 and was not renewed. As a result, we have classified the Support.com business as held for sale and discontinued operations in these condensed consolidated financial statements as a result of management and the board of directors making a decision to pursue alternatives for the Support.com business and to strictly focus on its cryptocurrency mining, datacenter hosting and power generation operations. See Note 3, "</w:t>
      </w:r>
      <w:r>
        <w:rPr>
          <w:rFonts w:ascii="Calibri;sans-serif" w:hAnsi="Calibri;sans-serif"/>
          <w:b w:val="false"/>
          <w:i/>
          <w:color w:val="000000"/>
          <w:sz w:val="20"/>
        </w:rPr>
        <w:t>Discontinued Operations"</w:t>
      </w:r>
      <w:r>
        <w:rPr>
          <w:color w:val="000000"/>
        </w:rPr>
        <w:t xml:space="preserve"> </w:t>
      </w:r>
      <w:r>
        <w:rPr>
          <w:rFonts w:ascii="Calibri;sans-serif" w:hAnsi="Calibri;sans-serif"/>
          <w:b w:val="false"/>
          <w:color w:val="000000"/>
          <w:sz w:val="20"/>
        </w:rPr>
        <w:t>of our unaudited condensed consolidated financial statements for additional information.</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Growth Opportunities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view our growth opportunities as primarily related to the following areas: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Acquisition of properties with low-cost power</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Development of owned properties for artificial intelligence ("AI")/graphics processing unit ("GPU") data center, bitcoin self-mining and bitcoin hosting</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Sale of owned properties for AI/GPU data center construction</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Infrastructure services and development for AI and high-performance computing ("HPC")</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Purchase and deployment of GPUs for AI and HPC</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Engineering Procurement and Construction Management (“EPCM”) contracts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Purchase and deployment of high efficiency bitcoin mining rigs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Hosting services for bitcoin mining</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Acquisition of private bitcoin mining companies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is actively pursuing the acquisition of additional properties with access to low-cost power and appropriate size to allow for efficient expansion of AI/GPU data centers and/or bitcoin mining facilities, such as the Columbus property. The growth of AI and HPC will provide significant demand for development of future data centers utilizing large amounts of energy. We currently have significant infrastructure on hand to reduce the cost of site development for various future projects. All current and future properties will be simultaneously evaluated for internal development or outright sales.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is in the process of purchasing GPUs for a pilot program related to the rental of computing power for AI and HPC. We are utilizing the pilot program to ensure our investments in the AI/GPU data center space efficiently utilize capital to align with the anticipated growth and demand for our offerings.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is continuing to develop and market its EPCM services in order to provide greater short-term growth. We believe feedback from previous and current clients has shown that we offer a superior product with respect to the development of bitcoin mining facilities.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will also continue to evaluate the benefits of finding accretive acquisitions, specifically in the bitcoin mining sector.</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Title V Air Permit</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In late June 2022, the New York State Department of Environmental Conservation (“NYSDEC”) announced its denial of the Title V Air Permit renewal for our New York Facility. We filed a notice with NYSDEC in July 2022 requesting a hearing on NYSDEC’s decision. In September 2023, the administrative law judge presiding over the hearing issued a ruling with respect to the status of the parties and certain issues to be adjudicated in the hearing. We submitted an interim appeal with NYSDEC thereafter challenging such ruling with a motion to stay the broader appeals process while the interim appeal was being resolved. On May 8, 2024, our interim appeal to NYSDEC and request for an adjudicatory hearing were ultimately denied, and the June 2022 non-renewal of our Title V Air Permit was affirmed by NYSDEC's Regional Director for Region 7, which rendered NYSDEC's decision final for purposes of seeking judicial review. We have four months from May 8, 2024 to continue to operate the New York Facility uninterrupted under a State Administrative Procedures Act extension, in full compliance with our existing Title V Air Permit, and to bring an action challenging the denial of our permit renewal application. While no further adjudication proceedings have been scheduled to date, we intend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challenge the June 2022 non-renewal and simultaneously bring a request for temporary restraining order/preliminary injunction to allow the New York Facility to continue operating during the pendency of the litigation. This challenge will cause us to incur additional costs and result in the diversion of management attention, which could adversely affect our business, financial condition and results of operations. We expect that the judicial proceedings related to the challenge of NYSDEC's denial of our Title V Air Permit renewal application may take a number of years to fully resolve, and there can be no assurance that our efforts will be successful. Our inability to secure a temporary restraining order or preliminary injunction to allow the New York Facility to continue operating during the pendency of the litigation or to otherwise succeed in securing a renewal of our Title V Air Permit for the New York Facility could have a material adverse effect on us and our ability to continue operating as a going concern. See Note 2, “Summary of Significant Accounting Policies,” in the Notes to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u w:val="single"/>
        </w:rPr>
      </w:pPr>
      <w:r>
        <w:rPr>
          <w:rFonts w:ascii="Calibri;sans-serif" w:hAnsi="Calibri;sans-serif"/>
          <w:b/>
          <w:color w:val="000000"/>
          <w:sz w:val="20"/>
          <w:u w:val="single"/>
        </w:rPr>
        <w:t>Results from Continuing Operations - Three Months Ended March 31, 2024</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sets forth key components of our results from continuing operations and should be read in conjunction with our condensed consolidated financial statements and related notes. All comparisons below refer to the three months ended March 31, 2024 versus the three months ended March 31, 2023, unless otherwise specified.</w:t>
      </w:r>
    </w:p>
    <w:tbl>
      <w:tblPr>
        <w:tblW w:w="9963" w:type="dxa"/>
        <w:jc w:val="left"/>
        <w:tblInd w:w="0" w:type="dxa"/>
        <w:tblLayout w:type="fixed"/>
        <w:tblCellMar>
          <w:top w:w="28" w:type="dxa"/>
          <w:left w:w="28" w:type="dxa"/>
          <w:bottom w:w="28" w:type="dxa"/>
          <w:right w:w="28" w:type="dxa"/>
        </w:tblCellMar>
      </w:tblPr>
      <w:tblGrid>
        <w:gridCol w:w="1780"/>
        <w:gridCol w:w="1571"/>
        <w:gridCol w:w="1583"/>
        <w:gridCol w:w="211"/>
        <w:gridCol w:w="691"/>
        <w:gridCol w:w="241"/>
        <w:gridCol w:w="109"/>
        <w:gridCol w:w="109"/>
        <w:gridCol w:w="109"/>
        <w:gridCol w:w="211"/>
        <w:gridCol w:w="691"/>
        <w:gridCol w:w="241"/>
        <w:gridCol w:w="109"/>
        <w:gridCol w:w="109"/>
        <w:gridCol w:w="109"/>
        <w:gridCol w:w="211"/>
        <w:gridCol w:w="616"/>
        <w:gridCol w:w="109"/>
        <w:gridCol w:w="109"/>
        <w:gridCol w:w="109"/>
        <w:gridCol w:w="109"/>
        <w:gridCol w:w="268"/>
        <w:gridCol w:w="272"/>
        <w:gridCol w:w="286"/>
      </w:tblGrid>
      <w:tr>
        <w:trPr/>
        <w:tc>
          <w:tcPr>
            <w:tcW w:w="178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19,333 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15,157 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(exclusive of depreciation)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21,208 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(1,875)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(5,667)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digital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Benefit from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Adjusted Amounts (a)</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income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(5,794)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margin from continuing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(8,969)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Other Financial Data (a)</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(9.6)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(7.2)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(a)Adjusted Amounts and Other Financial Data are non-GAAP performance measures. A reconciliation of reported amounts to adjusted amounts can be found in the "Non-GAAP Measures and Reconciliations" section of this Management's Discussion and Analysis ("MD&amp;A").</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Key Metrics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provides a summary of key metrics related to the three months ended March 31, 2024 and 2023.</w:t>
      </w:r>
    </w:p>
    <w:tbl>
      <w:tblPr>
        <w:tblW w:w="9752" w:type="dxa"/>
        <w:jc w:val="left"/>
        <w:tblInd w:w="0" w:type="dxa"/>
        <w:tblLayout w:type="fixed"/>
        <w:tblCellMar>
          <w:top w:w="28" w:type="dxa"/>
          <w:left w:w="28" w:type="dxa"/>
          <w:bottom w:w="28" w:type="dxa"/>
          <w:right w:w="28" w:type="dxa"/>
        </w:tblCellMar>
      </w:tblPr>
      <w:tblGrid>
        <w:gridCol w:w="1643"/>
        <w:gridCol w:w="1445"/>
        <w:gridCol w:w="1456"/>
        <w:gridCol w:w="220"/>
        <w:gridCol w:w="756"/>
        <w:gridCol w:w="241"/>
        <w:gridCol w:w="109"/>
        <w:gridCol w:w="109"/>
        <w:gridCol w:w="109"/>
        <w:gridCol w:w="220"/>
        <w:gridCol w:w="756"/>
        <w:gridCol w:w="241"/>
        <w:gridCol w:w="109"/>
        <w:gridCol w:w="109"/>
        <w:gridCol w:w="109"/>
        <w:gridCol w:w="211"/>
        <w:gridCol w:w="721"/>
        <w:gridCol w:w="109"/>
        <w:gridCol w:w="109"/>
        <w:gridCol w:w="109"/>
        <w:gridCol w:w="109"/>
        <w:gridCol w:w="231"/>
        <w:gridCol w:w="235"/>
        <w:gridCol w:w="286"/>
      </w:tblGrid>
      <w:tr>
        <w:trPr/>
        <w:tc>
          <w:tcPr>
            <w:tcW w:w="164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 per MWh and average bitcoin price</w:t>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19,333 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15,157 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Components of revenue as % of total</w:t>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MWh</w:t>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110,315 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90,979 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46,902 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59,633 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47,435 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30,192 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 per MWh</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(exclusive of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73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per MWh (exclusive of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Cryptocurrency Mining Metrics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Bitcoins produced:</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bitcoins produced</w:t>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bitcoin price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53,260 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22,877 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Company-owned miners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846,840 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998,702 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Hosted miners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1,736,730 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1,429,225 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difficulty</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77.4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40.2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37.2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60"/>
        <w:jc w:val="left"/>
        <w:rPr/>
      </w:pPr>
      <w:r>
        <w:rPr/>
      </w:r>
    </w:p>
    <w:p>
      <w:pPr>
        <w:pStyle w:val="TextBody"/>
        <w:bidi w:val="0"/>
        <w:spacing w:lineRule="auto" w:line="288" w:before="120" w:after="60"/>
        <w:jc w:val="left"/>
        <w:rPr>
          <w:rFonts w:ascii="Calibri;sans-serif" w:hAnsi="Calibri;sans-serif"/>
          <w:b/>
          <w:i/>
          <w:color w:val="000000"/>
          <w:sz w:val="20"/>
          <w:u w:val="single"/>
        </w:rPr>
      </w:pPr>
      <w:r>
        <w:rPr>
          <w:rFonts w:ascii="Calibri;sans-serif" w:hAnsi="Calibri;sans-serif"/>
          <w:b/>
          <w:i/>
          <w:color w:val="000000"/>
          <w:sz w:val="20"/>
          <w:u w:val="single"/>
        </w:rPr>
        <w:t>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January 30, 2023, upon entering into the NYDIG Hosting Agreement, we transitioned the majority of the capacity of our owned datacenter facilities to datacenter hosting operations. We entered into hosting arrangements at third party sites for the majority of our remaining owned miners in the first and second quarters of 2023. At March 31, 2024, Greenidge datacenter operations consisted of approximately 28,800 miners with approximately 3.0 EH/s of combined capacity for both datacenter hosting and cryptocurrency mining, of which 18,100 miners, or 1.8 EH/s, is associated with datacenter hosting and 10,700 miners, or 1.2 EH/s, is associated with Greenidge's cryptocurrency mining.</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For our cryptocurrency mining revenue, we generate revenue in the form of bitcoin by earning bitcoin as rewards and transaction fees for supporting the global bitcoin network with application-specific integrated circuit computers ("ASICs" or "miners") owned or leased by the Company. Our cryptocurrency mining revenue increased $0.5 million, or 9%, to $7.0 million. We estimate that approximately 69% of the increase was due to the increase in the average price of bitcoin, which was partially offset by 52% as a result of the decrease in the global bitcoin mining difficulty factor and 9% as a result of the decline in the Greenidge mining hashrate due to the transition of capacity to hosting during the course of Q1 2023. Bitcoin mining difficulty was 93% higher compared to the prior year due to increases in the difficulty index associated with the complexity of the algorithmic solution required to create a block and receive a bitcoin award, the average bitcoin price was 133% higher and our average hash rate decreased 15% primarily related to the reallocation of our mining equipment to datacenter hosting services.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miners associated with Greenidge’s cryptocurrency mining were comprised as follows:</w:t>
      </w:r>
    </w:p>
    <w:p>
      <w:pPr>
        <w:pStyle w:val="TextBody"/>
        <w:bidi w:val="0"/>
        <w:spacing w:before="0" w:after="0"/>
        <w:jc w:val="left"/>
        <w:rPr/>
      </w:pPr>
      <w:r>
        <w:rPr/>
      </w:r>
    </w:p>
    <w:tbl>
      <w:tblPr>
        <w:tblW w:w="3639" w:type="dxa"/>
        <w:jc w:val="left"/>
        <w:tblInd w:w="0" w:type="dxa"/>
        <w:tblLayout w:type="fixed"/>
        <w:tblCellMar>
          <w:top w:w="28" w:type="dxa"/>
          <w:left w:w="28" w:type="dxa"/>
          <w:bottom w:w="28" w:type="dxa"/>
          <w:right w:w="28" w:type="dxa"/>
        </w:tblCellMar>
      </w:tblPr>
      <w:tblGrid>
        <w:gridCol w:w="305"/>
        <w:gridCol w:w="266"/>
        <w:gridCol w:w="266"/>
        <w:gridCol w:w="266"/>
        <w:gridCol w:w="266"/>
        <w:gridCol w:w="278"/>
        <w:gridCol w:w="109"/>
        <w:gridCol w:w="109"/>
        <w:gridCol w:w="109"/>
        <w:gridCol w:w="487"/>
        <w:gridCol w:w="487"/>
        <w:gridCol w:w="691"/>
      </w:tblGrid>
      <w:tr>
        <w:trPr/>
        <w:tc>
          <w:tcPr>
            <w:tcW w:w="3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647" w:type="dxa"/>
            <w:gridSpan w:val="6"/>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center"/>
              <w:rPr>
                <w:rFonts w:ascii="Calibri;sans-serif" w:hAnsi="Calibri;sans-serif"/>
                <w:b/>
                <w:color w:val="000000"/>
                <w:sz w:val="20"/>
              </w:rPr>
            </w:pPr>
            <w:r>
              <w:rPr>
                <w:rFonts w:ascii="Calibri;sans-serif" w:hAnsi="Calibri;sans-serif"/>
                <w:b/>
                <w:color w:val="000000"/>
                <w:sz w:val="20"/>
              </w:rPr>
              <w:t>Vendor and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20"/>
              </w:rPr>
            </w:pPr>
            <w:r>
              <w:rPr>
                <w:rFonts w:ascii="Calibri;sans-serif" w:hAnsi="Calibri;sans-serif"/>
                <w:b/>
                <w:color w:val="000000"/>
                <w:sz w:val="20"/>
              </w:rPr>
              <w:t>Number of Miners</w:t>
            </w:r>
          </w:p>
        </w:tc>
      </w:tr>
      <w:tr>
        <w:trPr/>
        <w:tc>
          <w:tcPr>
            <w:tcW w:w="164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S19j Pro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 XP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3,600 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 Hydro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10,700 </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As of March 31, 2024, our fleet of miners ranged in age from 1.0 to 2.6 years and had an average age of approximately 1.85 years. We do not have scheduled downtime for our miners. When we have unscheduled downtime, we may from time to time replace a miner with a substitute miner in order to minimize overall fleet downtime. As of March 31, 2024, our fleet of miners ranged in efficiency from approximately 22.0 to 34.0 joules per terahash (“J/TH”) and had an average efficiency of 28.7 J/TH.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table below presents the average cost of mining each bitcoin for the year ended March 31, 2024:</w:t>
      </w:r>
    </w:p>
    <w:p>
      <w:pPr>
        <w:pStyle w:val="TextBody"/>
        <w:bidi w:val="0"/>
        <w:spacing w:before="0" w:after="0"/>
        <w:jc w:val="left"/>
        <w:rPr/>
      </w:pPr>
      <w:r>
        <w:rPr/>
      </w:r>
    </w:p>
    <w:tbl>
      <w:tblPr>
        <w:tblW w:w="7961" w:type="dxa"/>
        <w:jc w:val="left"/>
        <w:tblInd w:w="0" w:type="dxa"/>
        <w:tblLayout w:type="fixed"/>
        <w:tblCellMar>
          <w:top w:w="28" w:type="dxa"/>
          <w:left w:w="28" w:type="dxa"/>
          <w:bottom w:w="28" w:type="dxa"/>
          <w:right w:w="28" w:type="dxa"/>
        </w:tblCellMar>
      </w:tblPr>
      <w:tblGrid>
        <w:gridCol w:w="1611"/>
        <w:gridCol w:w="1417"/>
        <w:gridCol w:w="1427"/>
        <w:gridCol w:w="109"/>
        <w:gridCol w:w="109"/>
        <w:gridCol w:w="109"/>
        <w:gridCol w:w="532"/>
        <w:gridCol w:w="275"/>
        <w:gridCol w:w="275"/>
        <w:gridCol w:w="275"/>
        <w:gridCol w:w="275"/>
        <w:gridCol w:w="275"/>
        <w:gridCol w:w="275"/>
        <w:gridCol w:w="275"/>
        <w:gridCol w:w="722"/>
      </w:tblGrid>
      <w:tr>
        <w:trPr/>
        <w:tc>
          <w:tcPr>
            <w:tcW w:w="161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Calibri;sans-serif" w:hAnsi="Calibri;sans-serif"/>
                <w:b/>
                <w:color w:val="000000"/>
                <w:sz w:val="20"/>
              </w:rPr>
            </w:pPr>
            <w:r>
              <w:rPr>
                <w:rFonts w:ascii="Calibri;sans-serif" w:hAnsi="Calibri;sans-serif"/>
                <w:b/>
                <w:color w:val="000000"/>
                <w:sz w:val="20"/>
              </w:rPr>
              <w:t>Cost of Mining - Analysis of Costs to Mine One Bitcoin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Calibri;sans-serif" w:hAnsi="Calibri;sans-serif"/>
                <w:b/>
                <w:color w:val="000000"/>
                <w:sz w:val="20"/>
              </w:rPr>
            </w:pPr>
            <w:r>
              <w:rPr>
                <w:rFonts w:ascii="Calibri;sans-serif" w:hAnsi="Calibri;sans-serif"/>
                <w:b/>
                <w:color w:val="000000"/>
                <w:sz w:val="20"/>
              </w:rPr>
              <w:t>Three Months Ended March 31, 2024</w:t>
            </w:r>
          </w:p>
        </w:tc>
      </w:tr>
      <w:tr>
        <w:trPr/>
        <w:tc>
          <w:tcPr>
            <w:tcW w:w="478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Cost to mine one bitcoin</w:t>
            </w:r>
            <w:r>
              <w:rPr>
                <w:rFonts w:ascii="Calibri;sans-serif" w:hAnsi="Calibri;sans-serif"/>
                <w:b w:val="false"/>
                <w:color w:val="000000"/>
                <w:sz w:val="13"/>
              </w:rPr>
              <w:t>(1)</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925"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27,396 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Calibri;sans-serif" w:hAnsi="Calibri;sans-serif"/>
                <w:b w:val="false"/>
                <w:color w:val="000000"/>
                <w:sz w:val="20"/>
              </w:rPr>
              <w:t>Value of each bitcoin mined</w:t>
            </w:r>
            <w:r>
              <w:rPr>
                <w:rFonts w:ascii="Calibri;sans-serif" w:hAnsi="Calibr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925"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52,231 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to mine one bitcoin as % of value of bitcoin mined</w:t>
            </w:r>
          </w:p>
        </w:tc>
        <w:tc>
          <w:tcPr>
            <w:tcW w:w="245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52.5 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76" w:before="0" w:after="0"/>
        <w:jc w:val="left"/>
        <w:rPr>
          <w:rFonts w:ascii="Calibri;sans-serif" w:hAnsi="Calibri;sans-serif"/>
          <w:b w:val="false"/>
          <w:color w:val="000000"/>
          <w:sz w:val="16"/>
        </w:rPr>
      </w:pPr>
      <w:r>
        <w:rPr>
          <w:rFonts w:ascii="Calibri;sans-serif" w:hAnsi="Calibri;sans-serif"/>
          <w:b w:val="false"/>
          <w:color w:val="000000"/>
          <w:sz w:val="16"/>
        </w:rPr>
        <w:t>(1) Computed as cost of revenue of cryptocurrency mining divided by number of bitcoins produced from cryptocurrency mining.</w:t>
      </w:r>
    </w:p>
    <w:p>
      <w:pPr>
        <w:pStyle w:val="TextBody"/>
        <w:bidi w:val="0"/>
        <w:spacing w:lineRule="auto" w:line="276" w:before="0" w:after="0"/>
        <w:jc w:val="left"/>
        <w:rPr>
          <w:rFonts w:ascii="Calibri;sans-serif" w:hAnsi="Calibri;sans-serif"/>
          <w:b w:val="false"/>
          <w:color w:val="000000"/>
          <w:sz w:val="16"/>
        </w:rPr>
      </w:pPr>
      <w:r>
        <w:rPr>
          <w:rFonts w:ascii="Calibri;sans-serif" w:hAnsi="Calibri;sans-serif"/>
          <w:b w:val="false"/>
          <w:color w:val="000000"/>
          <w:sz w:val="16"/>
        </w:rPr>
        <w:t>(2) Computed as cryptocurrency mining revenue divided by number of bitcoins produced from cryptocurrency mining.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January 30, 2023, we entered into the NYDIG Hosting Agreement to provide datacenter hosting services. Under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and South Carolina Facility. We generated revenue of $9.1 million for the first three months of 2024 and $6.9 million for the first three months of 2023. This increase of $2.2 million was mainly due to datacenter hosting services not starting until the very end of January in 2023. In addition, we managed approximately 1.7 EH/s of average active hash rate in our hosting services, of which produced approximately 275 bitcoins.</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power and capacity revenue increased $1.3 million, or 72%, to $3.0 million during the three months ended March 31, 2024. We estimate that higher power and capacity sales volume due to our decreased behind-the-meter consumption and higher average power and capacity prices caused revenue increases of approximately 57% and 15%, respectively, as compared to the prior period.</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Cost of revenue (exclusive of depreciation)</w:t>
      </w:r>
    </w:p>
    <w:tbl>
      <w:tblPr>
        <w:tblW w:w="8764" w:type="dxa"/>
        <w:jc w:val="left"/>
        <w:tblInd w:w="0" w:type="dxa"/>
        <w:tblLayout w:type="fixed"/>
        <w:tblCellMar>
          <w:top w:w="28" w:type="dxa"/>
          <w:left w:w="28" w:type="dxa"/>
          <w:bottom w:w="28" w:type="dxa"/>
          <w:right w:w="28" w:type="dxa"/>
        </w:tblCellMar>
      </w:tblPr>
      <w:tblGrid>
        <w:gridCol w:w="1406"/>
        <w:gridCol w:w="1236"/>
        <w:gridCol w:w="1243"/>
        <w:gridCol w:w="211"/>
        <w:gridCol w:w="721"/>
        <w:gridCol w:w="241"/>
        <w:gridCol w:w="109"/>
        <w:gridCol w:w="109"/>
        <w:gridCol w:w="109"/>
        <w:gridCol w:w="211"/>
        <w:gridCol w:w="616"/>
        <w:gridCol w:w="241"/>
        <w:gridCol w:w="109"/>
        <w:gridCol w:w="109"/>
        <w:gridCol w:w="109"/>
        <w:gridCol w:w="211"/>
        <w:gridCol w:w="616"/>
        <w:gridCol w:w="109"/>
        <w:gridCol w:w="109"/>
        <w:gridCol w:w="109"/>
        <w:gridCol w:w="109"/>
        <w:gridCol w:w="216"/>
        <w:gridCol w:w="219"/>
        <w:gridCol w:w="286"/>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7,018 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12,318 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percentage of total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63.7 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64.2 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 xml:space="preserve">Total cost of revenue, exclusive of depreciation, increased $2.6 million, or 27%, to $12.3 million during the three months ended March 31, 2024 as compared to the prior year period. We estimate the increase is comprised of approximately 20% due to monthly hosting fees paid to third parties for hosting company owned miners, which was an expense that did not occur for the full first quarter of 2023, and further increased by 14% for natural gas costs due to forward purchases of gas at fixed prices for Datacenter Hosting. This was partially offset by 7% due to decreases in sales tax on gas. </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significant portions of cost of revenue are allocated between datacenter hosting, cryptocurrency mining and power and capacity based on MWh used by each. Power and capacity Cost of revenue declined due to lower natural gas costs, while MWh utilized by cryptocurrency mining declined due to the transition to the Hosting Agreements during the three months ended March 31, 2024.</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Selling, general and administrative expenses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decreased $3.5 million, or 39%, to $5.5 million for the three months ended March 31, 2024 as compared to the prior year period. The main drivers of the decrease in selling, general and administrative expenses were:</w:t>
      </w:r>
    </w:p>
    <w:p>
      <w:pPr>
        <w:pStyle w:val="TextBody"/>
        <w:bidi w:val="0"/>
        <w:spacing w:lineRule="auto" w:line="288" w:before="0" w:after="120"/>
        <w:ind w:left="0" w:right="0" w:hanging="360"/>
        <w:jc w:val="left"/>
        <w:rPr/>
      </w:pPr>
      <w:r>
        <w:rPr>
          <w:color w:val="000000"/>
        </w:rPr>
        <w:t>•</w:t>
      </w:r>
      <w:r>
        <w:rPr>
          <w:rFonts w:ascii="Calibri;sans-serif" w:hAnsi="Calibri;sans-serif"/>
          <w:b w:val="false"/>
          <w:color w:val="000000"/>
          <w:sz w:val="20"/>
        </w:rPr>
        <w:t>Decrease of approximately $2.1 million due to reductions in professional fees and consulting expenses caused by reductions in discretionary costs and higher regulatory costs in the prior year period associated with permit renewals and environmental matters at the New York plant;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payroll and benefits and other employee costs decreased approximately $1.1 million in first quarter of 2024 compared to the prior year period, as a result of declines in employee expenses including incentive compensation;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insurance expense decreased approximately $0.4 million in the first quarter of 2024 compared to the prior year period, as a result of declines in coverage costs related to umbrella, property, and liability policies</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Depreciation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Depreciation expense decreased $0.6 million, or 15%, to $3.2 million for the three months ended March 31, 2024 as compared to the prior year period, due to a lower asset base resulting from impairments recognized in 2023 and the sale of miners in during the first quarter of 2023.</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Operating (loss) income from continuing operations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We reported an operating loss for the three months ended March 31, 2024 of $1.9 million compared with an operating loss of $5.7 million in the three months ended March 31, 2023. The favorable variance of $3.8 million is primarily related to higher revenue, in the aggregate, from hosting, mining, and power operations, along with additional cost savings related to selling, general, and administrative expenses. These favorable variances were partially offset by increases in cost of revenue, exclusive of depreciation.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Adjusted loss from operations was $1.3 million for the three months ended March 31, 2024 as compared to adjusted loss from operations of $5.8 million in the three months ended March 31, 2023. The adjusted loss from operations was driven by the same factors described above impacting loss from operations.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Total other expense, net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During the three months ended March 31, 2024, Greenidge incurred a decrease of $1.0 million, or 32%, to $2.2 million of other expense due to a reduction in interest expense of $1.8 million, partially offset by a lower gain on sale of digital assets of $0.3 million and a change in fair value of warrant asset of $0.4 million.</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Benefit from income taxes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Our effective tax rate for the three months ended March 31, 2024 was 0.0%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 Our effective tax rate for the three months ended March 31, 2023 was 0.0%, which was lower than the statutory rate of 21% primarily due to state income taxes and tax benefits associated with stock-based compensation. </w:t>
      </w:r>
    </w:p>
    <w:p>
      <w:pPr>
        <w:pStyle w:val="TextBody"/>
        <w:bidi w:val="0"/>
        <w:spacing w:lineRule="auto" w:line="288" w:before="360" w:after="283"/>
        <w:jc w:val="left"/>
        <w:rPr>
          <w:rFonts w:ascii="Calibri;sans-serif" w:hAnsi="Calibri;sans-serif"/>
          <w:b/>
          <w:i/>
          <w:color w:val="000000"/>
          <w:sz w:val="20"/>
          <w:u w:val="single"/>
        </w:rPr>
      </w:pPr>
      <w:r>
        <w:rPr>
          <w:rFonts w:ascii="Calibri;sans-serif" w:hAnsi="Calibri;sans-serif"/>
          <w:b/>
          <w:i/>
          <w:color w:val="000000"/>
          <w:sz w:val="20"/>
          <w:u w:val="single"/>
        </w:rPr>
        <w:t>Net loss from continuing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 a result of the factors described above, Greenidge incurred a net loss of $4.0 million for the three months ended March 31, 2024 as compared to a net loss of $8.8 million for the three months ended March 31,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an adjusted basis, excluding the impact of a gain on sale of assets, debt restructure costs and expansions costs, adjusted net loss during the three months ended March 31, 2024 would have been $3.4 million as compared to $9.0 million in the same period in 2023. Adjusted net loss is a non-GAAP performance measure.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Income from discontinued operations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We have reported the Support.com business as discontinued operations in the consolidated financial statements. Income from discontinued operations, net of tax decreased $0.6 million, or 86%, to $0.1 million for the three months ended March 31, 2024. The decrease is primarily related to lower operating income caused by the loss of Support.com's largest customer and the winding down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Non-GAAP Measures and Reconciliations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United States Generally Accepted Accounting Principals ("U.S. GAAP").</w:t>
      </w:r>
    </w:p>
    <w:p>
      <w:pPr>
        <w:pStyle w:val="TextBody"/>
        <w:bidi w:val="0"/>
        <w:spacing w:lineRule="auto" w:line="288" w:before="120" w:after="283"/>
        <w:jc w:val="left"/>
        <w:rPr>
          <w:rFonts w:ascii="Calibri;sans-serif" w:hAnsi="Calibri;sans-serif"/>
          <w:b/>
          <w:i/>
          <w:color w:val="000000"/>
          <w:sz w:val="20"/>
        </w:rPr>
      </w:pPr>
      <w:r>
        <w:rPr>
          <w:rFonts w:ascii="Calibri;sans-serif" w:hAnsi="Calibri;sans-serif"/>
          <w:b/>
          <w:i/>
          <w:color w:val="000000"/>
          <w:sz w:val="20"/>
        </w:rPr>
        <w:t>EBITDA (loss) from continuing operations and Adjusted EBITDA (loss) from continuing operations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"EBITDA from continuing operations" is defined as earnings from continuing operations before taxes, interest, and depreciation and amortization. "Adjusted EBITDA from continuing operations" is defined as EBITDA from continuing operations adjusted for stock-based compensation and other special items determined by management, including, but not limited to business expansion costs, gain on sale of assets and debt restructuring costs as they are not indicative of business operations. Adjusted EBITDA is intended as a supplemental measure of our performance that is neither required by, nor presented in accordance with, U.S.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Because of these limitations, EBITDA and Adjusted EBITDA should not be considered in isolation or as a substitute for performance measures calculated in accordance with U.S. GAAP. We compensate for these limitations by relying primarily on our U.S. GAAP results and using EBITDA and Adjusted EBITDA on a supplemental basis. You should review the reconciliation of net loss (income) to EBITDA (loss) and Adjusted EBITDA below and not rely on any single financial measure to evaluate our business. The reported amounts in the table below are from our Unaudited Condensed Consolidated Statements of Operations in our Unaudited Condensed Consolidated Financial Statements included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52"/>
        <w:gridCol w:w="1098"/>
        <w:gridCol w:w="1040"/>
        <w:gridCol w:w="505"/>
        <w:gridCol w:w="1633"/>
        <w:gridCol w:w="698"/>
        <w:gridCol w:w="109"/>
        <w:gridCol w:w="109"/>
        <w:gridCol w:w="109"/>
        <w:gridCol w:w="211"/>
        <w:gridCol w:w="667"/>
        <w:gridCol w:w="277"/>
        <w:gridCol w:w="109"/>
        <w:gridCol w:w="109"/>
        <w:gridCol w:w="109"/>
        <w:gridCol w:w="211"/>
        <w:gridCol w:w="616"/>
        <w:gridCol w:w="109"/>
        <w:gridCol w:w="109"/>
        <w:gridCol w:w="109"/>
        <w:gridCol w:w="109"/>
        <w:gridCol w:w="257"/>
        <w:gridCol w:w="259"/>
        <w:gridCol w:w="291"/>
      </w:tblGrid>
      <w:tr>
        <w:trPr/>
        <w:tc>
          <w:tcPr>
            <w:tcW w:w="135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63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operating (loss)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income from continuing operations</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(1,875)</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(5,667)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restructuring costs</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income from continuing operations</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(1,286)</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(5,794)</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Adjusted operating margin</w:t>
            </w:r>
          </w:p>
        </w:tc>
        <w:tc>
          <w:tcPr>
            <w:tcW w:w="21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(6.7 </w:t>
            </w:r>
          </w:p>
        </w:tc>
        <w:tc>
          <w:tcPr>
            <w:tcW w:w="6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(38.2 </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(4,038)</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 after tax</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 after tax</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 after tax</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restructuring costs, after tax</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(3,449)</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(8,969)</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EBITDA (loss) and Adjusted EBITDA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(4,038)</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1,802 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3,234 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998 </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(1,449)</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1,070 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restructuring costs</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2,657 </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(1,095)</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(343)</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Liquidity and Capital Resources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March 31, 2024, we had cash and cash equivalents of $14.3 million. To date, we have primarily relied on debt and equity financing to fund our operations, including meeting ongoing working capital needs. Our management took certain actions during 2023 and during the first quarter of 2024 to improve the Company's liquidity.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As discussed in Item 1, "Business—Corporate History and Structure" of our Annual Report on Form 10-K filed on April 10, 2023, we entered into a debt restructuring agreement with our primary lender, NYDIG. We restructured our debt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transferring ownership of miners, previously secured by the MEFAs, under the Purchase Agreement along with the rights to credits and coupons to NYDIG and reduced our debt and accrued interest balance with NYDIG from $75.8 million to $17.3 million.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also entered into the NYDIG Hosting Agreement with NYDIG affiliates. The terms of the NYDIG Hosting Agreement require NYDIG affiliates to pay a hosting fee that covers the cost of power and direct costs associated with management of the mining facilities as well as a gross profit-sharing arrangement. This allows us to participate in the upside should bitcoin prices rise, but reduces our downside risk of bitcoin price deterioration and cost increases related to natural gas.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Additionally, we entered into the Promissory Note Amendment with B. Riley Commercial, which adjusted payments so that no principal and interest payments were required until June 2023, except for a requirement to repay principal using a portion of net proceeds from sales of equity, which was reduced from 65% to 15% of the net proceeds received. B. Riley Commercial and Atlas Holdings LLC each purchased $1 million of our Class A common stock pursuant to the ATM Agreement. In addition to the net proceeds from the sale of Class A common stock to B. Riley Commercial and Atlas Holdings LLC, during 2023, we received net proceeds of $20.6 million from sales of Class A common stock pursuant to the ATM Agreement. We repaid all $6.8 million of principal on the Secured Promissory Note during the year ended December 31, 2023.</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March 2023, we entered into the Conifex Hosting Agreement, in which Conifex agreed to provide hosting services to Greenidge utilizing renewable power. In April 2023, we entered into the Core Hosting Agreement with Core, in which Core agreed to host and operate Greenidge-owned bitcoin miners at its facilities. In addition, we installed approximately 2,200 of additional company-owned miners at our existing facilities. The installation of these miners at Conifex and Core facilities along with our facilities improved our profits and liquidity during the remainder of 2023 and beginning of 2024, and we expect these improvements to continue.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August 2023, in connection with a non-binding term sheet that the Company entered into with NYDIG in June to effect a deleveraging transaction, we completed an electrical upgrade at the South Carolina Facility increasing the capacity to 44 MW. Upon completion of this expansion, on August 10, 2023, we and NYDIG amended the NYDIG Hosting Agreement to increase the number of miners being hosted by Greenidge utilizing all of the expansion. The NYDIG Hosting Agreement was amended in furtherance of the broader transaction contemplated by the non-binding term sheet pursuant to which the Company would sell to NYDIG all of the upgraded mining facilities at the South Carolina site and would also subdivide and sell to NYDIG the approximately 22 acres of land on which the facilities are located. This deleveraging transaction with NYDIG closed on November 9, 2023. In exchange for the sale to NYDIG of the upgraded South Carolina mining facilities and the subdivided approximate 22 acres of land, Greenidge received total consideration of approximately $28 million:</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remaining principal of approximately $17.7 million on our Senior Secured Loan with NYDIG, which we entered into on January 30, 2023, was extinguished;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remaining principal of approximately $4.1 million as of September 30, 2023, on our Secured Promissory Note in favor of B. Riley Commercial Capital, LLC, which we issued on March 18, 2022 and NYDIG purchased from B. Riley Commercial on July 20, 2023 at par, was extinguished;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 cash payment of approximately $4.5 million; and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 bonus payment of approximately $1.6 million as a result of the completion of the expansion of the upgraded mining facility and the facility's uptime performance.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conjunction with the sale, the Company and NYDIG terminated the South Carolina Hosting Order. As a result, at the time of closing the Company returned NYDIG's security deposit, resulting in a cash outflow of $2.2 million. As a result of the sale, the Company received a cash inflow of $3.5 million from the return of its security deposit held by the local utility.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Additionally, the Company paid the remaining accrued interest on the Senior Secured Loan and Secured Promissory Note of $0.9 million. The Company also settled certain third party transaction costs and Greenidge's share of local taxes of $0.5 million.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Prior to the closing of the South Carolina Facility sale, the Company had a cash outflow of approximately $0.9 million related to the settlement of accounts payable related to the facility upgrade.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Following the completion of the South Carolina Facility sale, the Company continues to own approximately 153 acres of land in South Carolina, and is assessing potential uses of the remaining site, which may include the development or sale of the property. The NYDIG Hosting Agreement related to the New York Facility was not impacted by this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December 11, 2023, we entered into an Equity Exchange Agreement (the “Equity Exchange Agreement”) with Infinite Reality, Inc. (“Infinite Reality”), pursuant to which, among other things, (i) we issued to Infinite Reality a one-year warrant to purchase 180,000 shares of our Class A common stock at an exercise price of $7.00 per share, the proceeds of which, upon exercise, are required to be used for the development of a proposed new data center contemplated by a Master Services Agreement entered into between us and Infinite Reality on December 11, 2023, and (ii) we issued 180,000 shares of our Class A common stock to Infinite Reality, which shares for purposes of the Equity Exchange Agreement, were valued at $8.33 per share, or an aggregate value of approximately $1.5 million. In addition, Infinite Realty issued to Greenidge a one-year common stock purchase warrant, pursuant to which we have the right to purchase up to 235,754 shares of common stock of Infinite Reality, par value $0.001 per share (“Infinite Reality Common Stock”), at an exercise price of $5.35 per share, and Infinite Reality issued to us 280,374 shares of Infinite Reality Common Stock.</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continued to improve our liquidity position in the first three months of 2024. On February 12, 2024, we entered into a securities purchase agreement (the “Armistice SPA”) with Armistice Capital Master Fund Ltd. (“Armistice”). Pursuant to the Armistice SPA, Armistice purchased (i) 450,300 shares of Class A common stock (the “SPA Shares”), and (ii) a pre-funded warrant (the “Pre-Funded Warrant”) to purchase 810,205 shares of Class A common stock (the “Pre-Funded Warrant Shares”). The per share purchase price of the SPA Shares and the Pre-Funded Warrant Shares was $4.76, resulting in aggregate gross proceeds of $6.0 million, and after giving effect to the exercise price of $0.0001 per Pre-Funded Warrant Share, we received net proceeds of $6.0 million. In addition, we issued to Armistice a five-year warrant to purchase up to 1,260,505 shares of Class A common stock, exercisable commencing on August 14, 2024 at an exercise price of $5.25 per share.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Despite these improvements to the Company's financial condition, Greenidge management expects that it will require additional capital in order to fund the Company’s expenses and to support the Company’s working capital needs and remaining debt servicing requirements. Management continues to assess different options to improve the Company's liquidity which include, but are not limited to:</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lowering the operating cost and increasing the profitability of the Company’s fleet of bitcoin mining, hosting, and power generation assets;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monetizing the Company's remaining real estate in South Carolina via a development or sale arrangement;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 sale of a portion of the Company’s unused electrical and mining infrastructure equipment assets; and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issuances of equity.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operating cash flows generated by mining, hosting, and power are affected by several factors including the price of bitcoin, bitcoin mining difficulty, and the costs of electricity, natural gas, and emissions credits. While bitcoin prices began to recover during 2023 from the significant declines experienced in 2022, and have continued to rise in the first quarter of 2024, management cannot predict the future price of bitcoin, nor can we predict the volatility of energy costs. While the Company continues to work to implement options to improve liquidity, we can provide no assurance that these efforts will be successful and our liquidity could be negatively impacted by factors outside of our control, in particular, significant decreases in the price of bitcoin, regulatory changes concerning cryptocurrency, increases in energy costs or other macroeconomic conditions and other matters identified in Item 1A, "Risk Factors" in our Annual Report for the year ended December 31, 2023.</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Given this uncertainty regarding our financial condition over the next 12 months from the date these financial statements were issued, we have concluded that there is substantial doubt about our ability to continue as a going concern for a reasonable period of time. The consolidated financial statements do not include any adjustments that might result from the outcome of this uncertainty.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Contractual Obligations and Commitments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summarizes our contractual obligations and other commitments at March 31, 2024, and the years in which these obligations are due:</w:t>
      </w:r>
    </w:p>
    <w:tbl>
      <w:tblPr>
        <w:tblW w:w="9090"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Thereafter</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Natural gas transportation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debt payments included in the table above include the principal and interest amounts due. The lease payments include fixed monthly rental payments and exclude any variable payments. Environmental obligations are based on estimates subject to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 </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Summary of Cash Flow</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about our net cash flow for the three months ended March 31, 2024 and 2023.</w:t>
      </w:r>
    </w:p>
    <w:tbl>
      <w:tblPr>
        <w:tblW w:w="8753" w:type="dxa"/>
        <w:jc w:val="left"/>
        <w:tblInd w:w="0" w:type="dxa"/>
        <w:tblLayout w:type="fixed"/>
        <w:tblCellMar>
          <w:top w:w="28" w:type="dxa"/>
          <w:left w:w="28" w:type="dxa"/>
          <w:bottom w:w="28" w:type="dxa"/>
          <w:right w:w="28" w:type="dxa"/>
        </w:tblCellMar>
      </w:tblPr>
      <w:tblGrid>
        <w:gridCol w:w="2277"/>
        <w:gridCol w:w="2006"/>
        <w:gridCol w:w="2016"/>
        <w:gridCol w:w="211"/>
        <w:gridCol w:w="721"/>
        <w:gridCol w:w="109"/>
        <w:gridCol w:w="109"/>
        <w:gridCol w:w="109"/>
        <w:gridCol w:w="109"/>
        <w:gridCol w:w="211"/>
        <w:gridCol w:w="721"/>
        <w:gridCol w:w="154"/>
      </w:tblGrid>
      <w:tr>
        <w:trPr/>
        <w:tc>
          <w:tcPr>
            <w:tcW w:w="227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w:t>
              <w:br/>
              <w:t>March 31,</w:t>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Net cash used for operating activities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used for investing activities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provided by financing activities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Increase (Decrease) in cash and cash equivalents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Net change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Cash, cash equivalents and restricted cash at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Operating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used for was $5.0 million for the three months ended March 31, 2024, as compared to net cash used of $0.6 million for the three months ended March 31, 2023. The variance in the operating cash flow during the first three months of 2024 as compared to 2023 was driven primarily by the purchase of additional Regional Greenhouse Gas Initiative ("RGGI") credits, as well as the advantageous change in net loss.</w:t>
      </w:r>
    </w:p>
    <w:p>
      <w:pPr>
        <w:pStyle w:val="TextBody"/>
        <w:bidi w:val="0"/>
        <w:spacing w:lineRule="auto" w:line="288" w:before="240" w:after="283"/>
        <w:jc w:val="left"/>
        <w:rPr/>
      </w:pPr>
      <w:r>
        <w:rPr>
          <w:rFonts w:ascii="Calibri;sans-serif" w:hAnsi="Calibri;sans-serif"/>
          <w:b w:val="false"/>
          <w:i/>
          <w:color w:val="000000"/>
          <w:sz w:val="20"/>
          <w:u w:val="single"/>
        </w:rPr>
        <w:t>Investing Activities</w:t>
      </w:r>
      <w:r>
        <w:rPr>
          <w:color w:val="000000"/>
        </w:rPr>
        <w:t xml:space="preserve">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used in investing activities was $1.0 million for the three months ended March 31, 2024, as compared to $5.9 million for the three months ended March 31, 2023. The decrease is primarily related to $5.1 million of lower purchases of and deposits for property and equipment as compared to the prior year due to the significant expansion of our miner fleet and infrastructure for cryptocurrency datacenter operations that was occurring during the prior year.</w:t>
      </w:r>
    </w:p>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Financing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Net cash provided by financing activities was $7.0 million for the three months ended March 31, 2024, as compared to $4.8 million for the three months ended March 31, 2023. The increase is primarily related to the increase of $6.0 million of proceeds from the issuance of common stock and pre-funded warrant, along with the $3.3 million elimination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principal payments on debt due to its restructuring. These increases were partially offset by a $7.1 million reduction in sales of Class A common stock under the Company's ATM Agreement.</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Financing Arrangements</w:t>
      </w:r>
    </w:p>
    <w:p>
      <w:pPr>
        <w:pStyle w:val="TextBody"/>
        <w:bidi w:val="0"/>
        <w:spacing w:lineRule="auto" w:line="288" w:before="0" w:after="0"/>
        <w:jc w:val="left"/>
        <w:rPr/>
      </w:pPr>
      <w:r>
        <w:rPr>
          <w:rFonts w:ascii="Calibri;sans-serif" w:hAnsi="Calibri;sans-serif"/>
          <w:b w:val="false"/>
          <w:color w:val="000000"/>
          <w:sz w:val="20"/>
        </w:rPr>
        <w:t>See Note 5, "</w:t>
      </w:r>
      <w:r>
        <w:rPr>
          <w:rFonts w:ascii="Calibri;sans-serif" w:hAnsi="Calibri;sans-serif"/>
          <w:b w:val="false"/>
          <w:i/>
          <w:color w:val="000000"/>
          <w:sz w:val="20"/>
        </w:rPr>
        <w:t>Debt</w:t>
      </w:r>
      <w:r>
        <w:rPr>
          <w:rFonts w:ascii="Calibri;sans-serif" w:hAnsi="Calibri;sans-serif"/>
          <w:b w:val="false"/>
          <w:color w:val="000000"/>
          <w:sz w:val="20"/>
        </w:rPr>
        <w:t>," and Note 9, "</w:t>
      </w:r>
      <w:r>
        <w:rPr>
          <w:rFonts w:ascii="Calibri;sans-serif" w:hAnsi="Calibri;sans-serif"/>
          <w:b w:val="false"/>
          <w:i/>
          <w:color w:val="000000"/>
          <w:sz w:val="20"/>
        </w:rPr>
        <w:t>Stockholder's Deficit</w:t>
      </w:r>
      <w:r>
        <w:rPr>
          <w:rFonts w:ascii="Calibri;sans-serif" w:hAnsi="Calibri;sans-serif"/>
          <w:b w:val="false"/>
          <w:color w:val="000000"/>
          <w:sz w:val="20"/>
        </w:rPr>
        <w:t>" in the Notes to our Unaudited Condensed Consolidated Financial Statements for details regarding our financing arrangements for further details regarding our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Calibri;sans-serif" w:hAnsi="Calibri;sans-serif"/>
          <w:b/>
          <w:color w:val="000000"/>
          <w:sz w:val="20"/>
        </w:rPr>
      </w:pPr>
      <w:r>
        <w:rPr>
          <w:rFonts w:ascii="Calibri;sans-serif" w:hAnsi="Calibri;sans-serif"/>
          <w:b/>
          <w:color w:val="000000"/>
          <w:sz w:val="20"/>
        </w:rPr>
        <w:t>Critical Accounting Policies and Estimates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environmental obligations. Management evaluates its policies and assumptions on an ongoing basis.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significant accounting policies related to these accounts in the preparation of our condensed consolidated financial statements are described under the heading “Management Discussion and Analysis of Financial Condition and Results of Operations – Critical Accounting Policies and Estimates” in our Annual Report on Form 10-K for the year ended December 31, 2023. As of the date of this filing, there were no significant changes to any of the critical accounting policies and estimates previously described in our Annual Report on Form 10-K for the year ended December 31, 2023 with the exception of those described below.</w:t>
      </w:r>
    </w:p>
    <w:p>
      <w:pPr>
        <w:pStyle w:val="TextBody"/>
        <w:bidi w:val="0"/>
        <w:spacing w:lineRule="auto" w:line="288" w:before="240" w:after="180"/>
        <w:jc w:val="left"/>
        <w:rPr>
          <w:rFonts w:ascii="Calibri;sans-serif" w:hAnsi="Calibri;sans-serif"/>
          <w:b/>
          <w:color w:val="000000"/>
          <w:sz w:val="20"/>
        </w:rPr>
      </w:pPr>
      <w:r>
        <w:rPr>
          <w:rFonts w:ascii="Calibri;sans-serif" w:hAnsi="Calibri;sans-serif"/>
          <w:b/>
          <w:color w:val="000000"/>
          <w:sz w:val="20"/>
        </w:rPr>
        <w:t>Revenue Recognition</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Greenidge has entered into digital asset mining pools by executing contracts with the mining pool operators to perform hash computations for a mining pool. The contracts are terminable at any time at no cost by either party and Greenidge’s enforceable right to compensation begins only when, and lasts as long as, Greenidge performs hash computations for the mining pool operator. In exchange for performing hash computations, Greenidge is entitled to a fractional share of the cryptocurrency award the mining pool operator theoretically receives less the mining pool fees. The agreements entered into with the pool operators pay out based on a Full-Pay-Per-Share (“FPPS”) payout formula, which is a conceptual formula that entitles Greenidge to consideration upon the provision of hash computations to the pool even if a block is not successfully placed by the pool operator. Revenue is measured as the value of the consideration received in the form of cryptocurrency from the pool operator, less the mining pool fees retained by the mining pool operator. Greenidge does not expect any material future changes in mining pool fee rates.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exchange for performing hash computations for the mining pool, the Company is entitled to a fractional share of the cryptocurrency award the mining pool operator theoretically receives (less pool operator fees to the mining pool operator which are netted as a reduction of the transaction price). Greenidge’s fractional share is based on the proportion of hash computations the Company performed for the mining pool operator to the total hash computations contributed by all miners in solving the current algorithm during the 24-hour period. Daily earnings calculated under the FPPS payout formula are calculated from midnight-to-midnight UTC time and are credited to pool members’ accounts at 1:00:00 A.M. UTC. The pool sends Greenidge’s cryptocurrency balance in the account to a digital wallet designated by the Company between 9:00 A.M. and 5:00 P.M. UTC time each day, which Greenidge automatically sells for cash within minutes of receipt.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service of performing hash computations for the mining pool operators is an output of Greenidge’s ordinary activities and is the only performance obligation in Greenidge’s contracts with mining pool operators. The cryptocurrency that Greenidge receives as transaction consideration is noncash consideration, which Greenidge measures at fair value on the contract inception date at 0:00:00 UTC on the start date of the contract. The duration of each contract is 24 hours or less and provides the same rate of payment upon renewal. Since the pricing remains the same upon contract renewal, the contract does not provide the applicable mining pool operator with a material right that represents a separate performance obligation. The fair value is based on Greenidge’s primary exchange of the related cryptocurrency which is considered to be Coinbase. The consideration Greenidge earns is variable since it is based on the amount of hash computations provided by both Greenidge and the bitcoin network as a whole. The Company does not constrain this variable consideration because it is probable that a significant reversal in the amount of revenue recognized from the contract will not occur when the uncertainty is subsequently resolved and recognizes the non-cash consideration on the same day that control is transferred, which is the same day as contract inception.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We generate revenue from contracts with customers from providing hosting services to a single third-party customer. Hosting revenue is recognized as services are performed on a variable basis. We recognize variable hosting revenue each month as the uncertainty related to the consideration is resolved, hosting services are provided to our customer, and our customer utilizes the hosting service (the customer simultaneously receives and consumes the benefits of our performance). Our performance obligation related to these services is satisfied over time. We recognize revenue for services that are performed on a consumption basis (the amount of electricity utilized by the customer) as well as through a fixed fee that is earned monthly and a profit sharing component based on the net proceeds earned by the customer in the month from bitcoin mining activities. We bill our customer at the beginning of each month based on the anticipated consumption under the contract. Invoices are collected in the month of invoicing under the terms of the contract. We recognize revenue based on actual consumption in the period. </w:t>
      </w:r>
    </w:p>
    <w:p>
      <w:pPr>
        <w:pStyle w:val="TextBody"/>
        <w:bidi w:val="0"/>
        <w:spacing w:lineRule="auto" w:line="288" w:before="36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Greenidge recognizes power revenue at a point in time when the electricity is delivered to the NYISO and its performance obligation is met. Greenidge recognizes revenue on capacity agreements over the life of the contract as its series of performance obligations are met as capacity to provide power is maintained.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Sales tax, value-added tax, and other taxes Greenidge collects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Engineering Procurement and Construction Management ("EPCM")</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entered into contracts with customers to perform engineering procurement and construction management services for customers developing cryptocurrency mining facilities. The services defined in the contracts are generally separated into phases, being 1) engineering 2) construction and 3) procurement.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While the services discussed above are capable of being distinct and separately identifiable, the Company concluded that the services provided are inputs to produce the combined output to the customer, which is the completed site buildout. Further, the services provided are significantly modified by the other services in the contract. As such, while the performance obligations may be capable of being distinct, they are not distinct in the context of the contract and therefore the promises in the contract are combined into one single performance obligation.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recognizes EPCM revenue over time, as performance obligations are satisfied, due to the continuous transfer of control to the customer. The Company utilizes the percentage-of-completion method, based primarily on contract cost incurred to date compared to total estimated contract cost. The percentage-of-completion method, and input method, is used as management considers it to be the best available measure of progress on these contracts.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To the extent a contract is cancelled, the Company assesses whether there are any remaining goods or services to be provided after cancellation. If there are any remaining goods or services to be provided, the Company follows the guidance under ASC 606 for contract modifications. If there are no remaining goods or services to be provided, the Company considers whether consideration received is refundable or nonrefundable. To the extent consideration received is refundable, the Company recognizes a refund liability, otherwise, it recognizes revenue for the consideration received.</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Valuation of Long-Lived Assets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accordance with ASC 360-10, 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During 2022, we determined that triggering events had occurred as of June 30, 2022 and December 31, 2022 due to the negative impact on our cash flows resulting from the significant market declines in the price of bitcoin and increases in natural gas and energy costs during those periods. For the purposes of performing the recoverability test we consider all the long-lived assets of the Company to be a single asset group as we operate as an integrated power and crypto datacenter operations business and this grouping represents the lowest level of identifiable independent cash flows.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concluded that projected undiscounted cash flows did not support the recoverability of the long-lived assets as of June 30, 2022 and December 31, 2022; therefore, a valuation was performed using the market approach in order to determine the fair value of the asset grouping. The carrying value exceeded the fair value of the asset group and impairment loss was recorded for the difference in the carrying value and fair value. The Company recognized a noncash impairment charge of $176.3 million for the year ended December 31,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determining the fair value of long-lived assets under the market approach, we relied on the guideline public company method, which considered the market capitalization of Greenidge, as well as the market capitalizations of other publicly traded companies and determined their revenue and hash rate multiples to compare to the market capitalization of Greenidge. Estimates using the guideline public company method is subject to uncertainties caused by potential differences in outlook caused by differing facts and circumstances surrounding the comparable companies, such as susceptibility to fluctuations in energy prices, liquidity of each company, environmental liabilities and any market perceptions of the companies in the peer group that may not apply across the industry. Valuing the Company under the market value approach changed significantly during 2022 as market perceptions of the cryptocurrency mining industry changed as bitcoin prices continued to decline and remained depressed for the latter part of 2022. We analyzed the estimates using this market approach by estimating the values using a cost approach, which resulted in similar asset values as of December 31, 2022. Considering the estimates from these different approaches, we believe the fair value of the asset group would have been within an approximate 15% to 20% range.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is evaluating future uses of the remaining real estate assets in South Carolina, which includes the land and the original building which was classified as construction in process as it was not used in cryptocurrency mining. The impairment assessment was performed using a market approach by obtaining third party appraisals for the value of the site. An impairment charge of $4.0 million was recorded for the year ended December 31, 2023, which is the remaining value of the building which was determined to no longer be recoverable through a sale transaction. An impairment charge of $0.2 million was recorded for the three months ended March 31, 2024, which is the remaining value of a group of miners which were determined to no longer be recoverable through sale or repairs.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Remeasurement of Environmental Liabilities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recognize environmental liabilities in accordance with ASC 410-30, Asset Retirement and Environmental Obligations. As of December 31, 2023 we have recognized environmental liabilities for a coal ash pond and landfill which were inherited due to the legacy coal operations at the Company's property in the Town of Torrey, New York. These costs are considered to be both probable and estimable. We have recorded a total environmental liability of $30.2 million as of both March 31, 2024 and December 31, 2023, for the remediation of these sites. The Company recognized no charges for the remeasurement of environmental liabilities for both the three months ended March 31, 2024 and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estimated the cost of remediation by developing a remediation plan in consultation with environmental engineers, periodically obtaining quotes for estimated construction costs and adjusting estimates for inflationary factors based on the expected timing of the remediation work. Estimates include anticipated post-closure costs including monitoring and maintenance of the site. Estimates are based on various assumptions that are sensitive to changes including, but not limited to, closure and post-closure cost estimates, timing of expenditures, escalation factors, and requirements of granted permits. Additional material adjustments to the environmental liability may occur in the future due to required changes to the scope and timing of the remediation, changes to regulations governing the closure and remediation of CCR sites and changes to cost estimates due to inflationary or other economic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Off-Balance Sheet Arrangements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Emerging Growth Company Status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have an auditor report on our internal controls over financial reporting pursuant to Section 404(b) of the Sarbanes-Oxley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submit certain executive compensation matters to shareholder advisory votes, such as “say-on-pay,” “say-on-frequency” and pay ratio; and</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disclose certain executive compensation related items such as the correlation between executive compensation and performance and comparisons of the CEO’s compensation to median employee compensation.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other words, an emerging growth company can delay the adoption of certain accounting standards until those standards would otherwise apply to private companies. We have elected to take advantage of the benefits of this extended transition period. Its financial statements may therefore not be comparable to those of companies that comply with such new or revised accounting standards.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will remain an “emerging growth company” for up to five years,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3. Quantitative and Qualitative Disclosures About Market Risk</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4. Controls and Procedures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management, including its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the Chief Executive Officer and Chief Financial Officer concluded as of March 31, 2024,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There have not been any changes in the Company’s internal control over financial reporting that occurred during the first quarter of 2024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 Legal Proceedings</w:t>
      </w:r>
    </w:p>
    <w:p>
      <w:pPr>
        <w:pStyle w:val="TextBody"/>
        <w:bidi w:val="0"/>
        <w:spacing w:lineRule="auto" w:line="288" w:before="240" w:after="283"/>
        <w:jc w:val="left"/>
        <w:rPr/>
      </w:pPr>
      <w:r>
        <w:rPr>
          <w:rFonts w:ascii="Calibri;sans-serif" w:hAnsi="Calibri;sans-serif"/>
          <w:b w:val="false"/>
          <w:color w:val="000000"/>
          <w:sz w:val="20"/>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For information on legal proceedings, refer to Note 10, "</w:t>
      </w:r>
      <w:r>
        <w:rPr>
          <w:rFonts w:ascii="Calibri;sans-serif" w:hAnsi="Calibri;sans-serif"/>
          <w:b w:val="false"/>
          <w:i/>
          <w:color w:val="000000"/>
          <w:sz w:val="20"/>
        </w:rPr>
        <w:t>Commitments and Contingencies—Legal Matters</w:t>
      </w:r>
      <w:r>
        <w:rPr>
          <w:rFonts w:ascii="Calibri;sans-serif" w:hAnsi="Calibri;sans-serif"/>
          <w:b w:val="false"/>
          <w:color w:val="000000"/>
          <w:sz w:val="20"/>
        </w:rPr>
        <w:t>" in our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1A. Risk Factors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In evaluating our company and our business, you should carefully consider the risks and uncertainties described in Part I, Item 1A, “Risk Factors” in our most recent Annual Report on Form 10-K together with updates to those risk factors or new risk factors contained in this Quarterly Report on Form 10-Q below and any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 There have been no material changes to the risk factors identified in our most recent Annual Report on Form 10-K, other than as set forth below.</w:t>
      </w:r>
    </w:p>
    <w:p>
      <w:pPr>
        <w:pStyle w:val="TextBody"/>
        <w:bidi w:val="0"/>
        <w:spacing w:lineRule="auto" w:line="288" w:before="240" w:after="120"/>
        <w:jc w:val="left"/>
        <w:rPr>
          <w:rFonts w:ascii="Calibri;sans-serif" w:hAnsi="Calibri;sans-serif"/>
          <w:b/>
          <w:i/>
          <w:color w:val="000000"/>
          <w:sz w:val="20"/>
        </w:rPr>
      </w:pPr>
      <w:r>
        <w:rPr>
          <w:rFonts w:ascii="Calibri;sans-serif" w:hAnsi="Calibri;sans-serif"/>
          <w:b/>
          <w:i/>
          <w:color w:val="000000"/>
          <w:sz w:val="20"/>
        </w:rPr>
        <w:t>The bitcoin reward for successfully uncovering a block most recently halved in April 2024 and will halve again several times in the future, and bitcoin value may not adjust to compensate us for the reduction in the rewards we receive from our bitcoin mining efforts.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Halving is a process designed to control the overall supply and reduce the risk of inflation in cryptocurrencies using a proof of work consensus algorithm. At a predetermined block, the bitcoin mining reward is cut in half, hence the term "halving." For bitcoin, the reward was initially set at 50 bitcoin currency rewards per block, which was cut in half to 25 on November 28, 2012 at block 210,000, then to 12.5 on July 9, 2016 at block 420,000, and then again to 6.25 on May 11, 2020 at block 630,000. The most recent halving for bitcoin occurred on April 19, 2024 at block 840,000 and the reward was reduced to 3.125. The next halving is expected to occur in spring 2028. This process will reoccur until the total amount of bitcoin currency rewards issued reaches 21 million, which is expected to occur around the year 2140.</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Bitcoin has had a history of price fluctuations around the halving of its rewards, and we can provide no assurance that any price change will be favorable or would compensate for the reduction in bitcoin mining reward in connection with a halving. If the award of bitcoin or a proportionate decrease in bitcoin mining difficulty does not follow these anticipated halving events, the revenue we earn from our cryptocurrency datacenter operations would see a corresponding decrease, and we may not have an adequate incentive to continue bitcoin mining.</w:t>
      </w:r>
    </w:p>
    <w:p>
      <w:pPr>
        <w:pStyle w:val="TextBody"/>
        <w:bidi w:val="0"/>
        <w:spacing w:before="0" w:after="0"/>
        <w:jc w:val="left"/>
        <w:rPr/>
      </w:pPr>
      <w:r>
        <w:rPr/>
      </w:r>
    </w:p>
    <w:p>
      <w:pPr>
        <w:pStyle w:val="TextBody"/>
        <w:bidi w:val="0"/>
        <w:spacing w:lineRule="auto" w:line="276" w:before="0" w:after="180"/>
        <w:jc w:val="left"/>
        <w:rPr>
          <w:rFonts w:ascii="Calibri;sans-serif" w:hAnsi="Calibri;sans-serif"/>
          <w:b/>
          <w:i/>
          <w:color w:val="000000"/>
          <w:sz w:val="20"/>
        </w:rPr>
      </w:pPr>
      <w:r>
        <w:rPr>
          <w:rFonts w:ascii="Calibri;sans-serif" w:hAnsi="Calibri;sans-serif"/>
          <w:b/>
          <w:i/>
          <w:color w:val="000000"/>
          <w:sz w:val="20"/>
        </w:rPr>
        <w:t>We have material environmental liabilities, and costs of compliance with existing and new environmental laws could have a material adverse effect on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60"/>
        <w:jc w:val="left"/>
        <w:rPr/>
      </w:pPr>
      <w:r>
        <w:rPr>
          <w:rFonts w:ascii="Calibri;sans-serif" w:hAnsi="Calibri;sans-serif"/>
          <w:b w:val="false"/>
          <w:color w:val="000000"/>
          <w:sz w:val="20"/>
        </w:rPr>
        <w:t>We and our affiliates are subject to extensive environmental regulation by governmental authorities, including the United States Environmental Protection Agency (the "EPA"), and state environmental agencies such as the NYSDEC and/or attorneys general, and have material environmental liabilities, including a coal combustion residual liability of $17.3 million as of December 31, 2023 associated with the closure of a coal ash point located on the New York Facility property and an environmental liability of $12.9 million as of December 31, 2023 associated with the Lockwood Hills Landfill. See "</w:t>
      </w:r>
      <w:r>
        <w:rPr>
          <w:rFonts w:ascii="Calibri;sans-serif" w:hAnsi="Calibri;sans-serif"/>
          <w:b w:val="false"/>
          <w:i/>
          <w:color w:val="000000"/>
          <w:sz w:val="20"/>
        </w:rPr>
        <w:t>Business</w:t>
      </w:r>
      <w:r>
        <w:rPr>
          <w:color w:val="000000"/>
          <w:shd w:fill="FFFFFF" w:val="clear"/>
        </w:rPr>
        <w:t>—</w:t>
      </w:r>
      <w:r>
        <w:rPr>
          <w:rFonts w:ascii="Calibri;sans-serif" w:hAnsi="Calibri;sans-serif"/>
          <w:b w:val="false"/>
          <w:i/>
          <w:color w:val="000000"/>
          <w:sz w:val="20"/>
        </w:rPr>
        <w:t>Governmental Regulation</w:t>
      </w:r>
      <w:r>
        <w:rPr>
          <w:color w:val="000000"/>
          <w:shd w:fill="FFFFFF" w:val="clear"/>
        </w:rPr>
        <w:t>—</w:t>
      </w:r>
      <w:r>
        <w:rPr>
          <w:rFonts w:ascii="Calibri;sans-serif" w:hAnsi="Calibri;sans-serif"/>
          <w:b w:val="false"/>
          <w:i/>
          <w:color w:val="000000"/>
          <w:sz w:val="20"/>
        </w:rPr>
        <w:t>Environmental Liability</w:t>
      </w:r>
      <w:r>
        <w:rPr>
          <w:rFonts w:ascii="Calibri;sans-serif" w:hAnsi="Calibri;sans-serif"/>
          <w:b w:val="false"/>
          <w:color w:val="000000"/>
          <w:sz w:val="20"/>
        </w:rPr>
        <w:t>" and Note 10, "</w:t>
      </w:r>
      <w:r>
        <w:rPr>
          <w:rFonts w:ascii="Calibri;sans-serif" w:hAnsi="Calibri;sans-serif"/>
          <w:b w:val="false"/>
          <w:i/>
          <w:color w:val="000000"/>
          <w:sz w:val="20"/>
        </w:rPr>
        <w:t>Commitments and Contingencies</w:t>
      </w:r>
      <w:r>
        <w:rPr>
          <w:color w:val="000000"/>
          <w:shd w:fill="FFFFFF" w:val="clear"/>
        </w:rPr>
        <w:t>—</w:t>
      </w:r>
      <w:r>
        <w:rPr>
          <w:rFonts w:ascii="Calibri;sans-serif" w:hAnsi="Calibri;sans-serif"/>
          <w:b w:val="false"/>
          <w:i/>
          <w:color w:val="000000"/>
          <w:sz w:val="20"/>
        </w:rPr>
        <w:t>Environmental Liabilities</w:t>
      </w:r>
      <w:r>
        <w:rPr>
          <w:rFonts w:ascii="Calibri;sans-serif" w:hAnsi="Calibri;sans-serif"/>
          <w:b w:val="false"/>
          <w:color w:val="000000"/>
          <w:sz w:val="20"/>
        </w:rPr>
        <w:t xml:space="preserve">", in the Notes to Consolidated Financial Statements. We may incur significant additional costs beyond those currently contemplated to comply with these regulatory requirements. If we fail to comply with these regulatory requirements, we could be forced to reduce or discontinue operations or become subject to administrative, civil, or criminal liabilities and fines.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our results of operations and financial condition.</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The EPA has recently finalized or proposed several regulatory actions establishing new requirements for control of certain emissions from certain sources, including electricity generation facilities. In the future, the EPA may also propose and finalize additional regulatory actions that may adversely affect our existing generation facilities or our ability to cost-effectively develop new generation facilities. We can provide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our results of operations and financial condition.</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We may not be able to obtain or maintain all required environmental regulatory approvals. For example, in June 2022, NYSDEC denied our application to renew a Title V Air Permit for the continued operation of our natural gas power generation facility in the Town of Torrey, New York. In July 2022, we appealed the denial and requested an administrative adjudicatory hearing with NYSDEC, however, in May 2024, our appeal to NYSDEC and request for an adjudicatory hearing were ultimately denied and the June 2022 non-renewal of our Title V Air Permit was affirmed by NYSDEC's Regional Director for Region 7. We intend to take further legal action in a court of competent jurisdiction to challenge NYSDEC's denial of our permit renewal application and to continue to operate the facility as normal pending a final, non-appealable outcome regarding our permit renewal application, however there can be no assurance that our efforts will be successful. If there is a delay in obtaining any required environmental regulatory approvals, if we fail to obtain, maintain, or comply with any such approval, or if an approval is retroactively disallowed or adversely modified, the operation of our generation facilities could be stopped, disrupted, curtailed, or modified or become subject to additional costs. Any such stoppage, disruption, curtailment, modification, or additional costs could have a material adverse effect on our results of operations and financial condition.</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environmental claim against us or fail to meet its indemnification obligation to us. Such event could have an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Calibri;sans-serif" w:hAnsi="Calibri;sans-serif"/>
          <w:b/>
          <w:color w:val="000000"/>
          <w:sz w:val="20"/>
        </w:rPr>
      </w:pPr>
      <w:r>
        <w:rPr>
          <w:rFonts w:ascii="Calibri;sans-serif" w:hAnsi="Calibri;sans-serif"/>
          <w:b/>
          <w:color w:val="000000"/>
          <w:sz w:val="20"/>
        </w:rPr>
        <w:t>Item 2. Unregistered Sales of Equity Securities and Use of Proceeds</w:t>
      </w:r>
    </w:p>
    <w:p>
      <w:pPr>
        <w:pStyle w:val="TextBody"/>
        <w:bidi w:val="0"/>
        <w:spacing w:before="180" w:after="180"/>
        <w:jc w:val="left"/>
        <w:rPr/>
      </w:pPr>
      <w:r>
        <w:rPr/>
      </w:r>
    </w:p>
    <w:p>
      <w:pPr>
        <w:pStyle w:val="TextBody"/>
        <w:bidi w:val="0"/>
        <w:spacing w:lineRule="auto" w:line="268" w:before="180" w:after="180"/>
        <w:jc w:val="left"/>
        <w:rPr/>
      </w:pPr>
      <w:r>
        <w:rPr>
          <w:rFonts w:ascii="Calibri;sans-serif" w:hAnsi="Calibri;sans-serif"/>
          <w:b/>
          <w:color w:val="000000"/>
          <w:sz w:val="20"/>
        </w:rPr>
        <w:t>Vendor Payment.</w:t>
      </w:r>
      <w:r>
        <w:rPr>
          <w:color w:val="000000"/>
        </w:rPr>
        <w:t xml:space="preserve"> </w:t>
      </w:r>
      <w:r>
        <w:rPr>
          <w:rFonts w:ascii="Calibri;sans-serif" w:hAnsi="Calibri;sans-serif"/>
          <w:b w:val="false"/>
          <w:color w:val="000000"/>
          <w:sz w:val="20"/>
        </w:rPr>
        <w:t>In May 2023, Greenidge issued 54,348 unregistered shares of its Class A common stock to a vendor as payment for services provided to us during the first quarter of 2023. This issuance was not registered under the Securities Act in reliance upon the exemption from registration provided by Section 4(a)(2) thereof and Regulation D promulgated thereunder, which exempts transactions by an issuer not involving any public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3. Defaults Upon Senior Securities</w:t>
      </w:r>
    </w:p>
    <w:p>
      <w:pPr>
        <w:pStyle w:val="TextBody"/>
        <w:bidi w:val="0"/>
        <w:spacing w:lineRule="auto" w:line="288" w:before="24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4. Mine Safety Disclosures</w:t>
      </w:r>
    </w:p>
    <w:p>
      <w:pPr>
        <w:pStyle w:val="TextBody"/>
        <w:bidi w:val="0"/>
        <w:spacing w:lineRule="auto" w:line="288" w:before="24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5. Other Information</w:t>
      </w:r>
    </w:p>
    <w:p>
      <w:pPr>
        <w:pStyle w:val="TextBody"/>
        <w:bidi w:val="0"/>
        <w:spacing w:lineRule="auto" w:line="288" w:before="24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6. Exhibits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exhibits listed on the Exhibit Index are filed or furnished as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19"/>
        <w:gridCol w:w="281"/>
        <w:gridCol w:w="282"/>
        <w:gridCol w:w="109"/>
        <w:gridCol w:w="109"/>
        <w:gridCol w:w="109"/>
        <w:gridCol w:w="2684"/>
        <w:gridCol w:w="2604"/>
        <w:gridCol w:w="3708"/>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Calibri;sans-serif" w:hAnsi="Calibri;sans-serif"/>
                  <w:b w:val="false"/>
                  <w:color w:val="000080"/>
                  <w:sz w:val="20"/>
                  <w:u w:val="single"/>
                </w:rPr>
                <w:t>Securities Purchase Agreement, dated February 12, 2024,</w:t>
              </w:r>
            </w:hyperlink>
            <w:hyperlink r:id="rId3">
              <w:r>
                <w:rPr>
                  <w:rStyle w:val="InternetLink"/>
                  <w:rFonts w:ascii="Calibri;sans-serif" w:hAnsi="Calibri;sans-serif"/>
                  <w:b w:val="false"/>
                  <w:color w:val="000080"/>
                  <w:sz w:val="20"/>
                  <w:u w:val="single"/>
                </w:rPr>
                <w:t xml:space="preserve"> between Greenidge Generation Holdings Inc. and Armistice Capital Master Fund Ltd.</w:t>
              </w:r>
            </w:hyperlink>
            <w:r>
              <w:rPr>
                <w:color w:val="000000"/>
              </w:rPr>
              <w:t xml:space="preserve"> </w:t>
            </w:r>
            <w:r>
              <w:rPr>
                <w:rFonts w:ascii="Calibri;sans-serif" w:hAnsi="Calibri;sans-serif"/>
                <w:b w:val="false"/>
                <w:color w:val="000000"/>
                <w:sz w:val="20"/>
              </w:rPr>
              <w:t>(incorporated by reference to Exhibit 10.1 of the Company's Form 8-K filed on February 16, 2024).</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Calibri;sans-serif" w:hAnsi="Calibri;sans-serif"/>
                  <w:b w:val="false"/>
                  <w:color w:val="0000FF"/>
                  <w:sz w:val="20"/>
                  <w:u w:val="single"/>
                </w:rPr>
                <w:t>Pre-Funded Common Stock Purchase Warrant, dated February 14, 2024, issued by Greenidge Generation Holdings Inc. to Armistice Capital Master Fund Ltd.</w:t>
              </w:r>
            </w:hyperlink>
            <w:r>
              <w:rPr>
                <w:color w:val="000000"/>
              </w:rPr>
              <w:t xml:space="preserve"> </w:t>
            </w:r>
            <w:r>
              <w:rPr>
                <w:rFonts w:ascii="Calibri;sans-serif" w:hAnsi="Calibri;sans-serif"/>
                <w:b w:val="false"/>
                <w:color w:val="000000"/>
                <w:sz w:val="20"/>
              </w:rPr>
              <w:t>(incorporated by reference to Exhibit 10.2 of the Company's Form 8-K filed on February 16, 2024).</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Calibri;sans-serif" w:hAnsi="Calibri;sans-serif"/>
                  <w:b w:val="false"/>
                  <w:color w:val="0000FF"/>
                  <w:sz w:val="20"/>
                  <w:u w:val="single"/>
                </w:rPr>
                <w:t>Common Stock Purchase Warrant, dated February 14, 2024, issued by Greenidge Generation Holdings Inc. issued to Armistice Capital Master Fund Ltd.</w:t>
              </w:r>
            </w:hyperlink>
            <w:r>
              <w:rPr>
                <w:color w:val="000000"/>
              </w:rPr>
              <w:t xml:space="preserve"> </w:t>
            </w:r>
            <w:r>
              <w:rPr>
                <w:rFonts w:ascii="Calibri;sans-serif" w:hAnsi="Calibri;sans-serif"/>
                <w:b w:val="false"/>
                <w:color w:val="000000"/>
                <w:sz w:val="20"/>
              </w:rPr>
              <w:t>(incorporated by reference to Exhibit 10.3 of the Company's Form 8-K filed on February 16, 2024).</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Calibri;sans-serif" w:hAnsi="Calibri;sans-serif"/>
                  <w:b w:val="false"/>
                  <w:color w:val="000080"/>
                  <w:sz w:val="20"/>
                  <w:u w:val="single"/>
                </w:rPr>
                <w:t xml:space="preserve">Commercial Purchase and Sale Agreement, dated March 6, 2024, </w:t>
              </w:r>
            </w:hyperlink>
            <w:hyperlink r:id="rId7">
              <w:r>
                <w:rPr>
                  <w:rStyle w:val="InternetLink"/>
                  <w:rFonts w:ascii="Calibri;sans-serif" w:hAnsi="Calibri;sans-serif"/>
                  <w:b w:val="false"/>
                  <w:color w:val="000080"/>
                  <w:sz w:val="20"/>
                  <w:u w:val="single"/>
                </w:rPr>
                <w:t>between Greenidge Mississippi LLC and Janesville, LLC</w:t>
              </w:r>
            </w:hyperlink>
            <w:hyperlink r:id="rId8">
              <w:r>
                <w:rPr>
                  <w:rStyle w:val="InternetLink"/>
                  <w:rFonts w:ascii="Calibri;sans-serif" w:hAnsi="Calibri;sans-serif"/>
                  <w:b w:val="false"/>
                  <w:color w:val="000080"/>
                  <w:sz w:val="20"/>
                  <w:u w:val="single"/>
                </w:rPr>
                <w:t xml:space="preserve"> (incorporated by reference to Exh</w:t>
              </w:r>
            </w:hyperlink>
            <w:hyperlink r:id="rId9">
              <w:r>
                <w:rPr>
                  <w:rStyle w:val="InternetLink"/>
                  <w:rFonts w:ascii="Calibri;sans-serif" w:hAnsi="Calibri;sans-serif"/>
                  <w:b w:val="false"/>
                  <w:color w:val="000080"/>
                  <w:sz w:val="20"/>
                  <w:u w:val="single"/>
                </w:rPr>
                <w:t>ibit 10.46 of the Company</w:t>
              </w:r>
            </w:hyperlink>
            <w:hyperlink r:id="rId10">
              <w:r>
                <w:rPr>
                  <w:rStyle w:val="InternetLink"/>
                  <w:rFonts w:ascii="Calibri;sans-serif" w:hAnsi="Calibri;sans-serif"/>
                  <w:b w:val="false"/>
                  <w:color w:val="000080"/>
                  <w:sz w:val="20"/>
                  <w:u w:val="single"/>
                </w:rPr>
                <w:t xml:space="preserve">'s 10-K filed on April </w:t>
              </w:r>
            </w:hyperlink>
            <w:hyperlink r:id="rId11">
              <w:r>
                <w:rPr>
                  <w:rStyle w:val="InternetLink"/>
                  <w:rFonts w:ascii="Calibri;sans-serif" w:hAnsi="Calibri;sans-serif"/>
                  <w:b w:val="false"/>
                  <w:color w:val="000080"/>
                  <w:sz w:val="20"/>
                  <w:u w:val="single"/>
                </w:rPr>
                <w:t>10, 2024).</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40331x10qex311.htm">
              <w:r>
                <w:rPr>
                  <w:rStyle w:val="InternetLink"/>
                  <w:rFonts w:ascii="Calibri;sans-serif" w:hAnsi="Calibri;sans-serif"/>
                  <w:b w:val="false"/>
                  <w:color w:val="0000FF"/>
                  <w:sz w:val="20"/>
                  <w:u w:val="single"/>
                </w:rPr>
                <w:t>Certification of Principal Executive Officer Pursuant to Rules 13a-14(a) and 15d-14(a) of the Securities Exchange Act of 1934, as amended, as Adopted Pursuant to Section 302 of the Sarbanes-Oxley Act of 2002.</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40331x10qex312.htm">
              <w:r>
                <w:rPr>
                  <w:rStyle w:val="InternetLink"/>
                  <w:rFonts w:ascii="Calibri;sans-serif" w:hAnsi="Calibri;sans-serif"/>
                  <w:b w:val="false"/>
                  <w:color w:val="0000FF"/>
                  <w:sz w:val="20"/>
                  <w:u w:val="single"/>
                </w:rPr>
                <w:t>Certification of Principal Financial Officer Pursuant to Rules 13a-14(a) and 15d-14(a) of the Securities Exchange Act of 1934, as amended, as Adopted Pursuant to Section 302 of the Sarbanes-Oxley Act of 2002.</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40331x10qex321.htm">
              <w:r>
                <w:rPr>
                  <w:rStyle w:val="InternetLink"/>
                  <w:rFonts w:ascii="Calibri;sans-serif" w:hAnsi="Calibri;sans-serif"/>
                  <w:b w:val="false"/>
                  <w:color w:val="0000FF"/>
                  <w:sz w:val="20"/>
                  <w:u w:val="single"/>
                </w:rPr>
                <w:t>Certification of Principal Executive Officer Pursuant to 18 U.S.C. Section 1350, as Adopted Pursuant to Section 906 of the Sarbanes-Oxley Act of 2002.</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40331x10qex322.htm">
              <w:r>
                <w:rPr>
                  <w:rStyle w:val="InternetLink"/>
                  <w:rFonts w:ascii="Calibri;sans-serif" w:hAnsi="Calibri;sans-serif"/>
                  <w:b w:val="false"/>
                  <w:color w:val="0000FF"/>
                  <w:sz w:val="20"/>
                  <w:u w:val="single"/>
                </w:rPr>
                <w:t>Certification of Principal Financial Officer Pursuant to 18 U.S.C. Section 1350, as Adopted Pursuant to Section 906 of the Sarbanes-Oxley Act of 2002.</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Interactive data files pursuant to Rule 405 of Regulation S-T: (i) the Balance Sheets, (ii) the Statements of Operations, (iii) the Statements of Cash Flows and (iv) the Notes to Unaudited Condensed Interim Consolidated Financial Statements.</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tbl>
      <w:tblPr>
        <w:tblW w:w="2081" w:type="dxa"/>
        <w:jc w:val="left"/>
        <w:tblInd w:w="0" w:type="dxa"/>
        <w:tblLayout w:type="fixed"/>
        <w:tblCellMar>
          <w:top w:w="28" w:type="dxa"/>
          <w:left w:w="28" w:type="dxa"/>
          <w:bottom w:w="28" w:type="dxa"/>
          <w:right w:w="28" w:type="dxa"/>
        </w:tblCellMar>
      </w:tblPr>
      <w:tblGrid>
        <w:gridCol w:w="124"/>
        <w:gridCol w:w="109"/>
        <w:gridCol w:w="109"/>
        <w:gridCol w:w="509"/>
        <w:gridCol w:w="509"/>
        <w:gridCol w:w="7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73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169" w:type="dxa"/>
        <w:jc w:val="left"/>
        <w:tblInd w:w="0" w:type="dxa"/>
        <w:tblLayout w:type="fixed"/>
        <w:tblCellMar>
          <w:top w:w="28" w:type="dxa"/>
          <w:left w:w="28" w:type="dxa"/>
          <w:bottom w:w="28" w:type="dxa"/>
          <w:right w:w="28" w:type="dxa"/>
        </w:tblCellMar>
      </w:tblPr>
      <w:tblGrid>
        <w:gridCol w:w="629"/>
        <w:gridCol w:w="554"/>
        <w:gridCol w:w="557"/>
        <w:gridCol w:w="500"/>
        <w:gridCol w:w="500"/>
        <w:gridCol w:w="500"/>
        <w:gridCol w:w="1149"/>
        <w:gridCol w:w="1149"/>
        <w:gridCol w:w="163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6"/>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Greenidge Generation Holdings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2024</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Jordan Kovler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Jordan Kovler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2024</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Christian Mulvihill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Christian Mulvihill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AMENDED, AS ADOPTED PURSUANT TO SECTION 302 OF THE SARBANES-OXLEY ACT OF 2002</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 Jordan Kovler, certify that: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1.I have reviewed this Quarterly Report of Greenidge Generation Holdings Inc. (the “Company”) on Form 10-Q for the period ended March 31, 2024;</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tbl>
      <w:tblPr>
        <w:tblW w:w="4406" w:type="dxa"/>
        <w:jc w:val="left"/>
        <w:tblInd w:w="0" w:type="dxa"/>
        <w:tblLayout w:type="fixed"/>
        <w:tblCellMar>
          <w:top w:w="28" w:type="dxa"/>
          <w:left w:w="28" w:type="dxa"/>
          <w:bottom w:w="28" w:type="dxa"/>
          <w:right w:w="28" w:type="dxa"/>
        </w:tblCellMar>
      </w:tblPr>
      <w:tblGrid>
        <w:gridCol w:w="190"/>
        <w:gridCol w:w="167"/>
        <w:gridCol w:w="168"/>
        <w:gridCol w:w="404"/>
        <w:gridCol w:w="404"/>
        <w:gridCol w:w="407"/>
        <w:gridCol w:w="109"/>
        <w:gridCol w:w="109"/>
        <w:gridCol w:w="109"/>
        <w:gridCol w:w="115"/>
        <w:gridCol w:w="115"/>
        <w:gridCol w:w="115"/>
        <w:gridCol w:w="582"/>
        <w:gridCol w:w="582"/>
        <w:gridCol w:w="83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May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Jordan Kovler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Jordan Kovler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31.2</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AMENDED, AS ADOPTED PURSUANT TO SECTION 302 OF THE SARBANES-OXLEY ACT OF 2002</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 Christian Mulvihill, certify that: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1.I have reviewed this Quarterly Report of Greenidge Generation Holdings Inc. (the “Company”) on Form 10-Q for the period ended March 31, 2024;</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tbl>
      <w:tblPr>
        <w:tblW w:w="4317" w:type="dxa"/>
        <w:jc w:val="left"/>
        <w:tblInd w:w="0" w:type="dxa"/>
        <w:tblLayout w:type="fixed"/>
        <w:tblCellMar>
          <w:top w:w="28" w:type="dxa"/>
          <w:left w:w="28" w:type="dxa"/>
          <w:bottom w:w="28" w:type="dxa"/>
          <w:right w:w="28" w:type="dxa"/>
        </w:tblCellMar>
      </w:tblPr>
      <w:tblGrid>
        <w:gridCol w:w="190"/>
        <w:gridCol w:w="167"/>
        <w:gridCol w:w="168"/>
        <w:gridCol w:w="404"/>
        <w:gridCol w:w="404"/>
        <w:gridCol w:w="407"/>
        <w:gridCol w:w="109"/>
        <w:gridCol w:w="109"/>
        <w:gridCol w:w="109"/>
        <w:gridCol w:w="115"/>
        <w:gridCol w:w="115"/>
        <w:gridCol w:w="115"/>
        <w:gridCol w:w="557"/>
        <w:gridCol w:w="557"/>
        <w:gridCol w:w="791"/>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May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In connection with the Quarterly Report of Greenidge Generation Holdings Inc. (the “Company”) on Form 10-Q for the period ended March 31,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4406" w:type="dxa"/>
        <w:jc w:val="left"/>
        <w:tblInd w:w="0" w:type="dxa"/>
        <w:tblLayout w:type="fixed"/>
        <w:tblCellMar>
          <w:top w:w="28" w:type="dxa"/>
          <w:left w:w="28" w:type="dxa"/>
          <w:bottom w:w="28" w:type="dxa"/>
          <w:right w:w="28" w:type="dxa"/>
        </w:tblCellMar>
      </w:tblPr>
      <w:tblGrid>
        <w:gridCol w:w="190"/>
        <w:gridCol w:w="167"/>
        <w:gridCol w:w="168"/>
        <w:gridCol w:w="404"/>
        <w:gridCol w:w="404"/>
        <w:gridCol w:w="407"/>
        <w:gridCol w:w="109"/>
        <w:gridCol w:w="109"/>
        <w:gridCol w:w="109"/>
        <w:gridCol w:w="115"/>
        <w:gridCol w:w="115"/>
        <w:gridCol w:w="115"/>
        <w:gridCol w:w="582"/>
        <w:gridCol w:w="582"/>
        <w:gridCol w:w="83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May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Jordan Kovler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Jordan Kovler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32.2</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In connection with the Quarterly Report of Greenidge Generation Holdings Inc. (the “Company”) on Form 10-Q for the period ended March 31,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4317" w:type="dxa"/>
        <w:jc w:val="left"/>
        <w:tblInd w:w="0" w:type="dxa"/>
        <w:tblLayout w:type="fixed"/>
        <w:tblCellMar>
          <w:top w:w="28" w:type="dxa"/>
          <w:left w:w="28" w:type="dxa"/>
          <w:bottom w:w="28" w:type="dxa"/>
          <w:right w:w="28" w:type="dxa"/>
        </w:tblCellMar>
      </w:tblPr>
      <w:tblGrid>
        <w:gridCol w:w="190"/>
        <w:gridCol w:w="167"/>
        <w:gridCol w:w="168"/>
        <w:gridCol w:w="404"/>
        <w:gridCol w:w="404"/>
        <w:gridCol w:w="407"/>
        <w:gridCol w:w="109"/>
        <w:gridCol w:w="109"/>
        <w:gridCol w:w="109"/>
        <w:gridCol w:w="115"/>
        <w:gridCol w:w="115"/>
        <w:gridCol w:w="115"/>
        <w:gridCol w:w="557"/>
        <w:gridCol w:w="557"/>
        <w:gridCol w:w="791"/>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May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4971/000162828024005237/greespa.htm" TargetMode="External"/><Relationship Id="rId3" Type="http://schemas.openxmlformats.org/officeDocument/2006/relationships/hyperlink" Target="https://www.sec.gov/Archives/edgar/data/1844971/000162828024005237/greespa.htm" TargetMode="External"/><Relationship Id="rId4" Type="http://schemas.openxmlformats.org/officeDocument/2006/relationships/hyperlink" Target="https://www.sec.gov/Archives/edgar/data/1844971/000162828024005237/prefundedwarrant.htm" TargetMode="External"/><Relationship Id="rId5" Type="http://schemas.openxmlformats.org/officeDocument/2006/relationships/hyperlink" Target="https://www.sec.gov/Archives/edgar/data/1844971/000162828024005237/fiveyearwarrant.htm" TargetMode="External"/><Relationship Id="rId6" Type="http://schemas.openxmlformats.org/officeDocument/2006/relationships/hyperlink" Target="https://www.sec.gov/Archives/edgar/data/1844971/000162828024015540/commercialpurchaseandsalea.htm" TargetMode="External"/><Relationship Id="rId7" Type="http://schemas.openxmlformats.org/officeDocument/2006/relationships/hyperlink" Target="https://www.sec.gov/Archives/edgar/data/1844971/000162828024015540/commercialpurchaseandsalea.htm" TargetMode="External"/><Relationship Id="rId8" Type="http://schemas.openxmlformats.org/officeDocument/2006/relationships/hyperlink" Target="https://www.sec.gov/Archives/edgar/data/1844971/000162828024015540/commercialpurchaseandsalea.htm" TargetMode="External"/><Relationship Id="rId9" Type="http://schemas.openxmlformats.org/officeDocument/2006/relationships/hyperlink" Target="https://www.sec.gov/Archives/edgar/data/1844971/000162828024015540/commercialpurchaseandsalea.htm" TargetMode="External"/><Relationship Id="rId10" Type="http://schemas.openxmlformats.org/officeDocument/2006/relationships/hyperlink" Target="https://www.sec.gov/Archives/edgar/data/1844971/000162828024015540/commercialpurchaseandsalea.htm" TargetMode="External"/><Relationship Id="rId11" Type="http://schemas.openxmlformats.org/officeDocument/2006/relationships/hyperlink" Target="https://www.sec.gov/Archives/edgar/data/1844971/000162828024015540/commercialpurchaseandsalea.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24008</Words>
  <Characters>131185</Characters>
  <CharactersWithSpaces>153739</CharactersWithSpaces>
  <Paragraphs>2265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