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before="54" w:after="283"/>
        <w:jc w:val="center"/>
        <w:rPr/>
      </w:pPr>
      <w:r>
        <w:rPr/>
      </w:r>
    </w:p>
    <w:p>
      <w:pPr>
        <w:pStyle w:val="TextBody"/>
        <w:bidi w:val="0"/>
        <w:spacing w:before="0" w:after="2"/>
        <w:jc w:val="left"/>
        <w:rPr/>
      </w:pPr>
      <w:r>
        <w:rPr/>
      </w:r>
    </w:p>
    <w:p>
      <w:pPr>
        <w:pStyle w:val="TextBody"/>
        <w:bidi w:val="0"/>
        <w:spacing w:lineRule="auto" w:line="300"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20,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Vulcan Infrastructure and Power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001-40808</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86-1746728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1159 Pittsford-Victor Road, Suite 240</w:t>
            </w:r>
          </w:p>
          <w:p>
            <w:pPr>
              <w:pStyle w:val="TableContents"/>
              <w:bidi w:val="0"/>
              <w:spacing w:lineRule="auto" w:line="288" w:before="0" w:after="2"/>
              <w:jc w:val="center"/>
              <w:rPr/>
            </w:pPr>
            <w:r>
              <w:rPr>
                <w:rFonts w:ascii="Times New Roman;serif" w:hAnsi="Times New Roman;serif"/>
                <w:b/>
                <w:color w:val="000000"/>
                <w:sz w:val="20"/>
              </w:rPr>
              <w:t>Pittsford, New York 14534</w:t>
            </w:r>
            <w:r>
              <w:rPr>
                <w:color w:val="3051F2"/>
              </w:rPr>
              <w:t xml:space="preserve"> </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(315) 536-2359</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793" w:type="dxa"/>
        <w:jc w:val="left"/>
        <w:tblInd w:w="0" w:type="dxa"/>
        <w:tblLayout w:type="fixed"/>
        <w:tblCellMar>
          <w:top w:w="28" w:type="dxa"/>
          <w:left w:w="28" w:type="dxa"/>
          <w:bottom w:w="28" w:type="dxa"/>
          <w:right w:w="28" w:type="dxa"/>
        </w:tblCellMar>
      </w:tblPr>
      <w:tblGrid>
        <w:gridCol w:w="1240"/>
        <w:gridCol w:w="1090"/>
        <w:gridCol w:w="1090"/>
        <w:gridCol w:w="516"/>
        <w:gridCol w:w="516"/>
        <w:gridCol w:w="516"/>
        <w:gridCol w:w="1120"/>
        <w:gridCol w:w="1120"/>
        <w:gridCol w:w="1585"/>
      </w:tblGrid>
      <w:tr>
        <w:trPr/>
        <w:tc>
          <w:tcPr>
            <w:tcW w:w="12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7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GREE</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8.50% Senior Notes due 2026 </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GREEL</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val="false"/>
          <w:color w:val="000000"/>
          <w:sz w:val="20"/>
        </w:rPr>
        <w:t>Emerging growth company   </w:t>
      </w:r>
      <w:r>
        <w:rPr>
          <w:color w:val="000000"/>
        </w:rPr>
        <w:t>☒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ind w:left="0" w:right="0" w:firstLine="720"/>
        <w:jc w:val="both"/>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5.02 – Departure of Directors or Certain Officers; Election of Directors; Appointment of Certain Officers; Compensatory Arrangements of Certain Officers.</w:t>
      </w:r>
    </w:p>
    <w:p>
      <w:pPr>
        <w:pStyle w:val="TextBody"/>
        <w:bidi w:val="0"/>
        <w:spacing w:before="0" w:after="2"/>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19, 2026, the Compensation Committee of the Board of Directors of Vulcan Infrastructure and Power Inc. (formerly Greenidge Generation Holdings Inc.) (the “Company”) approved one-time equity awards to Jordan Kovler, the Company’s Chief Executive Officer, Dale Irwin, the Company’s President, and Christian Mulvihill, the Company’s Chief Financial Officer, in recognition of their contributions to the Company’s strategic transformation, including the Company's entry into definitive agreements relating to the aggregate strategic investment of approximately $39.4 million in the Company, which was announced by the Company on July 20, 2026. The awards were granted on July 20, 2026 and consisted of 125,000 restricted stock units (“RSUs”) granted to Mr. Kovler, 50,000 RSUs granted to Mr. Irwin and 35,000 RSUs granted to Mr. Mulvihill. Each RSU represents a contingent right to receive one share of the Company’s Class A common stock. The RSUs were granted pursuant to the Company’s Third Amended and Restated 2021 Equity Incentive Plan and vested on July 23, 2026.</w:t>
      </w:r>
    </w:p>
    <w:p>
      <w:pPr>
        <w:pStyle w:val="TextBody"/>
        <w:bidi w:val="0"/>
        <w:spacing w:before="0" w:after="0"/>
        <w:jc w:val="left"/>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tbl>
      <w:tblPr>
        <w:tblW w:w="3653" w:type="dxa"/>
        <w:jc w:val="right"/>
        <w:tblInd w:w="0" w:type="dxa"/>
        <w:tblLayout w:type="fixed"/>
        <w:tblCellMar>
          <w:top w:w="28" w:type="dxa"/>
          <w:left w:w="28" w:type="dxa"/>
          <w:bottom w:w="28" w:type="dxa"/>
          <w:right w:w="28" w:type="dxa"/>
        </w:tblCellMar>
      </w:tblPr>
      <w:tblGrid>
        <w:gridCol w:w="575"/>
        <w:gridCol w:w="504"/>
        <w:gridCol w:w="504"/>
        <w:gridCol w:w="604"/>
        <w:gridCol w:w="604"/>
        <w:gridCol w:w="862"/>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65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Vulcan Infrastructure and Power Inc.</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/s/ Jordan Kovler</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Jordan Kovler</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20"/>
        <w:jc w:val="righ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527</Words>
  <Characters>3114</Characters>
  <CharactersWithSpaces>3586</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